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A0462" w14:textId="77777777" w:rsidR="00757335" w:rsidRDefault="00757335" w:rsidP="00BA42EF">
      <w:pPr>
        <w:spacing w:line="360" w:lineRule="auto"/>
        <w:ind w:right="1842"/>
        <w:jc w:val="center"/>
        <w:rPr>
          <w:rFonts w:cs="Arial"/>
          <w:b/>
          <w:sz w:val="28"/>
          <w:szCs w:val="28"/>
        </w:rPr>
      </w:pPr>
    </w:p>
    <w:p w14:paraId="0DFE823A" w14:textId="1B24CA6B" w:rsidR="00294DCD" w:rsidRDefault="00264FF9" w:rsidP="00294DCD">
      <w:pPr>
        <w:spacing w:line="360" w:lineRule="auto"/>
        <w:jc w:val="center"/>
        <w:rPr>
          <w:rFonts w:cstheme="minorHAnsi"/>
          <w:b/>
          <w:sz w:val="22"/>
          <w:szCs w:val="22"/>
        </w:rPr>
      </w:pPr>
      <w:r>
        <w:rPr>
          <w:rFonts w:cstheme="minorHAnsi"/>
          <w:b/>
          <w:sz w:val="22"/>
          <w:szCs w:val="22"/>
        </w:rPr>
        <w:t>R</w:t>
      </w:r>
      <w:r w:rsidR="00B65398" w:rsidRPr="00D17944">
        <w:rPr>
          <w:rFonts w:cstheme="minorHAnsi"/>
          <w:b/>
          <w:sz w:val="22"/>
          <w:szCs w:val="22"/>
        </w:rPr>
        <w:t xml:space="preserve">ecommendations for </w:t>
      </w:r>
      <w:r w:rsidR="00233A77" w:rsidRPr="00D17944">
        <w:rPr>
          <w:rFonts w:cstheme="minorHAnsi"/>
          <w:b/>
          <w:sz w:val="22"/>
          <w:szCs w:val="22"/>
        </w:rPr>
        <w:t xml:space="preserve">the </w:t>
      </w:r>
      <w:r w:rsidR="002E11C9" w:rsidRPr="00D17944">
        <w:rPr>
          <w:rFonts w:cstheme="minorHAnsi"/>
          <w:b/>
          <w:sz w:val="22"/>
          <w:szCs w:val="22"/>
        </w:rPr>
        <w:t xml:space="preserve">initial </w:t>
      </w:r>
      <w:r w:rsidR="00B65398" w:rsidRPr="00D17944">
        <w:rPr>
          <w:rFonts w:cstheme="minorHAnsi"/>
          <w:b/>
          <w:sz w:val="22"/>
          <w:szCs w:val="22"/>
        </w:rPr>
        <w:t>immunosuppressive treatment for children</w:t>
      </w:r>
      <w:r w:rsidR="001630D4" w:rsidRPr="00D17944">
        <w:rPr>
          <w:rFonts w:cstheme="minorHAnsi"/>
          <w:b/>
          <w:sz w:val="22"/>
          <w:szCs w:val="22"/>
        </w:rPr>
        <w:t xml:space="preserve"> </w:t>
      </w:r>
      <w:r w:rsidR="00B65398" w:rsidRPr="00D17944">
        <w:rPr>
          <w:rFonts w:cstheme="minorHAnsi"/>
          <w:b/>
          <w:sz w:val="22"/>
          <w:szCs w:val="22"/>
        </w:rPr>
        <w:t xml:space="preserve">and young people with immune mediated </w:t>
      </w:r>
      <w:r w:rsidR="00920056" w:rsidRPr="00D17944">
        <w:rPr>
          <w:rFonts w:cstheme="minorHAnsi"/>
          <w:b/>
          <w:sz w:val="22"/>
          <w:szCs w:val="22"/>
        </w:rPr>
        <w:t>glomerul</w:t>
      </w:r>
      <w:r w:rsidR="002A4060">
        <w:rPr>
          <w:rFonts w:cstheme="minorHAnsi"/>
          <w:b/>
          <w:sz w:val="22"/>
          <w:szCs w:val="22"/>
        </w:rPr>
        <w:t>ar diseases</w:t>
      </w:r>
      <w:r w:rsidR="00294DCD">
        <w:rPr>
          <w:rFonts w:cstheme="minorHAnsi"/>
          <w:b/>
          <w:sz w:val="22"/>
          <w:szCs w:val="22"/>
        </w:rPr>
        <w:t xml:space="preserve"> - </w:t>
      </w:r>
      <w:r w:rsidR="00181BAF">
        <w:rPr>
          <w:rFonts w:cstheme="minorHAnsi"/>
          <w:b/>
          <w:sz w:val="22"/>
          <w:szCs w:val="22"/>
        </w:rPr>
        <w:t>A</w:t>
      </w:r>
      <w:r w:rsidR="00233A77" w:rsidRPr="00D17944">
        <w:rPr>
          <w:rFonts w:cstheme="minorHAnsi"/>
          <w:b/>
          <w:sz w:val="22"/>
          <w:szCs w:val="22"/>
        </w:rPr>
        <w:t xml:space="preserve"> UK Kidney Association</w:t>
      </w:r>
      <w:r w:rsidR="00294DCD">
        <w:rPr>
          <w:rFonts w:cstheme="minorHAnsi"/>
          <w:b/>
          <w:sz w:val="22"/>
          <w:szCs w:val="22"/>
        </w:rPr>
        <w:t xml:space="preserve"> </w:t>
      </w:r>
      <w:r>
        <w:rPr>
          <w:rFonts w:cstheme="minorHAnsi"/>
          <w:b/>
          <w:sz w:val="22"/>
          <w:szCs w:val="22"/>
        </w:rPr>
        <w:t xml:space="preserve">clinical practice </w:t>
      </w:r>
      <w:r w:rsidR="00294DCD">
        <w:rPr>
          <w:rFonts w:cstheme="minorHAnsi"/>
          <w:b/>
          <w:sz w:val="22"/>
          <w:szCs w:val="22"/>
        </w:rPr>
        <w:t>guideline</w:t>
      </w:r>
    </w:p>
    <w:p w14:paraId="31974881" w14:textId="77777777" w:rsidR="00294DCD" w:rsidRDefault="00294DCD" w:rsidP="00294DCD">
      <w:pPr>
        <w:spacing w:line="360" w:lineRule="auto"/>
        <w:jc w:val="center"/>
        <w:rPr>
          <w:rFonts w:cstheme="minorHAnsi"/>
          <w:b/>
          <w:sz w:val="22"/>
          <w:szCs w:val="22"/>
        </w:rPr>
      </w:pPr>
    </w:p>
    <w:p w14:paraId="7BE5F9BE" w14:textId="57176700" w:rsidR="00757335" w:rsidRPr="00D17944" w:rsidRDefault="00757335" w:rsidP="00181BAF">
      <w:pPr>
        <w:spacing w:line="360" w:lineRule="auto"/>
        <w:rPr>
          <w:rFonts w:cstheme="minorHAnsi"/>
          <w:b/>
          <w:sz w:val="22"/>
          <w:szCs w:val="22"/>
        </w:rPr>
      </w:pPr>
    </w:p>
    <w:p w14:paraId="21E084D0" w14:textId="77777777" w:rsidR="00B65398" w:rsidRPr="00D17944" w:rsidRDefault="00B65398" w:rsidP="003F494F">
      <w:pPr>
        <w:spacing w:line="360" w:lineRule="auto"/>
        <w:jc w:val="both"/>
        <w:rPr>
          <w:rFonts w:cstheme="minorHAnsi"/>
          <w:sz w:val="22"/>
          <w:szCs w:val="22"/>
        </w:rPr>
      </w:pPr>
      <w:bookmarkStart w:id="0" w:name="_Toc85711731"/>
    </w:p>
    <w:p w14:paraId="40EA38C6" w14:textId="119D052D" w:rsidR="00B65398" w:rsidRPr="00056ABA" w:rsidRDefault="001630D4" w:rsidP="003F494F">
      <w:pPr>
        <w:spacing w:line="360" w:lineRule="auto"/>
        <w:rPr>
          <w:rFonts w:cstheme="minorHAnsi"/>
          <w:b/>
          <w:bCs/>
          <w:sz w:val="22"/>
          <w:szCs w:val="22"/>
        </w:rPr>
      </w:pPr>
      <w:bookmarkStart w:id="1" w:name="_Toc85711732"/>
      <w:bookmarkEnd w:id="0"/>
      <w:r w:rsidRPr="00056ABA">
        <w:rPr>
          <w:rFonts w:cstheme="minorHAnsi"/>
          <w:b/>
          <w:bCs/>
          <w:sz w:val="22"/>
          <w:szCs w:val="22"/>
        </w:rPr>
        <w:t>Aims and objectives</w:t>
      </w:r>
    </w:p>
    <w:p w14:paraId="090BAFCD" w14:textId="3C2DD80A" w:rsidR="00B63F01" w:rsidRPr="00D17944" w:rsidRDefault="001630D4" w:rsidP="003F494F">
      <w:pPr>
        <w:spacing w:line="360" w:lineRule="auto"/>
        <w:jc w:val="both"/>
        <w:rPr>
          <w:rFonts w:cstheme="minorHAnsi"/>
          <w:sz w:val="22"/>
          <w:szCs w:val="22"/>
        </w:rPr>
      </w:pPr>
      <w:r w:rsidRPr="00D17944">
        <w:rPr>
          <w:rFonts w:cstheme="minorHAnsi"/>
          <w:sz w:val="22"/>
          <w:szCs w:val="22"/>
        </w:rPr>
        <w:t>T</w:t>
      </w:r>
      <w:r w:rsidR="00F50C2B" w:rsidRPr="00D17944">
        <w:rPr>
          <w:rFonts w:cstheme="minorHAnsi"/>
          <w:sz w:val="22"/>
          <w:szCs w:val="22"/>
        </w:rPr>
        <w:t>he primary aim of th</w:t>
      </w:r>
      <w:r w:rsidR="00A212C0" w:rsidRPr="00D17944">
        <w:rPr>
          <w:rFonts w:cstheme="minorHAnsi"/>
          <w:sz w:val="22"/>
          <w:szCs w:val="22"/>
        </w:rPr>
        <w:t>e</w:t>
      </w:r>
      <w:r w:rsidR="00F50C2B" w:rsidRPr="00D17944">
        <w:rPr>
          <w:rFonts w:cstheme="minorHAnsi"/>
          <w:sz w:val="22"/>
          <w:szCs w:val="22"/>
        </w:rPr>
        <w:t xml:space="preserve"> clinical practice recommendation </w:t>
      </w:r>
      <w:r w:rsidR="006B76E3">
        <w:rPr>
          <w:rFonts w:cstheme="minorHAnsi"/>
          <w:sz w:val="22"/>
          <w:szCs w:val="22"/>
        </w:rPr>
        <w:t>i</w:t>
      </w:r>
      <w:r w:rsidR="00F50C2B" w:rsidRPr="00D17944">
        <w:rPr>
          <w:rFonts w:cstheme="minorHAnsi"/>
          <w:sz w:val="22"/>
          <w:szCs w:val="22"/>
        </w:rPr>
        <w:t>s t</w:t>
      </w:r>
      <w:r w:rsidRPr="00D17944">
        <w:rPr>
          <w:rFonts w:cstheme="minorHAnsi"/>
          <w:sz w:val="22"/>
          <w:szCs w:val="22"/>
        </w:rPr>
        <w:t xml:space="preserve">o </w:t>
      </w:r>
      <w:r w:rsidR="00D20CBA">
        <w:rPr>
          <w:rFonts w:cstheme="minorHAnsi"/>
          <w:sz w:val="22"/>
          <w:szCs w:val="22"/>
        </w:rPr>
        <w:t xml:space="preserve">create </w:t>
      </w:r>
      <w:r w:rsidR="00D20CBA" w:rsidRPr="00D17944">
        <w:rPr>
          <w:rFonts w:cstheme="minorHAnsi"/>
          <w:sz w:val="22"/>
          <w:szCs w:val="22"/>
        </w:rPr>
        <w:t xml:space="preserve">a united, paediatric-specific clinical approach for </w:t>
      </w:r>
      <w:r w:rsidR="009F4B37">
        <w:rPr>
          <w:rFonts w:cstheme="minorHAnsi"/>
          <w:sz w:val="22"/>
          <w:szCs w:val="22"/>
        </w:rPr>
        <w:t>immune mediated glomerular diseases (IM-GD)</w:t>
      </w:r>
      <w:r w:rsidR="00D20CBA" w:rsidRPr="00D17944">
        <w:rPr>
          <w:rFonts w:cstheme="minorHAnsi"/>
          <w:sz w:val="22"/>
          <w:szCs w:val="22"/>
        </w:rPr>
        <w:t xml:space="preserve"> nationally</w:t>
      </w:r>
      <w:r w:rsidR="00D20CBA">
        <w:rPr>
          <w:rFonts w:cstheme="minorHAnsi"/>
          <w:sz w:val="22"/>
          <w:szCs w:val="22"/>
        </w:rPr>
        <w:t xml:space="preserve"> that is aligned with existing international guidelines and the latest evidence</w:t>
      </w:r>
      <w:r w:rsidR="00D20CBA" w:rsidRPr="00D17944">
        <w:rPr>
          <w:rFonts w:cstheme="minorHAnsi"/>
          <w:sz w:val="22"/>
          <w:szCs w:val="22"/>
        </w:rPr>
        <w:t xml:space="preserve">.  </w:t>
      </w:r>
      <w:r w:rsidR="00D20CBA">
        <w:rPr>
          <w:rFonts w:cstheme="minorHAnsi"/>
          <w:sz w:val="22"/>
          <w:szCs w:val="22"/>
        </w:rPr>
        <w:t xml:space="preserve">This will aspire </w:t>
      </w:r>
      <w:r w:rsidR="00F50C2B" w:rsidRPr="00D17944">
        <w:rPr>
          <w:rFonts w:cstheme="minorHAnsi"/>
          <w:sz w:val="22"/>
          <w:szCs w:val="22"/>
        </w:rPr>
        <w:t xml:space="preserve">to </w:t>
      </w:r>
      <w:r w:rsidRPr="00D17944">
        <w:rPr>
          <w:rFonts w:cstheme="minorHAnsi"/>
          <w:sz w:val="22"/>
          <w:szCs w:val="22"/>
        </w:rPr>
        <w:t xml:space="preserve">improve the quality of care and reduce </w:t>
      </w:r>
      <w:r w:rsidR="00920056" w:rsidRPr="00D17944">
        <w:rPr>
          <w:rFonts w:cstheme="minorHAnsi"/>
          <w:sz w:val="22"/>
          <w:szCs w:val="22"/>
        </w:rPr>
        <w:t xml:space="preserve">unwarranted </w:t>
      </w:r>
      <w:r w:rsidRPr="00D17944">
        <w:rPr>
          <w:rFonts w:cstheme="minorHAnsi"/>
          <w:sz w:val="22"/>
          <w:szCs w:val="22"/>
        </w:rPr>
        <w:t xml:space="preserve">variation </w:t>
      </w:r>
      <w:r w:rsidR="009F4B37">
        <w:rPr>
          <w:rFonts w:cstheme="minorHAnsi"/>
          <w:sz w:val="22"/>
          <w:szCs w:val="22"/>
        </w:rPr>
        <w:t xml:space="preserve">across the UK </w:t>
      </w:r>
      <w:r w:rsidRPr="00D17944">
        <w:rPr>
          <w:rFonts w:cstheme="minorHAnsi"/>
          <w:sz w:val="22"/>
          <w:szCs w:val="22"/>
        </w:rPr>
        <w:t xml:space="preserve">in the treatment administered to </w:t>
      </w:r>
      <w:r w:rsidR="00C2051E">
        <w:rPr>
          <w:rFonts w:cstheme="minorHAnsi"/>
          <w:sz w:val="22"/>
          <w:szCs w:val="22"/>
        </w:rPr>
        <w:t>children and young people (</w:t>
      </w:r>
      <w:r w:rsidRPr="00D17944">
        <w:rPr>
          <w:rFonts w:cstheme="minorHAnsi"/>
          <w:sz w:val="22"/>
          <w:szCs w:val="22"/>
        </w:rPr>
        <w:t>CYP</w:t>
      </w:r>
      <w:r w:rsidR="00C2051E">
        <w:rPr>
          <w:rFonts w:cstheme="minorHAnsi"/>
          <w:sz w:val="22"/>
          <w:szCs w:val="22"/>
        </w:rPr>
        <w:t>)</w:t>
      </w:r>
      <w:r w:rsidRPr="00D17944">
        <w:rPr>
          <w:rFonts w:cstheme="minorHAnsi"/>
          <w:sz w:val="22"/>
          <w:szCs w:val="22"/>
        </w:rPr>
        <w:t xml:space="preserve"> with </w:t>
      </w:r>
      <w:r w:rsidR="00F50C2B" w:rsidRPr="00D17944">
        <w:rPr>
          <w:rFonts w:cstheme="minorHAnsi"/>
          <w:sz w:val="22"/>
          <w:szCs w:val="22"/>
        </w:rPr>
        <w:t>IM-G</w:t>
      </w:r>
      <w:r w:rsidR="006B76E3">
        <w:rPr>
          <w:rFonts w:cstheme="minorHAnsi"/>
          <w:sz w:val="22"/>
          <w:szCs w:val="22"/>
        </w:rPr>
        <w:t>D</w:t>
      </w:r>
      <w:r w:rsidR="00F50C2B" w:rsidRPr="00D17944">
        <w:rPr>
          <w:rFonts w:cstheme="minorHAnsi"/>
          <w:sz w:val="22"/>
          <w:szCs w:val="22"/>
        </w:rPr>
        <w:t xml:space="preserve"> </w:t>
      </w:r>
      <w:r w:rsidRPr="00D17944">
        <w:rPr>
          <w:rFonts w:cstheme="minorHAnsi"/>
          <w:sz w:val="22"/>
          <w:szCs w:val="22"/>
        </w:rPr>
        <w:t>through</w:t>
      </w:r>
      <w:r w:rsidR="009F4B37">
        <w:rPr>
          <w:rFonts w:cstheme="minorHAnsi"/>
          <w:sz w:val="22"/>
          <w:szCs w:val="22"/>
        </w:rPr>
        <w:t xml:space="preserve"> these</w:t>
      </w:r>
      <w:r w:rsidRPr="00D17944">
        <w:rPr>
          <w:rFonts w:cstheme="minorHAnsi"/>
          <w:sz w:val="22"/>
          <w:szCs w:val="22"/>
        </w:rPr>
        <w:t xml:space="preserve"> agreed standard treatment plans</w:t>
      </w:r>
      <w:r w:rsidR="00F50C2B" w:rsidRPr="00D17944">
        <w:rPr>
          <w:rFonts w:cstheme="minorHAnsi"/>
          <w:sz w:val="22"/>
          <w:szCs w:val="22"/>
        </w:rPr>
        <w:t xml:space="preserve">. </w:t>
      </w:r>
      <w:r w:rsidRPr="00D17944">
        <w:rPr>
          <w:rFonts w:cstheme="minorHAnsi"/>
          <w:sz w:val="22"/>
          <w:szCs w:val="22"/>
        </w:rPr>
        <w:t xml:space="preserve"> </w:t>
      </w:r>
    </w:p>
    <w:p w14:paraId="5D1D9278" w14:textId="77777777" w:rsidR="005E3A5A" w:rsidRPr="00D17944" w:rsidRDefault="005E3A5A" w:rsidP="003F494F">
      <w:pPr>
        <w:spacing w:line="360" w:lineRule="auto"/>
        <w:jc w:val="both"/>
        <w:rPr>
          <w:rFonts w:cstheme="minorHAnsi"/>
          <w:sz w:val="22"/>
          <w:szCs w:val="22"/>
        </w:rPr>
      </w:pPr>
    </w:p>
    <w:p w14:paraId="324C853B" w14:textId="5941552E" w:rsidR="005E3A5A" w:rsidRPr="00D17944" w:rsidRDefault="001630D4" w:rsidP="003F494F">
      <w:pPr>
        <w:spacing w:line="360" w:lineRule="auto"/>
        <w:jc w:val="both"/>
        <w:rPr>
          <w:rFonts w:cstheme="minorHAnsi"/>
          <w:sz w:val="22"/>
          <w:szCs w:val="22"/>
        </w:rPr>
      </w:pPr>
      <w:r w:rsidRPr="00D17944">
        <w:rPr>
          <w:rFonts w:cstheme="minorHAnsi"/>
          <w:sz w:val="22"/>
          <w:szCs w:val="22"/>
        </w:rPr>
        <w:t xml:space="preserve">The </w:t>
      </w:r>
      <w:r w:rsidR="00F50C2B" w:rsidRPr="00D17944">
        <w:rPr>
          <w:rFonts w:cstheme="minorHAnsi"/>
          <w:sz w:val="22"/>
          <w:szCs w:val="22"/>
        </w:rPr>
        <w:t>objectives</w:t>
      </w:r>
      <w:r w:rsidRPr="00D17944">
        <w:rPr>
          <w:rFonts w:cstheme="minorHAnsi"/>
          <w:sz w:val="22"/>
          <w:szCs w:val="22"/>
        </w:rPr>
        <w:t xml:space="preserve"> of the </w:t>
      </w:r>
      <w:r w:rsidR="002E11C9" w:rsidRPr="00D17944">
        <w:rPr>
          <w:rFonts w:cstheme="minorHAnsi"/>
          <w:sz w:val="22"/>
          <w:szCs w:val="22"/>
        </w:rPr>
        <w:t xml:space="preserve">programme of work </w:t>
      </w:r>
      <w:r w:rsidR="00A212C0" w:rsidRPr="00D17944">
        <w:rPr>
          <w:rFonts w:cstheme="minorHAnsi"/>
          <w:sz w:val="22"/>
          <w:szCs w:val="22"/>
        </w:rPr>
        <w:t>we</w:t>
      </w:r>
      <w:r w:rsidRPr="00D17944">
        <w:rPr>
          <w:rFonts w:cstheme="minorHAnsi"/>
          <w:sz w:val="22"/>
          <w:szCs w:val="22"/>
        </w:rPr>
        <w:t>re:</w:t>
      </w:r>
    </w:p>
    <w:p w14:paraId="50E2DA8A" w14:textId="4D530B0C" w:rsidR="00992DF7" w:rsidRPr="00D17944" w:rsidRDefault="001630D4" w:rsidP="003F494F">
      <w:pPr>
        <w:pStyle w:val="ListParagraph"/>
        <w:numPr>
          <w:ilvl w:val="0"/>
          <w:numId w:val="1"/>
        </w:numPr>
        <w:spacing w:line="360" w:lineRule="auto"/>
        <w:jc w:val="both"/>
        <w:rPr>
          <w:rFonts w:cstheme="minorHAnsi"/>
          <w:sz w:val="22"/>
          <w:szCs w:val="22"/>
        </w:rPr>
      </w:pPr>
      <w:r w:rsidRPr="00D17944">
        <w:rPr>
          <w:rFonts w:cstheme="minorHAnsi"/>
          <w:sz w:val="22"/>
          <w:szCs w:val="22"/>
        </w:rPr>
        <w:t>To review existing practice</w:t>
      </w:r>
      <w:r w:rsidR="00F9556E">
        <w:rPr>
          <w:rFonts w:cstheme="minorHAnsi"/>
          <w:sz w:val="22"/>
          <w:szCs w:val="22"/>
        </w:rPr>
        <w:t xml:space="preserve"> to provide</w:t>
      </w:r>
      <w:r w:rsidR="00167DA9" w:rsidRPr="00D17944">
        <w:rPr>
          <w:rFonts w:cstheme="minorHAnsi"/>
          <w:sz w:val="22"/>
          <w:szCs w:val="22"/>
        </w:rPr>
        <w:t xml:space="preserve"> national</w:t>
      </w:r>
      <w:r w:rsidR="00F9556E">
        <w:rPr>
          <w:rFonts w:cstheme="minorHAnsi"/>
          <w:sz w:val="22"/>
          <w:szCs w:val="22"/>
        </w:rPr>
        <w:t>ly</w:t>
      </w:r>
      <w:r w:rsidR="00167DA9" w:rsidRPr="00D17944">
        <w:rPr>
          <w:rFonts w:cstheme="minorHAnsi"/>
          <w:sz w:val="22"/>
          <w:szCs w:val="22"/>
        </w:rPr>
        <w:t xml:space="preserve"> and internationally</w:t>
      </w:r>
      <w:r w:rsidRPr="00D17944">
        <w:rPr>
          <w:rFonts w:cstheme="minorHAnsi"/>
          <w:sz w:val="22"/>
          <w:szCs w:val="22"/>
        </w:rPr>
        <w:t xml:space="preserve"> </w:t>
      </w:r>
      <w:r w:rsidR="00A212C0" w:rsidRPr="00D17944">
        <w:rPr>
          <w:rFonts w:cstheme="minorHAnsi"/>
          <w:sz w:val="22"/>
          <w:szCs w:val="22"/>
        </w:rPr>
        <w:t xml:space="preserve">accepted speciality </w:t>
      </w:r>
      <w:r w:rsidRPr="00D17944">
        <w:rPr>
          <w:rFonts w:cstheme="minorHAnsi"/>
          <w:sz w:val="22"/>
          <w:szCs w:val="22"/>
        </w:rPr>
        <w:t>guidelines</w:t>
      </w:r>
    </w:p>
    <w:p w14:paraId="3C9FF4C9" w14:textId="05DBADBE" w:rsidR="005E3A5A" w:rsidRPr="00D17944" w:rsidRDefault="001630D4" w:rsidP="003F494F">
      <w:pPr>
        <w:pStyle w:val="ListParagraph"/>
        <w:numPr>
          <w:ilvl w:val="0"/>
          <w:numId w:val="1"/>
        </w:numPr>
        <w:spacing w:line="360" w:lineRule="auto"/>
        <w:jc w:val="both"/>
        <w:rPr>
          <w:rFonts w:cstheme="minorHAnsi"/>
          <w:sz w:val="22"/>
          <w:szCs w:val="22"/>
        </w:rPr>
      </w:pPr>
      <w:r w:rsidRPr="00D17944">
        <w:rPr>
          <w:rFonts w:cstheme="minorHAnsi"/>
          <w:sz w:val="22"/>
          <w:szCs w:val="22"/>
        </w:rPr>
        <w:t xml:space="preserve">To systematically summarise the current </w:t>
      </w:r>
      <w:r w:rsidR="00167DA9" w:rsidRPr="00D17944">
        <w:rPr>
          <w:rFonts w:cstheme="minorHAnsi"/>
          <w:sz w:val="22"/>
          <w:szCs w:val="22"/>
        </w:rPr>
        <w:t xml:space="preserve">evidence </w:t>
      </w:r>
      <w:r w:rsidR="008545A9" w:rsidRPr="00D17944">
        <w:rPr>
          <w:rFonts w:cstheme="minorHAnsi"/>
          <w:sz w:val="22"/>
          <w:szCs w:val="22"/>
        </w:rPr>
        <w:t>relating to the t</w:t>
      </w:r>
      <w:r w:rsidR="00F50C2B" w:rsidRPr="00D17944">
        <w:rPr>
          <w:rFonts w:cstheme="minorHAnsi"/>
          <w:sz w:val="22"/>
          <w:szCs w:val="22"/>
        </w:rPr>
        <w:t>reatment</w:t>
      </w:r>
      <w:r w:rsidR="008545A9" w:rsidRPr="00D17944">
        <w:rPr>
          <w:rFonts w:cstheme="minorHAnsi"/>
          <w:sz w:val="22"/>
          <w:szCs w:val="22"/>
        </w:rPr>
        <w:t xml:space="preserve"> o</w:t>
      </w:r>
      <w:r w:rsidRPr="00D17944">
        <w:rPr>
          <w:rFonts w:cstheme="minorHAnsi"/>
          <w:sz w:val="22"/>
          <w:szCs w:val="22"/>
        </w:rPr>
        <w:t xml:space="preserve">f </w:t>
      </w:r>
      <w:r w:rsidR="002A4060">
        <w:rPr>
          <w:rFonts w:cstheme="minorHAnsi"/>
          <w:sz w:val="22"/>
          <w:szCs w:val="22"/>
        </w:rPr>
        <w:t>IM-GD</w:t>
      </w:r>
      <w:r w:rsidR="00F50C2B" w:rsidRPr="00D17944">
        <w:rPr>
          <w:rFonts w:cstheme="minorHAnsi"/>
          <w:sz w:val="22"/>
          <w:szCs w:val="22"/>
        </w:rPr>
        <w:t xml:space="preserve"> </w:t>
      </w:r>
      <w:r w:rsidRPr="00D17944">
        <w:rPr>
          <w:rFonts w:cstheme="minorHAnsi"/>
          <w:sz w:val="22"/>
          <w:szCs w:val="22"/>
        </w:rPr>
        <w:t>in children and young people.</w:t>
      </w:r>
    </w:p>
    <w:p w14:paraId="311EAB78" w14:textId="73A81073" w:rsidR="00B65398" w:rsidRPr="00D17944" w:rsidRDefault="001630D4" w:rsidP="003F494F">
      <w:pPr>
        <w:pStyle w:val="ListParagraph"/>
        <w:numPr>
          <w:ilvl w:val="0"/>
          <w:numId w:val="1"/>
        </w:numPr>
        <w:spacing w:line="360" w:lineRule="auto"/>
        <w:jc w:val="both"/>
        <w:rPr>
          <w:rFonts w:cstheme="minorHAnsi"/>
          <w:sz w:val="22"/>
          <w:szCs w:val="22"/>
        </w:rPr>
      </w:pPr>
      <w:r w:rsidRPr="00D17944">
        <w:rPr>
          <w:rFonts w:cstheme="minorHAnsi"/>
          <w:sz w:val="22"/>
          <w:szCs w:val="22"/>
        </w:rPr>
        <w:t xml:space="preserve">To </w:t>
      </w:r>
      <w:r w:rsidR="00167DA9" w:rsidRPr="00D17944">
        <w:rPr>
          <w:rFonts w:cstheme="minorHAnsi"/>
          <w:sz w:val="22"/>
          <w:szCs w:val="22"/>
        </w:rPr>
        <w:t xml:space="preserve">generate </w:t>
      </w:r>
      <w:r w:rsidR="00D20CBA">
        <w:rPr>
          <w:rFonts w:cstheme="minorHAnsi"/>
          <w:sz w:val="22"/>
          <w:szCs w:val="22"/>
        </w:rPr>
        <w:t xml:space="preserve">and agree on </w:t>
      </w:r>
      <w:r w:rsidRPr="00D17944">
        <w:rPr>
          <w:rFonts w:cstheme="minorHAnsi"/>
          <w:sz w:val="22"/>
          <w:szCs w:val="22"/>
        </w:rPr>
        <w:t xml:space="preserve">best practice recommendations for the </w:t>
      </w:r>
      <w:r w:rsidR="00920056" w:rsidRPr="00D17944">
        <w:rPr>
          <w:rFonts w:cstheme="minorHAnsi"/>
          <w:sz w:val="22"/>
          <w:szCs w:val="22"/>
        </w:rPr>
        <w:t xml:space="preserve">immunosuppressive </w:t>
      </w:r>
      <w:r w:rsidR="00F50C2B" w:rsidRPr="00D17944">
        <w:rPr>
          <w:rFonts w:cstheme="minorHAnsi"/>
          <w:sz w:val="22"/>
          <w:szCs w:val="22"/>
        </w:rPr>
        <w:t xml:space="preserve">treatment </w:t>
      </w:r>
      <w:r w:rsidR="00515D5D" w:rsidRPr="00D17944">
        <w:rPr>
          <w:rFonts w:cstheme="minorHAnsi"/>
          <w:sz w:val="22"/>
          <w:szCs w:val="22"/>
        </w:rPr>
        <w:t>following confirmation of</w:t>
      </w:r>
      <w:r w:rsidRPr="00D17944">
        <w:rPr>
          <w:rFonts w:cstheme="minorHAnsi"/>
          <w:sz w:val="22"/>
          <w:szCs w:val="22"/>
        </w:rPr>
        <w:t xml:space="preserve"> </w:t>
      </w:r>
      <w:r w:rsidR="002A4060">
        <w:rPr>
          <w:rFonts w:cstheme="minorHAnsi"/>
          <w:sz w:val="22"/>
          <w:szCs w:val="22"/>
        </w:rPr>
        <w:t>IM-GD</w:t>
      </w:r>
      <w:r w:rsidRPr="00D17944">
        <w:rPr>
          <w:rFonts w:cstheme="minorHAnsi"/>
          <w:sz w:val="22"/>
          <w:szCs w:val="22"/>
        </w:rPr>
        <w:t xml:space="preserve"> </w:t>
      </w:r>
      <w:r w:rsidR="00515D5D" w:rsidRPr="00D17944">
        <w:rPr>
          <w:rFonts w:cstheme="minorHAnsi"/>
          <w:sz w:val="22"/>
          <w:szCs w:val="22"/>
        </w:rPr>
        <w:t xml:space="preserve">diagnosis </w:t>
      </w:r>
      <w:r w:rsidRPr="00D17944">
        <w:rPr>
          <w:rFonts w:cstheme="minorHAnsi"/>
          <w:sz w:val="22"/>
          <w:szCs w:val="22"/>
        </w:rPr>
        <w:t xml:space="preserve">in children and young people </w:t>
      </w:r>
      <w:r w:rsidR="00515D5D" w:rsidRPr="00D17944">
        <w:rPr>
          <w:rFonts w:cstheme="minorHAnsi"/>
          <w:sz w:val="22"/>
          <w:szCs w:val="22"/>
        </w:rPr>
        <w:t>aimed at achieving</w:t>
      </w:r>
      <w:r w:rsidR="00F50C2B" w:rsidRPr="00D17944">
        <w:rPr>
          <w:rFonts w:cstheme="minorHAnsi"/>
          <w:sz w:val="22"/>
          <w:szCs w:val="22"/>
        </w:rPr>
        <w:t xml:space="preserve"> disease remission </w:t>
      </w:r>
      <w:r w:rsidR="00515D5D" w:rsidRPr="00D17944">
        <w:rPr>
          <w:rFonts w:cstheme="minorHAnsi"/>
          <w:sz w:val="22"/>
          <w:szCs w:val="22"/>
        </w:rPr>
        <w:t>(termed ‘induction treatment’)</w:t>
      </w:r>
      <w:r w:rsidR="00D20CBA">
        <w:rPr>
          <w:rFonts w:cstheme="minorHAnsi"/>
          <w:sz w:val="22"/>
          <w:szCs w:val="22"/>
        </w:rPr>
        <w:t xml:space="preserve"> and</w:t>
      </w:r>
      <w:r w:rsidR="00F50C2B" w:rsidRPr="00D17944">
        <w:rPr>
          <w:rFonts w:cstheme="minorHAnsi"/>
          <w:sz w:val="22"/>
          <w:szCs w:val="22"/>
        </w:rPr>
        <w:t xml:space="preserve"> </w:t>
      </w:r>
      <w:proofErr w:type="gramStart"/>
      <w:r w:rsidR="00F9556E">
        <w:rPr>
          <w:rFonts w:cstheme="minorHAnsi"/>
          <w:sz w:val="22"/>
          <w:szCs w:val="22"/>
        </w:rPr>
        <w:t>long term</w:t>
      </w:r>
      <w:proofErr w:type="gramEnd"/>
      <w:r w:rsidR="00515D5D" w:rsidRPr="00D17944">
        <w:rPr>
          <w:rFonts w:cstheme="minorHAnsi"/>
          <w:sz w:val="22"/>
          <w:szCs w:val="22"/>
        </w:rPr>
        <w:t xml:space="preserve"> immunosuppressive </w:t>
      </w:r>
      <w:r w:rsidR="00F50C2B" w:rsidRPr="00D17944">
        <w:rPr>
          <w:rFonts w:cstheme="minorHAnsi"/>
          <w:sz w:val="22"/>
          <w:szCs w:val="22"/>
        </w:rPr>
        <w:t>treatment</w:t>
      </w:r>
      <w:r w:rsidR="00515D5D" w:rsidRPr="00D17944">
        <w:rPr>
          <w:rFonts w:cstheme="minorHAnsi"/>
          <w:sz w:val="22"/>
          <w:szCs w:val="22"/>
        </w:rPr>
        <w:t xml:space="preserve"> aimed at consolidating disease remission (termed ‘consolidation treatment’)</w:t>
      </w:r>
      <w:r w:rsidRPr="00D17944">
        <w:rPr>
          <w:rFonts w:cstheme="minorHAnsi"/>
          <w:sz w:val="22"/>
          <w:szCs w:val="22"/>
        </w:rPr>
        <w:t xml:space="preserve"> </w:t>
      </w:r>
      <w:r w:rsidR="00D20CBA" w:rsidRPr="00D17944">
        <w:rPr>
          <w:rFonts w:cstheme="minorHAnsi"/>
          <w:sz w:val="22"/>
          <w:szCs w:val="22"/>
        </w:rPr>
        <w:t>within the first 12 months following diagnosis</w:t>
      </w:r>
      <w:r w:rsidR="00D20CBA">
        <w:rPr>
          <w:rFonts w:cstheme="minorHAnsi"/>
          <w:sz w:val="22"/>
          <w:szCs w:val="22"/>
        </w:rPr>
        <w:t>.</w:t>
      </w:r>
    </w:p>
    <w:p w14:paraId="44D7B113" w14:textId="77777777" w:rsidR="009136E0" w:rsidRPr="00056ABA" w:rsidRDefault="009136E0" w:rsidP="003F494F">
      <w:pPr>
        <w:spacing w:line="360" w:lineRule="auto"/>
        <w:rPr>
          <w:rFonts w:cstheme="minorHAnsi"/>
          <w:b/>
          <w:bCs/>
          <w:sz w:val="22"/>
          <w:szCs w:val="22"/>
        </w:rPr>
      </w:pPr>
    </w:p>
    <w:p w14:paraId="292ED1C3" w14:textId="43FDE4AC" w:rsidR="00B65398" w:rsidRPr="00056ABA" w:rsidRDefault="001630D4" w:rsidP="003F494F">
      <w:pPr>
        <w:spacing w:line="360" w:lineRule="auto"/>
        <w:rPr>
          <w:rFonts w:cstheme="minorHAnsi"/>
          <w:b/>
          <w:bCs/>
          <w:sz w:val="22"/>
          <w:szCs w:val="22"/>
        </w:rPr>
      </w:pPr>
      <w:r w:rsidRPr="00056ABA">
        <w:rPr>
          <w:rFonts w:cstheme="minorHAnsi"/>
          <w:b/>
          <w:bCs/>
          <w:sz w:val="22"/>
          <w:szCs w:val="22"/>
        </w:rPr>
        <w:t xml:space="preserve">Background </w:t>
      </w:r>
    </w:p>
    <w:bookmarkEnd w:id="1"/>
    <w:p w14:paraId="5E11C62B" w14:textId="5680D624" w:rsidR="00D20CBA" w:rsidRDefault="002A4060" w:rsidP="003F494F">
      <w:pPr>
        <w:spacing w:line="360" w:lineRule="auto"/>
        <w:jc w:val="both"/>
        <w:rPr>
          <w:rFonts w:cstheme="minorHAnsi"/>
          <w:bCs/>
          <w:sz w:val="22"/>
          <w:szCs w:val="22"/>
        </w:rPr>
      </w:pPr>
      <w:r>
        <w:rPr>
          <w:rFonts w:cstheme="minorHAnsi"/>
          <w:sz w:val="22"/>
          <w:szCs w:val="22"/>
        </w:rPr>
        <w:t>Immune mediated g</w:t>
      </w:r>
      <w:r w:rsidR="001630D4" w:rsidRPr="00D17944">
        <w:rPr>
          <w:rFonts w:cstheme="minorHAnsi"/>
          <w:sz w:val="22"/>
          <w:szCs w:val="22"/>
        </w:rPr>
        <w:t>lomerul</w:t>
      </w:r>
      <w:r>
        <w:rPr>
          <w:rFonts w:cstheme="minorHAnsi"/>
          <w:sz w:val="22"/>
          <w:szCs w:val="22"/>
        </w:rPr>
        <w:t>ar diseases</w:t>
      </w:r>
      <w:r w:rsidR="001630D4" w:rsidRPr="00D17944">
        <w:rPr>
          <w:rFonts w:cstheme="minorHAnsi"/>
          <w:sz w:val="22"/>
          <w:szCs w:val="22"/>
        </w:rPr>
        <w:t xml:space="preserve"> is the major clinical and pathological term used to categorise diseases that cause </w:t>
      </w:r>
      <w:r w:rsidR="009F4B37">
        <w:rPr>
          <w:rFonts w:cstheme="minorHAnsi"/>
          <w:sz w:val="22"/>
          <w:szCs w:val="22"/>
        </w:rPr>
        <w:t xml:space="preserve">glomerular disease in the setting of systemic autoimmune disease, infection, drugs or malignancy affecting individuals of all ages. </w:t>
      </w:r>
      <w:r w:rsidR="001630D4" w:rsidRPr="00D17944">
        <w:rPr>
          <w:rFonts w:cstheme="minorHAnsi"/>
          <w:bCs/>
          <w:sz w:val="22"/>
          <w:szCs w:val="22"/>
        </w:rPr>
        <w:t>Although deemed a rare disease, after congenital a</w:t>
      </w:r>
      <w:r w:rsidR="00F9556E">
        <w:rPr>
          <w:rFonts w:cstheme="minorHAnsi"/>
          <w:bCs/>
          <w:sz w:val="22"/>
          <w:szCs w:val="22"/>
        </w:rPr>
        <w:t>nomalies</w:t>
      </w:r>
      <w:r w:rsidR="001630D4" w:rsidRPr="00D17944">
        <w:rPr>
          <w:rFonts w:cstheme="minorHAnsi"/>
          <w:bCs/>
          <w:sz w:val="22"/>
          <w:szCs w:val="22"/>
        </w:rPr>
        <w:t xml:space="preserve"> of the kidney and urinary tract, GN is the second most common contributor of all chronic kidney disease (CKD) </w:t>
      </w:r>
      <w:r w:rsidR="001630D4">
        <w:rPr>
          <w:rFonts w:cstheme="minorHAnsi"/>
          <w:bCs/>
          <w:sz w:val="22"/>
          <w:szCs w:val="22"/>
        </w:rPr>
        <w:t>in children</w:t>
      </w:r>
      <w:r w:rsidR="009F4B37">
        <w:rPr>
          <w:rFonts w:cstheme="minorHAnsi"/>
          <w:bCs/>
          <w:sz w:val="22"/>
          <w:szCs w:val="22"/>
        </w:rPr>
        <w:t xml:space="preserve"> and the young</w:t>
      </w:r>
      <w:r w:rsidR="001630D4">
        <w:rPr>
          <w:rFonts w:cstheme="minorHAnsi"/>
          <w:bCs/>
          <w:sz w:val="22"/>
          <w:szCs w:val="22"/>
        </w:rPr>
        <w:t xml:space="preserve"> </w:t>
      </w:r>
      <w:r w:rsidR="001630D4">
        <w:rPr>
          <w:rFonts w:cstheme="minorHAnsi"/>
          <w:bCs/>
          <w:sz w:val="22"/>
          <w:szCs w:val="22"/>
        </w:rPr>
        <w:fldChar w:fldCharType="begin">
          <w:fldData xml:space="preserve">PEVuZE5vdGU+PENpdGU+PEF1dGhvcj5QbHVtYjwvQXV0aG9yPjxZZWFyPjIwMjI8L1llYXI+PFJl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</w:fldData>
        </w:fldChar>
      </w:r>
      <w:r w:rsidR="001630D4">
        <w:rPr>
          <w:rFonts w:cstheme="minorHAnsi"/>
          <w:bCs/>
          <w:sz w:val="22"/>
          <w:szCs w:val="22"/>
        </w:rPr>
        <w:instrText xml:space="preserve"> ADDIN EN.CITE </w:instrText>
      </w:r>
      <w:r w:rsidR="001630D4">
        <w:rPr>
          <w:rFonts w:cstheme="minorHAnsi"/>
          <w:bCs/>
          <w:sz w:val="22"/>
          <w:szCs w:val="22"/>
        </w:rPr>
        <w:fldChar w:fldCharType="begin">
          <w:fldData xml:space="preserve">PEVuZE5vdGU+PENpdGU+PEF1dGhvcj5QbHVtYjwvQXV0aG9yPjxZZWFyPjIwMjI8L1llYXI+PFJl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</w:fldData>
        </w:fldChar>
      </w:r>
      <w:r w:rsidR="001630D4">
        <w:rPr>
          <w:rFonts w:cstheme="minorHAnsi"/>
          <w:bCs/>
          <w:sz w:val="22"/>
          <w:szCs w:val="22"/>
        </w:rPr>
        <w:instrText xml:space="preserve"> ADDIN EN.CITE.DATA </w:instrText>
      </w:r>
      <w:r w:rsidR="001630D4">
        <w:rPr>
          <w:rFonts w:cstheme="minorHAnsi"/>
          <w:bCs/>
          <w:sz w:val="22"/>
          <w:szCs w:val="22"/>
        </w:rPr>
      </w:r>
      <w:r w:rsidR="001630D4">
        <w:rPr>
          <w:rFonts w:cstheme="minorHAnsi"/>
          <w:bCs/>
          <w:sz w:val="22"/>
          <w:szCs w:val="22"/>
        </w:rPr>
        <w:fldChar w:fldCharType="end"/>
      </w:r>
      <w:r w:rsidR="001630D4">
        <w:rPr>
          <w:rFonts w:cstheme="minorHAnsi"/>
          <w:bCs/>
          <w:sz w:val="22"/>
          <w:szCs w:val="22"/>
        </w:rPr>
      </w:r>
      <w:r w:rsidR="001630D4">
        <w:rPr>
          <w:rFonts w:cstheme="minorHAnsi"/>
          <w:bCs/>
          <w:sz w:val="22"/>
          <w:szCs w:val="22"/>
        </w:rPr>
        <w:fldChar w:fldCharType="separate"/>
      </w:r>
      <w:r w:rsidR="001630D4">
        <w:rPr>
          <w:rFonts w:cstheme="minorHAnsi"/>
          <w:bCs/>
          <w:noProof/>
          <w:sz w:val="22"/>
          <w:szCs w:val="22"/>
        </w:rPr>
        <w:t>(3)</w:t>
      </w:r>
      <w:r w:rsidR="001630D4">
        <w:rPr>
          <w:rFonts w:cstheme="minorHAnsi"/>
          <w:bCs/>
          <w:sz w:val="22"/>
          <w:szCs w:val="22"/>
        </w:rPr>
        <w:fldChar w:fldCharType="end"/>
      </w:r>
      <w:r w:rsidR="001630D4">
        <w:rPr>
          <w:rFonts w:cstheme="minorHAnsi"/>
          <w:bCs/>
          <w:sz w:val="22"/>
          <w:szCs w:val="22"/>
        </w:rPr>
        <w:t>.</w:t>
      </w:r>
      <w:r w:rsidR="001630D4" w:rsidRPr="00D17944">
        <w:rPr>
          <w:rFonts w:cstheme="minorHAnsi"/>
          <w:bCs/>
          <w:sz w:val="22"/>
          <w:szCs w:val="22"/>
        </w:rPr>
        <w:t xml:space="preserve"> </w:t>
      </w:r>
      <w:r w:rsidR="009F4B37">
        <w:rPr>
          <w:rFonts w:cstheme="minorHAnsi"/>
          <w:bCs/>
          <w:sz w:val="22"/>
          <w:szCs w:val="22"/>
        </w:rPr>
        <w:t>C</w:t>
      </w:r>
      <w:r w:rsidR="001630D4" w:rsidRPr="00D17944">
        <w:rPr>
          <w:rFonts w:cstheme="minorHAnsi"/>
          <w:bCs/>
          <w:sz w:val="22"/>
          <w:szCs w:val="22"/>
        </w:rPr>
        <w:t xml:space="preserve">hildren and young adults who </w:t>
      </w:r>
      <w:r w:rsidR="009F4B37">
        <w:rPr>
          <w:rFonts w:cstheme="minorHAnsi"/>
          <w:bCs/>
          <w:sz w:val="22"/>
          <w:szCs w:val="22"/>
        </w:rPr>
        <w:t xml:space="preserve">experience IM-GD </w:t>
      </w:r>
      <w:r w:rsidR="00D843C0">
        <w:rPr>
          <w:rFonts w:cstheme="minorHAnsi"/>
          <w:bCs/>
          <w:sz w:val="22"/>
          <w:szCs w:val="22"/>
        </w:rPr>
        <w:t xml:space="preserve">then </w:t>
      </w:r>
      <w:r w:rsidR="001630D4" w:rsidRPr="00D17944">
        <w:rPr>
          <w:rFonts w:cstheme="minorHAnsi"/>
          <w:bCs/>
          <w:sz w:val="22"/>
          <w:szCs w:val="22"/>
        </w:rPr>
        <w:t xml:space="preserve">have a lifetime of </w:t>
      </w:r>
      <w:r w:rsidR="001630D4">
        <w:rPr>
          <w:rFonts w:cstheme="minorHAnsi"/>
          <w:bCs/>
          <w:sz w:val="22"/>
          <w:szCs w:val="22"/>
        </w:rPr>
        <w:t xml:space="preserve">disease and/or </w:t>
      </w:r>
      <w:r w:rsidR="001630D4" w:rsidRPr="00D17944">
        <w:rPr>
          <w:rFonts w:cstheme="minorHAnsi"/>
          <w:bCs/>
          <w:sz w:val="22"/>
          <w:szCs w:val="22"/>
        </w:rPr>
        <w:t>subsequent morbidity.</w:t>
      </w:r>
      <w:r w:rsidR="001630D4" w:rsidRPr="00D20CBA">
        <w:rPr>
          <w:rFonts w:cstheme="minorHAnsi"/>
          <w:bCs/>
          <w:sz w:val="22"/>
          <w:szCs w:val="22"/>
        </w:rPr>
        <w:t xml:space="preserve"> </w:t>
      </w:r>
      <w:r w:rsidR="009F4B37">
        <w:rPr>
          <w:rFonts w:cstheme="minorHAnsi"/>
          <w:bCs/>
          <w:sz w:val="22"/>
          <w:szCs w:val="22"/>
        </w:rPr>
        <w:t>IM-GD</w:t>
      </w:r>
      <w:r w:rsidR="001630D4" w:rsidRPr="00D17944">
        <w:rPr>
          <w:rFonts w:cstheme="minorHAnsi"/>
          <w:bCs/>
          <w:sz w:val="22"/>
          <w:szCs w:val="22"/>
        </w:rPr>
        <w:t xml:space="preserve"> encompasses several diseases, each of which possess their own pathophysiology and clinical course, and collectively they have a population incidence of approximately 5.5 per 100,000 people</w:t>
      </w:r>
      <w:r w:rsidR="00642970">
        <w:rPr>
          <w:rFonts w:cstheme="minorHAnsi"/>
          <w:bCs/>
          <w:sz w:val="22"/>
          <w:szCs w:val="22"/>
        </w:rPr>
        <w:t xml:space="preserve"> </w:t>
      </w:r>
      <w:r w:rsidR="00642970">
        <w:rPr>
          <w:rFonts w:cstheme="minorHAnsi"/>
          <w:bCs/>
          <w:sz w:val="22"/>
          <w:szCs w:val="22"/>
        </w:rPr>
        <w:fldChar w:fldCharType="begin"/>
      </w:r>
      <w:r w:rsidR="00642970">
        <w:rPr>
          <w:rFonts w:cstheme="minorHAnsi"/>
          <w:bCs/>
          <w:sz w:val="22"/>
          <w:szCs w:val="22"/>
        </w:rPr>
        <w:instrText xml:space="preserve"> ADDIN ZOTERO_ITEM CSL_CITATION {"citationID":"rOoCkGxT","properties":{"formattedCitation":"(1)","plainCitation":"(1)","noteIndex":0},"citationItems":[{"id":664,"uris":["http://zotero.org/users/local/lvPLY4Gu/items/5CSC7YPF"],"itemData":{"id":664,"type":"article-journal","abstract":"BACKGROUND: There is a lack of evidence to suggest that outcomes of adolescent and adult-onset glomerular disease differ. Still, most glomerular disease trials include adults but exclude adolescents.\nMETHODS: We designed a retrospective study using the CureGN database to compare individuals with adolescent-onset glomerular disease relative to individuals with older and younger age at onset. The two main outcomes were sustained proteinuria remission off immunosuppression treatment and composite eGFR decline.\nRESULTS: Our data did not show a significant difference in sustained proteinuria remission off treatment or composite eGFR decline between adolescent onset glomerular disease and either childhood (age 5-12), young adult (age 20-29), or adult (age 30-39) onset glomerular disease. Having high-risk APOL1 alleles and hypertension at the time of study enrollment decreased the likelihood of achieving sustained proteinuria remission off treatment. While participants with minimal change disease and IgA nephropathy were similarly likely to achieve sustained proteinuria remission off treatment, participants with focal segmental glomerulosclerosis and membranous nephropathy were less likely to achieve sustained proteinuria remission off treatment compared to participants with minimal change disease. CKD stage, high-risk APOL1 alleles, hypertension stage, and education all significantly impacted the likelihood of progression to the composite eGFR decline outcome.\nCONCLUSIONS: Approximately 25% of each age cohort reached the composite eGFR decline outcome within 5 years. As more glomerular disease clinical trials become available, we must consider opening these trials to people with childhood and adolescent onset disease since like adults they are at high risk of progressive kidney function decline.","container-title":"Pediatric Nephrology (Berlin, Germany)","DOI":"10.1007/s00467-024-06566-4","ISSN":"1432-198X","issue":"6","journalAbbreviation":"Pediatr Nephrol","language":"eng","note":"PMID: 39729127\nPMCID: PMC12031915","page":"1949-1958","source":"PubMed","title":"Comparing adolescent glomerular disease clinical outcomes to the clinical outcomes in childhood, young adult, and adult-onset glomerular disease in the CureGN database","volume":"40","author":[{"family":"Garrity","given":"Kelly"},{"family":"Putnam","given":"Nathaniel"},{"family":"Kamil","given":"Elaine S."},{"family":"Massengill","given":"Susan"},{"family":"Khalid","given":"Myda"},{"family":"Srivastava","given":"Rachana"},{"family":"Isaacs","given":"Jaya"},{"family":"Salmon","given":"Eloise"}],"issued":{"date-parts":[["2025",6]]}}}],"schema":"https://github.com/citation-style-language/schema/raw/master/csl-citation.json"} </w:instrText>
      </w:r>
      <w:r w:rsidR="00642970">
        <w:rPr>
          <w:rFonts w:cstheme="minorHAnsi"/>
          <w:bCs/>
          <w:sz w:val="22"/>
          <w:szCs w:val="22"/>
        </w:rPr>
        <w:fldChar w:fldCharType="separate"/>
      </w:r>
      <w:r w:rsidR="00642970">
        <w:rPr>
          <w:rFonts w:cstheme="minorHAnsi"/>
          <w:bCs/>
          <w:noProof/>
          <w:sz w:val="22"/>
          <w:szCs w:val="22"/>
        </w:rPr>
        <w:t>(1)</w:t>
      </w:r>
      <w:r w:rsidR="00642970">
        <w:rPr>
          <w:rFonts w:cstheme="minorHAnsi"/>
          <w:bCs/>
          <w:sz w:val="22"/>
          <w:szCs w:val="22"/>
        </w:rPr>
        <w:fldChar w:fldCharType="end"/>
      </w:r>
      <w:r w:rsidR="001630D4" w:rsidRPr="00D17944">
        <w:rPr>
          <w:rFonts w:cstheme="minorHAnsi"/>
          <w:bCs/>
          <w:sz w:val="22"/>
          <w:szCs w:val="22"/>
        </w:rPr>
        <w:t xml:space="preserve">.  </w:t>
      </w:r>
    </w:p>
    <w:p w14:paraId="3A65DB90" w14:textId="77777777" w:rsidR="00D20CBA" w:rsidRDefault="00D20CBA" w:rsidP="003F494F">
      <w:pPr>
        <w:spacing w:line="360" w:lineRule="auto"/>
        <w:jc w:val="both"/>
        <w:rPr>
          <w:rFonts w:cstheme="minorHAnsi"/>
          <w:bCs/>
          <w:sz w:val="22"/>
          <w:szCs w:val="22"/>
        </w:rPr>
      </w:pPr>
    </w:p>
    <w:p w14:paraId="1FC7BBFF" w14:textId="6E0E00B3" w:rsidR="00AA6815" w:rsidRDefault="001630D4" w:rsidP="003F494F">
      <w:pPr>
        <w:spacing w:line="360" w:lineRule="auto"/>
        <w:jc w:val="both"/>
        <w:rPr>
          <w:rFonts w:cstheme="minorHAnsi"/>
          <w:sz w:val="22"/>
          <w:szCs w:val="22"/>
        </w:rPr>
      </w:pPr>
      <w:r w:rsidRPr="00D17944">
        <w:rPr>
          <w:rFonts w:cstheme="minorHAnsi"/>
          <w:bCs/>
          <w:sz w:val="22"/>
          <w:szCs w:val="22"/>
        </w:rPr>
        <w:t>G</w:t>
      </w:r>
      <w:r w:rsidR="00617B09">
        <w:rPr>
          <w:rFonts w:cstheme="minorHAnsi"/>
          <w:bCs/>
          <w:sz w:val="22"/>
          <w:szCs w:val="22"/>
        </w:rPr>
        <w:t>D</w:t>
      </w:r>
      <w:r w:rsidRPr="00D17944">
        <w:rPr>
          <w:rFonts w:cstheme="minorHAnsi"/>
          <w:bCs/>
          <w:sz w:val="22"/>
          <w:szCs w:val="22"/>
        </w:rPr>
        <w:t xml:space="preserve"> outcomes</w:t>
      </w:r>
      <w:r w:rsidR="003C4089" w:rsidRPr="00D17944">
        <w:rPr>
          <w:rFonts w:cstheme="minorHAnsi"/>
          <w:bCs/>
          <w:sz w:val="22"/>
          <w:szCs w:val="22"/>
        </w:rPr>
        <w:t xml:space="preserve"> remain </w:t>
      </w:r>
      <w:r w:rsidR="009E650B" w:rsidRPr="00D17944">
        <w:rPr>
          <w:rFonts w:cstheme="minorHAnsi"/>
          <w:bCs/>
          <w:sz w:val="22"/>
          <w:szCs w:val="22"/>
        </w:rPr>
        <w:t xml:space="preserve">poor; </w:t>
      </w:r>
      <w:r w:rsidR="009F4B37">
        <w:rPr>
          <w:rFonts w:cstheme="minorHAnsi"/>
          <w:bCs/>
          <w:sz w:val="22"/>
          <w:szCs w:val="22"/>
        </w:rPr>
        <w:t xml:space="preserve">in most kidney failure registries, glomerular diseases account for 20-25% of prevalent cases and </w:t>
      </w:r>
      <w:r w:rsidR="009E650B" w:rsidRPr="00D17944">
        <w:rPr>
          <w:rFonts w:cstheme="minorHAnsi"/>
          <w:bCs/>
          <w:sz w:val="22"/>
          <w:szCs w:val="22"/>
        </w:rPr>
        <w:t xml:space="preserve">a large retrospective consortium study </w:t>
      </w:r>
      <w:r w:rsidR="00757335" w:rsidRPr="00D17944">
        <w:rPr>
          <w:rFonts w:cstheme="minorHAnsi"/>
          <w:bCs/>
          <w:sz w:val="22"/>
          <w:szCs w:val="22"/>
        </w:rPr>
        <w:t xml:space="preserve">evaluating outcomes in children with </w:t>
      </w:r>
      <w:r w:rsidR="009F4B37">
        <w:rPr>
          <w:rFonts w:cstheme="minorHAnsi"/>
          <w:bCs/>
          <w:sz w:val="22"/>
          <w:szCs w:val="22"/>
        </w:rPr>
        <w:t>IM-GD</w:t>
      </w:r>
      <w:r w:rsidR="00757335" w:rsidRPr="00D17944">
        <w:rPr>
          <w:rFonts w:cstheme="minorHAnsi"/>
          <w:bCs/>
          <w:sz w:val="22"/>
          <w:szCs w:val="22"/>
        </w:rPr>
        <w:t xml:space="preserve"> </w:t>
      </w:r>
      <w:r w:rsidR="00167DA9" w:rsidRPr="00D17944">
        <w:rPr>
          <w:rFonts w:cstheme="minorHAnsi"/>
          <w:bCs/>
          <w:sz w:val="22"/>
          <w:szCs w:val="22"/>
        </w:rPr>
        <w:t>who had</w:t>
      </w:r>
      <w:r w:rsidR="00757335" w:rsidRPr="00D17944">
        <w:rPr>
          <w:rFonts w:cstheme="minorHAnsi"/>
          <w:bCs/>
          <w:sz w:val="22"/>
          <w:szCs w:val="22"/>
        </w:rPr>
        <w:t xml:space="preserve"> </w:t>
      </w:r>
      <w:r w:rsidR="00153A56">
        <w:rPr>
          <w:rFonts w:cstheme="minorHAnsi"/>
          <w:bCs/>
          <w:sz w:val="22"/>
          <w:szCs w:val="22"/>
        </w:rPr>
        <w:t xml:space="preserve">severe </w:t>
      </w:r>
      <w:r w:rsidR="00757335" w:rsidRPr="00D17944">
        <w:rPr>
          <w:rFonts w:cstheme="minorHAnsi"/>
          <w:bCs/>
          <w:sz w:val="22"/>
          <w:szCs w:val="22"/>
        </w:rPr>
        <w:t>crescent</w:t>
      </w:r>
      <w:r w:rsidR="00167DA9" w:rsidRPr="00D17944">
        <w:rPr>
          <w:rFonts w:cstheme="minorHAnsi"/>
          <w:bCs/>
          <w:sz w:val="22"/>
          <w:szCs w:val="22"/>
        </w:rPr>
        <w:t>ic histological features</w:t>
      </w:r>
      <w:r w:rsidR="009F4B37">
        <w:rPr>
          <w:rFonts w:cstheme="minorHAnsi"/>
          <w:bCs/>
          <w:sz w:val="22"/>
          <w:szCs w:val="22"/>
        </w:rPr>
        <w:t xml:space="preserve"> on kidney biopsy</w:t>
      </w:r>
      <w:r w:rsidR="00167DA9" w:rsidRPr="00D17944">
        <w:rPr>
          <w:rFonts w:cstheme="minorHAnsi"/>
          <w:bCs/>
          <w:sz w:val="22"/>
          <w:szCs w:val="22"/>
        </w:rPr>
        <w:t>,</w:t>
      </w:r>
      <w:r w:rsidR="00757335" w:rsidRPr="00D17944">
        <w:rPr>
          <w:rFonts w:cstheme="minorHAnsi"/>
          <w:bCs/>
          <w:sz w:val="22"/>
          <w:szCs w:val="22"/>
        </w:rPr>
        <w:t xml:space="preserve"> </w:t>
      </w:r>
      <w:r w:rsidR="009E650B" w:rsidRPr="00D17944">
        <w:rPr>
          <w:rFonts w:cstheme="minorHAnsi"/>
          <w:bCs/>
          <w:sz w:val="22"/>
          <w:szCs w:val="22"/>
        </w:rPr>
        <w:t xml:space="preserve">demonstrated </w:t>
      </w:r>
      <w:r w:rsidR="00167DA9" w:rsidRPr="00D17944">
        <w:rPr>
          <w:rFonts w:cstheme="minorHAnsi"/>
          <w:bCs/>
          <w:sz w:val="22"/>
          <w:szCs w:val="22"/>
        </w:rPr>
        <w:t xml:space="preserve">a rate of </w:t>
      </w:r>
      <w:r w:rsidR="009E650B" w:rsidRPr="00D17944">
        <w:rPr>
          <w:rFonts w:cstheme="minorHAnsi"/>
          <w:bCs/>
          <w:sz w:val="22"/>
          <w:szCs w:val="22"/>
        </w:rPr>
        <w:t xml:space="preserve">end stage kidney disease (ESKD) </w:t>
      </w:r>
      <w:r w:rsidR="00153A56">
        <w:rPr>
          <w:rFonts w:cstheme="minorHAnsi"/>
          <w:bCs/>
          <w:sz w:val="22"/>
          <w:szCs w:val="22"/>
        </w:rPr>
        <w:t>of</w:t>
      </w:r>
      <w:r w:rsidR="009E650B" w:rsidRPr="00D17944">
        <w:rPr>
          <w:rFonts w:cstheme="minorHAnsi"/>
          <w:bCs/>
          <w:sz w:val="22"/>
          <w:szCs w:val="22"/>
        </w:rPr>
        <w:t xml:space="preserve"> 12% at </w:t>
      </w:r>
      <w:r w:rsidR="00153A56">
        <w:rPr>
          <w:rFonts w:cstheme="minorHAnsi"/>
          <w:bCs/>
          <w:sz w:val="22"/>
          <w:szCs w:val="22"/>
        </w:rPr>
        <w:t xml:space="preserve">just </w:t>
      </w:r>
      <w:r w:rsidR="009E650B" w:rsidRPr="00D17944">
        <w:rPr>
          <w:rFonts w:cstheme="minorHAnsi"/>
          <w:bCs/>
          <w:sz w:val="22"/>
          <w:szCs w:val="22"/>
        </w:rPr>
        <w:t xml:space="preserve">one year </w:t>
      </w:r>
      <w:r w:rsidR="009E650B" w:rsidRPr="00D17944">
        <w:rPr>
          <w:rFonts w:cstheme="minorHAnsi"/>
          <w:bCs/>
          <w:sz w:val="22"/>
          <w:szCs w:val="22"/>
        </w:rPr>
        <w:lastRenderedPageBreak/>
        <w:t xml:space="preserve">and </w:t>
      </w:r>
      <w:r w:rsidR="006C7BB1">
        <w:rPr>
          <w:rFonts w:cstheme="minorHAnsi"/>
          <w:bCs/>
          <w:sz w:val="22"/>
          <w:szCs w:val="22"/>
        </w:rPr>
        <w:t xml:space="preserve">in </w:t>
      </w:r>
      <w:r w:rsidR="00515D5D" w:rsidRPr="00D17944">
        <w:rPr>
          <w:rFonts w:cstheme="minorHAnsi"/>
          <w:bCs/>
          <w:sz w:val="22"/>
          <w:szCs w:val="22"/>
        </w:rPr>
        <w:t xml:space="preserve">patients </w:t>
      </w:r>
      <w:r w:rsidR="00153A56">
        <w:rPr>
          <w:rFonts w:cstheme="minorHAnsi"/>
          <w:bCs/>
          <w:sz w:val="22"/>
          <w:szCs w:val="22"/>
        </w:rPr>
        <w:t xml:space="preserve">with severe crescentic features </w:t>
      </w:r>
      <w:r w:rsidR="00757335" w:rsidRPr="00D17944">
        <w:rPr>
          <w:rFonts w:cstheme="minorHAnsi"/>
          <w:bCs/>
          <w:sz w:val="22"/>
          <w:szCs w:val="22"/>
        </w:rPr>
        <w:t xml:space="preserve">the </w:t>
      </w:r>
      <w:r w:rsidR="009E650B" w:rsidRPr="00D17944">
        <w:rPr>
          <w:rFonts w:cstheme="minorHAnsi"/>
          <w:bCs/>
          <w:sz w:val="22"/>
          <w:szCs w:val="22"/>
        </w:rPr>
        <w:t xml:space="preserve">median time to </w:t>
      </w:r>
      <w:r w:rsidR="00757335" w:rsidRPr="00D17944">
        <w:rPr>
          <w:rFonts w:cstheme="minorHAnsi"/>
          <w:bCs/>
          <w:sz w:val="22"/>
          <w:szCs w:val="22"/>
        </w:rPr>
        <w:t xml:space="preserve">reach </w:t>
      </w:r>
      <w:r w:rsidR="009E650B" w:rsidRPr="00D17944">
        <w:rPr>
          <w:rFonts w:cstheme="minorHAnsi"/>
          <w:bCs/>
          <w:sz w:val="22"/>
          <w:szCs w:val="22"/>
        </w:rPr>
        <w:t xml:space="preserve">ESKD </w:t>
      </w:r>
      <w:r w:rsidR="00757335" w:rsidRPr="00D17944">
        <w:rPr>
          <w:rFonts w:cstheme="minorHAnsi"/>
          <w:bCs/>
          <w:sz w:val="22"/>
          <w:szCs w:val="22"/>
        </w:rPr>
        <w:t>was only</w:t>
      </w:r>
      <w:r w:rsidR="009E650B" w:rsidRPr="00D17944">
        <w:rPr>
          <w:rFonts w:cstheme="minorHAnsi"/>
          <w:bCs/>
          <w:sz w:val="22"/>
          <w:szCs w:val="22"/>
        </w:rPr>
        <w:t xml:space="preserve"> 100 days</w:t>
      </w:r>
      <w:r w:rsidR="00E82D1C">
        <w:rPr>
          <w:rFonts w:cstheme="minorHAnsi"/>
          <w:bCs/>
          <w:sz w:val="22"/>
          <w:szCs w:val="22"/>
        </w:rPr>
        <w:t xml:space="preserve"> </w:t>
      </w:r>
      <w:r w:rsidR="00E82D1C">
        <w:rPr>
          <w:rFonts w:cstheme="minorHAnsi"/>
          <w:bCs/>
          <w:sz w:val="22"/>
          <w:szCs w:val="22"/>
        </w:rPr>
        <w:fldChar w:fldCharType="begin">
          <w:fldData xml:space="preserve">PEVuZE5vdGU+PENpdGU+PEF1dGhvcj5NYWxpYWtrYWw8L0F1dGhvcj48WWVhcj4yMDIwPC9ZZWFy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</w:fldData>
        </w:fldChar>
      </w:r>
      <w:r w:rsidR="00E82D1C">
        <w:rPr>
          <w:rFonts w:cstheme="minorHAnsi"/>
          <w:bCs/>
          <w:sz w:val="22"/>
          <w:szCs w:val="22"/>
        </w:rPr>
        <w:instrText xml:space="preserve"> ADDIN EN.CITE </w:instrText>
      </w:r>
      <w:r w:rsidR="00E82D1C">
        <w:rPr>
          <w:rFonts w:cstheme="minorHAnsi"/>
          <w:bCs/>
          <w:sz w:val="22"/>
          <w:szCs w:val="22"/>
        </w:rPr>
        <w:fldChar w:fldCharType="begin">
          <w:fldData xml:space="preserve">PEVuZE5vdGU+PENpdGU+PEF1dGhvcj5NYWxpYWtrYWw8L0F1dGhvcj48WWVhcj4yMDIwPC9ZZWFy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</w:fldData>
        </w:fldChar>
      </w:r>
      <w:r w:rsidR="00E82D1C">
        <w:rPr>
          <w:rFonts w:cstheme="minorHAnsi"/>
          <w:bCs/>
          <w:sz w:val="22"/>
          <w:szCs w:val="22"/>
        </w:rPr>
        <w:instrText xml:space="preserve"> ADDIN EN.CITE.DATA </w:instrText>
      </w:r>
      <w:r w:rsidR="00E82D1C">
        <w:rPr>
          <w:rFonts w:cstheme="minorHAnsi"/>
          <w:bCs/>
          <w:sz w:val="22"/>
          <w:szCs w:val="22"/>
        </w:rPr>
      </w:r>
      <w:r w:rsidR="00E82D1C">
        <w:rPr>
          <w:rFonts w:cstheme="minorHAnsi"/>
          <w:bCs/>
          <w:sz w:val="22"/>
          <w:szCs w:val="22"/>
        </w:rPr>
        <w:fldChar w:fldCharType="end"/>
      </w:r>
      <w:r w:rsidR="00E82D1C">
        <w:rPr>
          <w:rFonts w:cstheme="minorHAnsi"/>
          <w:bCs/>
          <w:sz w:val="22"/>
          <w:szCs w:val="22"/>
        </w:rPr>
      </w:r>
      <w:r w:rsidR="00E82D1C">
        <w:rPr>
          <w:rFonts w:cstheme="minorHAnsi"/>
          <w:bCs/>
          <w:sz w:val="22"/>
          <w:szCs w:val="22"/>
        </w:rPr>
        <w:fldChar w:fldCharType="separate"/>
      </w:r>
      <w:r w:rsidR="00E82D1C">
        <w:rPr>
          <w:rFonts w:cstheme="minorHAnsi"/>
          <w:bCs/>
          <w:noProof/>
          <w:sz w:val="22"/>
          <w:szCs w:val="22"/>
        </w:rPr>
        <w:t>(1)</w:t>
      </w:r>
      <w:r w:rsidR="00E82D1C">
        <w:rPr>
          <w:rFonts w:cstheme="minorHAnsi"/>
          <w:bCs/>
          <w:sz w:val="22"/>
          <w:szCs w:val="22"/>
        </w:rPr>
        <w:fldChar w:fldCharType="end"/>
      </w:r>
      <w:r w:rsidR="009E650B" w:rsidRPr="00D17944">
        <w:rPr>
          <w:rFonts w:cstheme="minorHAnsi"/>
          <w:bCs/>
          <w:sz w:val="22"/>
          <w:szCs w:val="22"/>
        </w:rPr>
        <w:t xml:space="preserve">. </w:t>
      </w:r>
      <w:r w:rsidR="00181BAF">
        <w:rPr>
          <w:rFonts w:cstheme="minorHAnsi"/>
          <w:bCs/>
          <w:sz w:val="22"/>
          <w:szCs w:val="22"/>
        </w:rPr>
        <w:t>Although hopefully these outcomes are improving, it is recognised that c</w:t>
      </w:r>
      <w:r w:rsidR="009F4B37">
        <w:rPr>
          <w:rFonts w:cstheme="minorHAnsi"/>
          <w:bCs/>
          <w:sz w:val="22"/>
          <w:szCs w:val="22"/>
        </w:rPr>
        <w:t>hronic kidney disease (C</w:t>
      </w:r>
      <w:r w:rsidR="00F9556E">
        <w:rPr>
          <w:rFonts w:cstheme="minorHAnsi"/>
          <w:bCs/>
          <w:sz w:val="22"/>
          <w:szCs w:val="22"/>
        </w:rPr>
        <w:t>KD</w:t>
      </w:r>
      <w:r w:rsidR="009F4B37">
        <w:rPr>
          <w:rFonts w:cstheme="minorHAnsi"/>
          <w:bCs/>
          <w:sz w:val="22"/>
          <w:szCs w:val="22"/>
        </w:rPr>
        <w:t>)</w:t>
      </w:r>
      <w:r w:rsidR="00F9556E">
        <w:rPr>
          <w:rFonts w:cstheme="minorHAnsi"/>
          <w:bCs/>
          <w:sz w:val="22"/>
          <w:szCs w:val="22"/>
        </w:rPr>
        <w:t xml:space="preserve"> due to G</w:t>
      </w:r>
      <w:r w:rsidR="009F4B37">
        <w:rPr>
          <w:rFonts w:cstheme="minorHAnsi"/>
          <w:bCs/>
          <w:sz w:val="22"/>
          <w:szCs w:val="22"/>
        </w:rPr>
        <w:t>D</w:t>
      </w:r>
      <w:r w:rsidR="000D68F1">
        <w:rPr>
          <w:rFonts w:cstheme="minorHAnsi"/>
          <w:bCs/>
          <w:sz w:val="22"/>
          <w:szCs w:val="22"/>
        </w:rPr>
        <w:t xml:space="preserve"> </w:t>
      </w:r>
      <w:r w:rsidR="00D20CBA">
        <w:rPr>
          <w:rFonts w:cstheme="minorHAnsi"/>
          <w:bCs/>
          <w:sz w:val="22"/>
          <w:szCs w:val="22"/>
        </w:rPr>
        <w:t xml:space="preserve">progresses to </w:t>
      </w:r>
      <w:r w:rsidR="00F9556E">
        <w:rPr>
          <w:rFonts w:cstheme="minorHAnsi"/>
          <w:bCs/>
          <w:sz w:val="22"/>
          <w:szCs w:val="22"/>
        </w:rPr>
        <w:t>ESKD</w:t>
      </w:r>
      <w:r w:rsidR="00D20CBA">
        <w:rPr>
          <w:rFonts w:cstheme="minorHAnsi"/>
          <w:bCs/>
          <w:sz w:val="22"/>
          <w:szCs w:val="22"/>
        </w:rPr>
        <w:t xml:space="preserve"> at a faster rate than other forms of kidney disease, a group referred to as ‘fast progressors’</w:t>
      </w:r>
      <w:r w:rsidR="00642970">
        <w:rPr>
          <w:rFonts w:cstheme="minorHAnsi"/>
          <w:bCs/>
          <w:sz w:val="22"/>
          <w:szCs w:val="22"/>
        </w:rPr>
        <w:fldChar w:fldCharType="begin"/>
      </w:r>
      <w:r w:rsidR="00642970">
        <w:rPr>
          <w:rFonts w:cstheme="minorHAnsi"/>
          <w:bCs/>
          <w:sz w:val="22"/>
          <w:szCs w:val="22"/>
        </w:rPr>
        <w:instrText xml:space="preserve"> ADDIN ZOTERO_ITEM CSL_CITATION {"citationID":"D0pswe0T","properties":{"formattedCitation":"(2)","plainCitation":"(2)","noteIndex":0},"citationItems":[{"id":662,"uris":["http://zotero.org/users/local/lvPLY4Gu/items/WSBY75A3"],"itemData":{"id":662,"type":"webpage","title":"The CKiD study: overview and summary of findings related to kidney disease progression - PubMed","URL":"https://pubmed.ncbi.nlm.nih.gov/32016626/","accessed":{"date-parts":[["2025",7,15]]}}}],"schema":"https://github.com/citation-style-language/schema/raw/master/csl-citation.json"} </w:instrText>
      </w:r>
      <w:r w:rsidR="00642970">
        <w:rPr>
          <w:rFonts w:cstheme="minorHAnsi"/>
          <w:bCs/>
          <w:sz w:val="22"/>
          <w:szCs w:val="22"/>
        </w:rPr>
        <w:fldChar w:fldCharType="separate"/>
      </w:r>
      <w:r w:rsidR="00642970">
        <w:rPr>
          <w:rFonts w:cstheme="minorHAnsi"/>
          <w:bCs/>
          <w:noProof/>
          <w:sz w:val="22"/>
          <w:szCs w:val="22"/>
        </w:rPr>
        <w:t>(2)</w:t>
      </w:r>
      <w:r w:rsidR="00642970">
        <w:rPr>
          <w:rFonts w:cstheme="minorHAnsi"/>
          <w:bCs/>
          <w:sz w:val="22"/>
          <w:szCs w:val="22"/>
        </w:rPr>
        <w:fldChar w:fldCharType="end"/>
      </w:r>
      <w:r w:rsidR="00D20CBA">
        <w:rPr>
          <w:rFonts w:cstheme="minorHAnsi"/>
          <w:bCs/>
          <w:sz w:val="22"/>
          <w:szCs w:val="22"/>
        </w:rPr>
        <w:t xml:space="preserve">. </w:t>
      </w:r>
      <w:r w:rsidR="00153A56">
        <w:rPr>
          <w:rFonts w:cstheme="minorHAnsi"/>
          <w:bCs/>
          <w:sz w:val="22"/>
          <w:szCs w:val="22"/>
        </w:rPr>
        <w:t xml:space="preserve">Kidney failure is life changing for children and </w:t>
      </w:r>
      <w:r w:rsidR="00D20CBA">
        <w:rPr>
          <w:rFonts w:cstheme="minorHAnsi"/>
          <w:bCs/>
          <w:sz w:val="22"/>
          <w:szCs w:val="22"/>
        </w:rPr>
        <w:t>young people and preventi</w:t>
      </w:r>
      <w:r w:rsidR="00181BAF">
        <w:rPr>
          <w:rFonts w:cstheme="minorHAnsi"/>
          <w:bCs/>
          <w:sz w:val="22"/>
          <w:szCs w:val="22"/>
        </w:rPr>
        <w:t>ng them</w:t>
      </w:r>
      <w:r w:rsidR="00D20CBA">
        <w:rPr>
          <w:rFonts w:cstheme="minorHAnsi"/>
          <w:bCs/>
          <w:sz w:val="22"/>
          <w:szCs w:val="22"/>
        </w:rPr>
        <w:t xml:space="preserve"> o</w:t>
      </w:r>
      <w:r w:rsidR="00181BAF">
        <w:rPr>
          <w:rFonts w:cstheme="minorHAnsi"/>
          <w:bCs/>
          <w:sz w:val="22"/>
          <w:szCs w:val="22"/>
        </w:rPr>
        <w:t>n</w:t>
      </w:r>
      <w:r w:rsidR="00D20CBA">
        <w:rPr>
          <w:rFonts w:cstheme="minorHAnsi"/>
          <w:bCs/>
          <w:sz w:val="22"/>
          <w:szCs w:val="22"/>
        </w:rPr>
        <w:t xml:space="preserve"> th</w:t>
      </w:r>
      <w:r w:rsidR="00181BAF">
        <w:rPr>
          <w:rFonts w:cstheme="minorHAnsi"/>
          <w:bCs/>
          <w:sz w:val="22"/>
          <w:szCs w:val="22"/>
        </w:rPr>
        <w:t>e</w:t>
      </w:r>
      <w:r w:rsidR="00D20CBA">
        <w:rPr>
          <w:rFonts w:cstheme="minorHAnsi"/>
          <w:bCs/>
          <w:sz w:val="22"/>
          <w:szCs w:val="22"/>
        </w:rPr>
        <w:t xml:space="preserve"> journey </w:t>
      </w:r>
      <w:r w:rsidR="00181BAF">
        <w:rPr>
          <w:rFonts w:cstheme="minorHAnsi"/>
          <w:bCs/>
          <w:sz w:val="22"/>
          <w:szCs w:val="22"/>
        </w:rPr>
        <w:t xml:space="preserve">to reach this end point </w:t>
      </w:r>
      <w:r w:rsidR="00D20CBA">
        <w:rPr>
          <w:rFonts w:cstheme="minorHAnsi"/>
          <w:bCs/>
          <w:sz w:val="22"/>
          <w:szCs w:val="22"/>
        </w:rPr>
        <w:t>is</w:t>
      </w:r>
      <w:r w:rsidR="00181BAF">
        <w:rPr>
          <w:rFonts w:cstheme="minorHAnsi"/>
          <w:bCs/>
          <w:sz w:val="22"/>
          <w:szCs w:val="22"/>
        </w:rPr>
        <w:t xml:space="preserve"> a priority</w:t>
      </w:r>
      <w:r w:rsidR="00D20CBA">
        <w:rPr>
          <w:rFonts w:cstheme="minorHAnsi"/>
          <w:bCs/>
          <w:sz w:val="22"/>
          <w:szCs w:val="22"/>
        </w:rPr>
        <w:t>. T</w:t>
      </w:r>
      <w:r w:rsidR="00153A56">
        <w:rPr>
          <w:rFonts w:cstheme="minorHAnsi"/>
          <w:bCs/>
          <w:sz w:val="22"/>
          <w:szCs w:val="22"/>
        </w:rPr>
        <w:t>h</w:t>
      </w:r>
      <w:r w:rsidR="00064358" w:rsidRPr="00D17944">
        <w:rPr>
          <w:rFonts w:cstheme="minorHAnsi"/>
          <w:bCs/>
          <w:sz w:val="22"/>
          <w:szCs w:val="22"/>
        </w:rPr>
        <w:t>e r</w:t>
      </w:r>
      <w:r w:rsidR="009E650B" w:rsidRPr="00D17944">
        <w:rPr>
          <w:rFonts w:cstheme="minorHAnsi"/>
          <w:bCs/>
          <w:sz w:val="22"/>
          <w:szCs w:val="22"/>
        </w:rPr>
        <w:t xml:space="preserve">ate of complete </w:t>
      </w:r>
      <w:r w:rsidR="00D20CBA">
        <w:rPr>
          <w:rFonts w:cstheme="minorHAnsi"/>
          <w:bCs/>
          <w:sz w:val="22"/>
          <w:szCs w:val="22"/>
        </w:rPr>
        <w:t>disease remission</w:t>
      </w:r>
      <w:r w:rsidR="009E650B" w:rsidRPr="00D17944">
        <w:rPr>
          <w:rFonts w:cstheme="minorHAnsi"/>
          <w:bCs/>
          <w:sz w:val="22"/>
          <w:szCs w:val="22"/>
        </w:rPr>
        <w:t xml:space="preserve"> </w:t>
      </w:r>
      <w:r w:rsidR="00064358" w:rsidRPr="00D17944">
        <w:rPr>
          <w:rFonts w:cstheme="minorHAnsi"/>
          <w:bCs/>
          <w:sz w:val="22"/>
          <w:szCs w:val="22"/>
        </w:rPr>
        <w:t xml:space="preserve">in </w:t>
      </w:r>
      <w:r w:rsidR="009F4B37">
        <w:rPr>
          <w:rFonts w:cstheme="minorHAnsi"/>
          <w:bCs/>
          <w:sz w:val="22"/>
          <w:szCs w:val="22"/>
        </w:rPr>
        <w:t>IM-</w:t>
      </w:r>
      <w:r w:rsidR="00064358" w:rsidRPr="00D17944">
        <w:rPr>
          <w:rFonts w:cstheme="minorHAnsi"/>
          <w:bCs/>
          <w:sz w:val="22"/>
          <w:szCs w:val="22"/>
        </w:rPr>
        <w:t>G</w:t>
      </w:r>
      <w:r w:rsidR="009F4B37">
        <w:rPr>
          <w:rFonts w:cstheme="minorHAnsi"/>
          <w:bCs/>
          <w:sz w:val="22"/>
          <w:szCs w:val="22"/>
        </w:rPr>
        <w:t>D</w:t>
      </w:r>
      <w:r w:rsidR="00D20CBA">
        <w:rPr>
          <w:rFonts w:cstheme="minorHAnsi"/>
          <w:bCs/>
          <w:sz w:val="22"/>
          <w:szCs w:val="22"/>
        </w:rPr>
        <w:t>, across all ages,</w:t>
      </w:r>
      <w:r w:rsidR="00064358" w:rsidRPr="00D17944">
        <w:rPr>
          <w:rFonts w:cstheme="minorHAnsi"/>
          <w:bCs/>
          <w:sz w:val="22"/>
          <w:szCs w:val="22"/>
        </w:rPr>
        <w:t xml:space="preserve"> </w:t>
      </w:r>
      <w:r w:rsidR="009E650B" w:rsidRPr="00D17944">
        <w:rPr>
          <w:rFonts w:cstheme="minorHAnsi"/>
          <w:bCs/>
          <w:sz w:val="22"/>
          <w:szCs w:val="22"/>
        </w:rPr>
        <w:t>remain</w:t>
      </w:r>
      <w:r w:rsidR="00D20CBA">
        <w:rPr>
          <w:rFonts w:cstheme="minorHAnsi"/>
          <w:bCs/>
          <w:sz w:val="22"/>
          <w:szCs w:val="22"/>
        </w:rPr>
        <w:t>s</w:t>
      </w:r>
      <w:r w:rsidR="009E650B" w:rsidRPr="00D17944">
        <w:rPr>
          <w:rFonts w:cstheme="minorHAnsi"/>
          <w:bCs/>
          <w:sz w:val="22"/>
          <w:szCs w:val="22"/>
        </w:rPr>
        <w:t xml:space="preserve"> suboptimal, </w:t>
      </w:r>
      <w:r w:rsidR="00051F8C" w:rsidRPr="00D17944">
        <w:rPr>
          <w:rFonts w:cstheme="minorHAnsi"/>
          <w:bCs/>
          <w:sz w:val="22"/>
          <w:szCs w:val="22"/>
        </w:rPr>
        <w:t xml:space="preserve">for example the complete response rate of lupus nephritis at </w:t>
      </w:r>
      <w:r w:rsidR="00F9556E">
        <w:rPr>
          <w:rFonts w:cstheme="minorHAnsi"/>
          <w:bCs/>
          <w:sz w:val="22"/>
          <w:szCs w:val="22"/>
        </w:rPr>
        <w:t>six</w:t>
      </w:r>
      <w:r w:rsidR="00051F8C" w:rsidRPr="00D17944">
        <w:rPr>
          <w:rFonts w:cstheme="minorHAnsi"/>
          <w:bCs/>
          <w:sz w:val="22"/>
          <w:szCs w:val="22"/>
        </w:rPr>
        <w:t xml:space="preserve"> </w:t>
      </w:r>
      <w:r w:rsidR="00F9556E">
        <w:rPr>
          <w:rFonts w:cstheme="minorHAnsi"/>
          <w:bCs/>
          <w:sz w:val="22"/>
          <w:szCs w:val="22"/>
        </w:rPr>
        <w:t xml:space="preserve">and 12 </w:t>
      </w:r>
      <w:r w:rsidR="00051F8C" w:rsidRPr="00D17944">
        <w:rPr>
          <w:rFonts w:cstheme="minorHAnsi"/>
          <w:bCs/>
          <w:sz w:val="22"/>
          <w:szCs w:val="22"/>
        </w:rPr>
        <w:t xml:space="preserve">months was </w:t>
      </w:r>
      <w:r w:rsidR="00064358" w:rsidRPr="00D17944">
        <w:rPr>
          <w:rFonts w:cstheme="minorHAnsi"/>
          <w:bCs/>
          <w:sz w:val="22"/>
          <w:szCs w:val="22"/>
        </w:rPr>
        <w:t xml:space="preserve">reported to be </w:t>
      </w:r>
      <w:r w:rsidR="00051F8C" w:rsidRPr="00D17944">
        <w:rPr>
          <w:rFonts w:cstheme="minorHAnsi"/>
          <w:bCs/>
          <w:sz w:val="22"/>
          <w:szCs w:val="22"/>
        </w:rPr>
        <w:t>65</w:t>
      </w:r>
      <w:r w:rsidR="00F9556E">
        <w:rPr>
          <w:rFonts w:cstheme="minorHAnsi"/>
          <w:bCs/>
          <w:sz w:val="22"/>
          <w:szCs w:val="22"/>
        </w:rPr>
        <w:t xml:space="preserve"> and 20</w:t>
      </w:r>
      <w:r w:rsidR="00051F8C" w:rsidRPr="00D17944">
        <w:rPr>
          <w:rFonts w:cstheme="minorHAnsi"/>
          <w:bCs/>
          <w:sz w:val="22"/>
          <w:szCs w:val="22"/>
        </w:rPr>
        <w:t>%</w:t>
      </w:r>
      <w:r w:rsidR="00F9556E">
        <w:rPr>
          <w:rFonts w:cstheme="minorHAnsi"/>
          <w:bCs/>
          <w:sz w:val="22"/>
          <w:szCs w:val="22"/>
        </w:rPr>
        <w:t>, respectively</w:t>
      </w:r>
      <w:r w:rsidR="00E82D1C">
        <w:rPr>
          <w:rFonts w:cstheme="minorHAnsi"/>
          <w:bCs/>
          <w:sz w:val="22"/>
          <w:szCs w:val="22"/>
        </w:rPr>
        <w:t xml:space="preserve"> </w:t>
      </w:r>
      <w:r w:rsidR="00E82D1C">
        <w:rPr>
          <w:rFonts w:cstheme="minorHAnsi"/>
          <w:bCs/>
          <w:sz w:val="22"/>
          <w:szCs w:val="22"/>
        </w:rPr>
        <w:fldChar w:fldCharType="begin">
          <w:fldData xml:space="preserve">PEVuZE5vdGU+PENpdGU+PEF1dGhvcj5DaGFuPC9BdXRob3I+PFllYXI+MjAyMzwvWWVhcj48UmVj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</w:fldData>
        </w:fldChar>
      </w:r>
      <w:r w:rsidR="00E82D1C">
        <w:rPr>
          <w:rFonts w:cstheme="minorHAnsi"/>
          <w:bCs/>
          <w:sz w:val="22"/>
          <w:szCs w:val="22"/>
        </w:rPr>
        <w:instrText xml:space="preserve"> ADDIN EN.CITE </w:instrText>
      </w:r>
      <w:r w:rsidR="00E82D1C">
        <w:rPr>
          <w:rFonts w:cstheme="minorHAnsi"/>
          <w:bCs/>
          <w:sz w:val="22"/>
          <w:szCs w:val="22"/>
        </w:rPr>
        <w:fldChar w:fldCharType="begin">
          <w:fldData xml:space="preserve">PEVuZE5vdGU+PENpdGU+PEF1dGhvcj5DaGFuPC9BdXRob3I+PFllYXI+MjAyMzwvWWVhcj48UmVj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</w:fldData>
        </w:fldChar>
      </w:r>
      <w:r w:rsidR="00E82D1C">
        <w:rPr>
          <w:rFonts w:cstheme="minorHAnsi"/>
          <w:bCs/>
          <w:sz w:val="22"/>
          <w:szCs w:val="22"/>
        </w:rPr>
        <w:instrText xml:space="preserve"> ADDIN EN.CITE.DATA </w:instrText>
      </w:r>
      <w:r w:rsidR="00E82D1C">
        <w:rPr>
          <w:rFonts w:cstheme="minorHAnsi"/>
          <w:bCs/>
          <w:sz w:val="22"/>
          <w:szCs w:val="22"/>
        </w:rPr>
      </w:r>
      <w:r w:rsidR="00E82D1C">
        <w:rPr>
          <w:rFonts w:cstheme="minorHAnsi"/>
          <w:bCs/>
          <w:sz w:val="22"/>
          <w:szCs w:val="22"/>
        </w:rPr>
        <w:fldChar w:fldCharType="end"/>
      </w:r>
      <w:r w:rsidR="00E82D1C">
        <w:rPr>
          <w:rFonts w:cstheme="minorHAnsi"/>
          <w:bCs/>
          <w:sz w:val="22"/>
          <w:szCs w:val="22"/>
        </w:rPr>
      </w:r>
      <w:r w:rsidR="00E82D1C">
        <w:rPr>
          <w:rFonts w:cstheme="minorHAnsi"/>
          <w:bCs/>
          <w:sz w:val="22"/>
          <w:szCs w:val="22"/>
        </w:rPr>
        <w:fldChar w:fldCharType="separate"/>
      </w:r>
      <w:r w:rsidR="00E82D1C">
        <w:rPr>
          <w:rFonts w:cstheme="minorHAnsi"/>
          <w:bCs/>
          <w:noProof/>
          <w:sz w:val="22"/>
          <w:szCs w:val="22"/>
        </w:rPr>
        <w:t>(2)</w:t>
      </w:r>
      <w:r w:rsidR="00E82D1C">
        <w:rPr>
          <w:rFonts w:cstheme="minorHAnsi"/>
          <w:bCs/>
          <w:sz w:val="22"/>
          <w:szCs w:val="22"/>
        </w:rPr>
        <w:fldChar w:fldCharType="end"/>
      </w:r>
      <w:r w:rsidR="00051F8C" w:rsidRPr="00D17944">
        <w:rPr>
          <w:rFonts w:cstheme="minorHAnsi"/>
          <w:bCs/>
          <w:sz w:val="22"/>
          <w:szCs w:val="22"/>
        </w:rPr>
        <w:t xml:space="preserve">. </w:t>
      </w:r>
      <w:r w:rsidR="00F9556E">
        <w:rPr>
          <w:rFonts w:cstheme="minorHAnsi"/>
          <w:bCs/>
          <w:sz w:val="22"/>
          <w:szCs w:val="22"/>
        </w:rPr>
        <w:t>P</w:t>
      </w:r>
      <w:r w:rsidR="00920056" w:rsidRPr="00D17944">
        <w:rPr>
          <w:rFonts w:cstheme="minorHAnsi"/>
          <w:sz w:val="22"/>
          <w:szCs w:val="22"/>
        </w:rPr>
        <w:t xml:space="preserve">rescribing of novel treatments is often </w:t>
      </w:r>
      <w:r w:rsidR="00153A56">
        <w:rPr>
          <w:rFonts w:cstheme="minorHAnsi"/>
          <w:sz w:val="22"/>
          <w:szCs w:val="22"/>
        </w:rPr>
        <w:t>challenging</w:t>
      </w:r>
      <w:r w:rsidR="00920056" w:rsidRPr="00D17944">
        <w:rPr>
          <w:rFonts w:cstheme="minorHAnsi"/>
          <w:sz w:val="22"/>
          <w:szCs w:val="22"/>
        </w:rPr>
        <w:t xml:space="preserve"> </w:t>
      </w:r>
      <w:r w:rsidR="00F9556E">
        <w:rPr>
          <w:rFonts w:cstheme="minorHAnsi"/>
          <w:sz w:val="22"/>
          <w:szCs w:val="22"/>
        </w:rPr>
        <w:t xml:space="preserve">in CYP </w:t>
      </w:r>
      <w:r w:rsidR="00920056" w:rsidRPr="00D17944">
        <w:rPr>
          <w:rFonts w:cstheme="minorHAnsi"/>
          <w:sz w:val="22"/>
          <w:szCs w:val="22"/>
        </w:rPr>
        <w:t xml:space="preserve">due to </w:t>
      </w:r>
      <w:r w:rsidR="00D20CBA">
        <w:rPr>
          <w:rFonts w:cstheme="minorHAnsi"/>
          <w:sz w:val="22"/>
          <w:szCs w:val="22"/>
        </w:rPr>
        <w:t xml:space="preserve">the few trials conducted in this population and </w:t>
      </w:r>
      <w:r w:rsidR="00920056" w:rsidRPr="00D17944">
        <w:rPr>
          <w:rFonts w:cstheme="minorHAnsi"/>
          <w:sz w:val="22"/>
          <w:szCs w:val="22"/>
        </w:rPr>
        <w:t xml:space="preserve">a lack of paediatric </w:t>
      </w:r>
      <w:r w:rsidR="009F4B37">
        <w:rPr>
          <w:rFonts w:cstheme="minorHAnsi"/>
          <w:sz w:val="22"/>
          <w:szCs w:val="22"/>
        </w:rPr>
        <w:t xml:space="preserve">specific </w:t>
      </w:r>
      <w:r w:rsidR="00153A56">
        <w:rPr>
          <w:rFonts w:cstheme="minorHAnsi"/>
          <w:sz w:val="22"/>
          <w:szCs w:val="22"/>
        </w:rPr>
        <w:t>evidence</w:t>
      </w:r>
      <w:r w:rsidR="00920056" w:rsidRPr="00D17944">
        <w:rPr>
          <w:rFonts w:cstheme="minorHAnsi"/>
          <w:sz w:val="22"/>
          <w:szCs w:val="22"/>
        </w:rPr>
        <w:t>.</w:t>
      </w:r>
      <w:r w:rsidR="00515D5D" w:rsidRPr="00D17944">
        <w:rPr>
          <w:rFonts w:cstheme="minorHAnsi"/>
          <w:sz w:val="22"/>
          <w:szCs w:val="22"/>
        </w:rPr>
        <w:t xml:space="preserve"> </w:t>
      </w:r>
      <w:r w:rsidR="00865D85">
        <w:rPr>
          <w:rFonts w:cstheme="minorHAnsi"/>
          <w:sz w:val="22"/>
          <w:szCs w:val="22"/>
        </w:rPr>
        <w:t xml:space="preserve">Consensus </w:t>
      </w:r>
      <w:r w:rsidR="00D20CBA">
        <w:rPr>
          <w:rFonts w:cstheme="minorHAnsi"/>
          <w:sz w:val="22"/>
          <w:szCs w:val="22"/>
        </w:rPr>
        <w:t xml:space="preserve">agreement in the approach to management </w:t>
      </w:r>
      <w:r w:rsidR="00865D85">
        <w:rPr>
          <w:rFonts w:cstheme="minorHAnsi"/>
          <w:sz w:val="22"/>
          <w:szCs w:val="22"/>
        </w:rPr>
        <w:t xml:space="preserve">is an initial step towards </w:t>
      </w:r>
      <w:r w:rsidR="00D20CBA">
        <w:rPr>
          <w:rFonts w:cstheme="minorHAnsi"/>
          <w:sz w:val="22"/>
          <w:szCs w:val="22"/>
        </w:rPr>
        <w:t xml:space="preserve">improving </w:t>
      </w:r>
      <w:r w:rsidR="00865D85">
        <w:rPr>
          <w:rFonts w:cstheme="minorHAnsi"/>
          <w:sz w:val="22"/>
          <w:szCs w:val="22"/>
        </w:rPr>
        <w:t xml:space="preserve">evidence generation. </w:t>
      </w:r>
      <w:r w:rsidR="00F9556E">
        <w:rPr>
          <w:rFonts w:cstheme="minorHAnsi"/>
          <w:sz w:val="22"/>
          <w:szCs w:val="22"/>
        </w:rPr>
        <w:t>C</w:t>
      </w:r>
      <w:r w:rsidR="00F50C2B" w:rsidRPr="00D17944">
        <w:rPr>
          <w:rFonts w:cstheme="minorHAnsi"/>
          <w:sz w:val="22"/>
          <w:szCs w:val="22"/>
        </w:rPr>
        <w:t>hildren typically hav</w:t>
      </w:r>
      <w:r w:rsidR="00181BAF">
        <w:rPr>
          <w:rFonts w:cstheme="minorHAnsi"/>
          <w:sz w:val="22"/>
          <w:szCs w:val="22"/>
        </w:rPr>
        <w:t>e</w:t>
      </w:r>
      <w:r w:rsidR="00F50C2B" w:rsidRPr="00D17944">
        <w:rPr>
          <w:rFonts w:cstheme="minorHAnsi"/>
          <w:sz w:val="22"/>
          <w:szCs w:val="22"/>
        </w:rPr>
        <w:t xml:space="preserve"> a more acute, potentially reversible disease process, </w:t>
      </w:r>
      <w:r w:rsidR="009F4B37">
        <w:rPr>
          <w:rFonts w:cstheme="minorHAnsi"/>
          <w:sz w:val="22"/>
          <w:szCs w:val="22"/>
        </w:rPr>
        <w:t xml:space="preserve">when compared to adults, </w:t>
      </w:r>
      <w:r w:rsidR="00D20CBA">
        <w:rPr>
          <w:rFonts w:cstheme="minorHAnsi"/>
          <w:sz w:val="22"/>
          <w:szCs w:val="22"/>
        </w:rPr>
        <w:t xml:space="preserve">where </w:t>
      </w:r>
      <w:r w:rsidR="00920056" w:rsidRPr="00D17944">
        <w:rPr>
          <w:rFonts w:cstheme="minorHAnsi"/>
          <w:sz w:val="22"/>
          <w:szCs w:val="22"/>
        </w:rPr>
        <w:t xml:space="preserve">paediatric nephrologists aspire to achieve complete </w:t>
      </w:r>
      <w:r w:rsidR="009F4B37">
        <w:rPr>
          <w:rFonts w:cstheme="minorHAnsi"/>
          <w:sz w:val="22"/>
          <w:szCs w:val="22"/>
        </w:rPr>
        <w:t>renal response</w:t>
      </w:r>
      <w:r w:rsidR="009F4B37" w:rsidRPr="00D17944">
        <w:rPr>
          <w:rFonts w:cstheme="minorHAnsi"/>
          <w:sz w:val="22"/>
          <w:szCs w:val="22"/>
        </w:rPr>
        <w:t xml:space="preserve"> </w:t>
      </w:r>
      <w:r w:rsidR="00920056" w:rsidRPr="00D17944">
        <w:rPr>
          <w:rFonts w:cstheme="minorHAnsi"/>
          <w:sz w:val="22"/>
          <w:szCs w:val="22"/>
        </w:rPr>
        <w:t xml:space="preserve">with </w:t>
      </w:r>
      <w:r w:rsidR="00064358" w:rsidRPr="00D17944">
        <w:rPr>
          <w:rFonts w:cstheme="minorHAnsi"/>
          <w:sz w:val="22"/>
          <w:szCs w:val="22"/>
        </w:rPr>
        <w:t xml:space="preserve">very </w:t>
      </w:r>
      <w:r w:rsidR="00920056" w:rsidRPr="00D17944">
        <w:rPr>
          <w:rFonts w:cstheme="minorHAnsi"/>
          <w:sz w:val="22"/>
          <w:szCs w:val="22"/>
        </w:rPr>
        <w:t xml:space="preserve">minimal </w:t>
      </w:r>
      <w:r w:rsidR="009F4B37">
        <w:rPr>
          <w:rFonts w:cstheme="minorHAnsi"/>
          <w:sz w:val="22"/>
          <w:szCs w:val="22"/>
        </w:rPr>
        <w:t xml:space="preserve">residual </w:t>
      </w:r>
      <w:r w:rsidR="00920056" w:rsidRPr="00D17944">
        <w:rPr>
          <w:rFonts w:cstheme="minorHAnsi"/>
          <w:sz w:val="22"/>
          <w:szCs w:val="22"/>
        </w:rPr>
        <w:t>proteinuria and normal kidney function</w:t>
      </w:r>
      <w:r w:rsidR="00D20CBA">
        <w:rPr>
          <w:rFonts w:cstheme="minorHAnsi"/>
          <w:sz w:val="22"/>
          <w:szCs w:val="22"/>
        </w:rPr>
        <w:t xml:space="preserve"> to provide the optimal lifelong outcome</w:t>
      </w:r>
      <w:r w:rsidR="009F4B37">
        <w:rPr>
          <w:rFonts w:cstheme="minorHAnsi"/>
          <w:sz w:val="22"/>
          <w:szCs w:val="22"/>
        </w:rPr>
        <w:t xml:space="preserve"> for this population</w:t>
      </w:r>
      <w:r w:rsidR="00F9556E">
        <w:rPr>
          <w:rFonts w:cstheme="minorHAnsi"/>
          <w:sz w:val="22"/>
          <w:szCs w:val="22"/>
        </w:rPr>
        <w:t>.</w:t>
      </w:r>
      <w:r w:rsidR="008736C0" w:rsidRPr="00D17944">
        <w:rPr>
          <w:rFonts w:cstheme="minorHAnsi"/>
          <w:sz w:val="22"/>
          <w:szCs w:val="22"/>
        </w:rPr>
        <w:t xml:space="preserve"> </w:t>
      </w:r>
      <w:r w:rsidR="00D20CBA">
        <w:rPr>
          <w:rFonts w:cstheme="minorHAnsi"/>
          <w:sz w:val="22"/>
          <w:szCs w:val="22"/>
        </w:rPr>
        <w:t xml:space="preserve">These differences require guidance specifically adapted for children. </w:t>
      </w:r>
      <w:r w:rsidR="00865D85" w:rsidRPr="00D17944">
        <w:rPr>
          <w:rFonts w:cstheme="minorHAnsi"/>
          <w:sz w:val="22"/>
          <w:szCs w:val="22"/>
        </w:rPr>
        <w:t>Several clinical international guidelines already exist in this field, including those by reputable global organisations such as the kidney disease improving global outcomes (KDIGO) and the International Paediatric Nephrology Association (IPNA)</w:t>
      </w:r>
      <w:r w:rsidR="00865D85">
        <w:rPr>
          <w:rFonts w:cstheme="minorHAnsi"/>
          <w:sz w:val="22"/>
          <w:szCs w:val="22"/>
        </w:rPr>
        <w:t xml:space="preserve">, and this project aims to translate them for </w:t>
      </w:r>
      <w:r w:rsidR="00D20CBA">
        <w:rPr>
          <w:rFonts w:cstheme="minorHAnsi"/>
          <w:sz w:val="22"/>
          <w:szCs w:val="22"/>
        </w:rPr>
        <w:t xml:space="preserve">implementation in </w:t>
      </w:r>
      <w:r w:rsidR="00865D85">
        <w:rPr>
          <w:rFonts w:cstheme="minorHAnsi"/>
          <w:sz w:val="22"/>
          <w:szCs w:val="22"/>
        </w:rPr>
        <w:t>UK practice</w:t>
      </w:r>
      <w:r w:rsidR="00181BAF">
        <w:rPr>
          <w:rFonts w:cstheme="minorHAnsi"/>
          <w:sz w:val="22"/>
          <w:szCs w:val="22"/>
        </w:rPr>
        <w:t>, where applicable</w:t>
      </w:r>
      <w:r w:rsidR="00865D85">
        <w:rPr>
          <w:rFonts w:cstheme="minorHAnsi"/>
          <w:sz w:val="22"/>
          <w:szCs w:val="22"/>
        </w:rPr>
        <w:t>.</w:t>
      </w:r>
    </w:p>
    <w:p w14:paraId="7ACDCC74" w14:textId="77777777" w:rsidR="00AA6815" w:rsidRDefault="00AA6815" w:rsidP="003F494F">
      <w:pPr>
        <w:spacing w:line="360" w:lineRule="auto"/>
        <w:jc w:val="both"/>
        <w:rPr>
          <w:rFonts w:cstheme="minorHAnsi"/>
          <w:sz w:val="22"/>
          <w:szCs w:val="22"/>
        </w:rPr>
      </w:pPr>
    </w:p>
    <w:p w14:paraId="192D3C59" w14:textId="4A9361D5" w:rsidR="00B65398" w:rsidRPr="00D17944" w:rsidRDefault="001630D4" w:rsidP="003F494F">
      <w:pPr>
        <w:spacing w:line="360" w:lineRule="auto"/>
        <w:jc w:val="both"/>
        <w:rPr>
          <w:rFonts w:cstheme="minorHAnsi"/>
          <w:bCs/>
          <w:sz w:val="22"/>
          <w:szCs w:val="22"/>
        </w:rPr>
      </w:pPr>
      <w:r w:rsidRPr="00D17944">
        <w:rPr>
          <w:rFonts w:cstheme="minorHAnsi"/>
          <w:sz w:val="22"/>
          <w:szCs w:val="22"/>
        </w:rPr>
        <w:t>U</w:t>
      </w:r>
      <w:r w:rsidR="00D46E0D" w:rsidRPr="00D17944">
        <w:rPr>
          <w:rFonts w:cstheme="minorHAnsi"/>
          <w:sz w:val="22"/>
          <w:szCs w:val="22"/>
        </w:rPr>
        <w:t>niversal kidney care (</w:t>
      </w:r>
      <w:r w:rsidR="00465631" w:rsidRPr="00D17944">
        <w:rPr>
          <w:rFonts w:cstheme="minorHAnsi"/>
          <w:sz w:val="22"/>
          <w:szCs w:val="22"/>
        </w:rPr>
        <w:t xml:space="preserve">for example </w:t>
      </w:r>
      <w:r w:rsidR="00AA6815">
        <w:rPr>
          <w:rFonts w:cstheme="minorHAnsi"/>
          <w:sz w:val="22"/>
          <w:szCs w:val="22"/>
        </w:rPr>
        <w:t xml:space="preserve">blood pressure </w:t>
      </w:r>
      <w:r w:rsidR="00D20CBA">
        <w:rPr>
          <w:rFonts w:cstheme="minorHAnsi"/>
          <w:sz w:val="22"/>
          <w:szCs w:val="22"/>
        </w:rPr>
        <w:t xml:space="preserve">control </w:t>
      </w:r>
      <w:r w:rsidR="00AA6815">
        <w:rPr>
          <w:rFonts w:cstheme="minorHAnsi"/>
          <w:sz w:val="22"/>
          <w:szCs w:val="22"/>
        </w:rPr>
        <w:t xml:space="preserve">and/or </w:t>
      </w:r>
      <w:r w:rsidR="00D46E0D" w:rsidRPr="00D17944">
        <w:rPr>
          <w:rFonts w:cstheme="minorHAnsi"/>
          <w:sz w:val="22"/>
          <w:szCs w:val="22"/>
        </w:rPr>
        <w:t xml:space="preserve">proteinuria management) </w:t>
      </w:r>
      <w:r w:rsidR="00AA6815">
        <w:rPr>
          <w:rFonts w:cstheme="minorHAnsi"/>
          <w:sz w:val="22"/>
          <w:szCs w:val="22"/>
        </w:rPr>
        <w:t xml:space="preserve">is </w:t>
      </w:r>
      <w:r w:rsidR="00D20CBA">
        <w:rPr>
          <w:rFonts w:cstheme="minorHAnsi"/>
          <w:sz w:val="22"/>
          <w:szCs w:val="22"/>
        </w:rPr>
        <w:t xml:space="preserve">also </w:t>
      </w:r>
      <w:r w:rsidR="00AA6815">
        <w:rPr>
          <w:rFonts w:cstheme="minorHAnsi"/>
          <w:sz w:val="22"/>
          <w:szCs w:val="22"/>
        </w:rPr>
        <w:t xml:space="preserve">an </w:t>
      </w:r>
      <w:r w:rsidR="00D46E0D" w:rsidRPr="00D17944">
        <w:rPr>
          <w:rFonts w:cstheme="minorHAnsi"/>
          <w:sz w:val="22"/>
          <w:szCs w:val="22"/>
        </w:rPr>
        <w:t xml:space="preserve">important </w:t>
      </w:r>
      <w:r w:rsidRPr="00D17944">
        <w:rPr>
          <w:rFonts w:cstheme="minorHAnsi"/>
          <w:sz w:val="22"/>
          <w:szCs w:val="22"/>
        </w:rPr>
        <w:t xml:space="preserve">aspect of </w:t>
      </w:r>
      <w:r w:rsidR="00AA6815">
        <w:rPr>
          <w:rFonts w:cstheme="minorHAnsi"/>
          <w:sz w:val="22"/>
          <w:szCs w:val="22"/>
        </w:rPr>
        <w:t xml:space="preserve">the </w:t>
      </w:r>
      <w:r w:rsidR="00AA6815" w:rsidRPr="00D17944">
        <w:rPr>
          <w:rFonts w:cstheme="minorHAnsi"/>
          <w:sz w:val="22"/>
          <w:szCs w:val="22"/>
        </w:rPr>
        <w:t xml:space="preserve">basic standard of care </w:t>
      </w:r>
      <w:r w:rsidR="00D46E0D" w:rsidRPr="00D17944">
        <w:rPr>
          <w:rFonts w:cstheme="minorHAnsi"/>
          <w:sz w:val="22"/>
          <w:szCs w:val="22"/>
        </w:rPr>
        <w:t xml:space="preserve">as an adjunct to </w:t>
      </w:r>
      <w:r w:rsidR="00D20CBA">
        <w:rPr>
          <w:rFonts w:cstheme="minorHAnsi"/>
          <w:sz w:val="22"/>
          <w:szCs w:val="22"/>
        </w:rPr>
        <w:t>management</w:t>
      </w:r>
      <w:r w:rsidR="00865D85">
        <w:rPr>
          <w:rFonts w:cstheme="minorHAnsi"/>
          <w:sz w:val="22"/>
          <w:szCs w:val="22"/>
        </w:rPr>
        <w:t xml:space="preserve"> and therefore</w:t>
      </w:r>
      <w:r w:rsidR="00F16259">
        <w:rPr>
          <w:rFonts w:cstheme="minorHAnsi"/>
          <w:sz w:val="22"/>
          <w:szCs w:val="22"/>
        </w:rPr>
        <w:t xml:space="preserve"> helpful agreed guidance</w:t>
      </w:r>
      <w:r w:rsidR="00865D85">
        <w:rPr>
          <w:rFonts w:cstheme="minorHAnsi"/>
          <w:sz w:val="22"/>
          <w:szCs w:val="22"/>
        </w:rPr>
        <w:t xml:space="preserve"> is included </w:t>
      </w:r>
      <w:r w:rsidR="00D20CBA">
        <w:rPr>
          <w:rFonts w:cstheme="minorHAnsi"/>
          <w:sz w:val="22"/>
          <w:szCs w:val="22"/>
        </w:rPr>
        <w:t xml:space="preserve">as an appendix </w:t>
      </w:r>
      <w:r w:rsidR="00865D85">
        <w:rPr>
          <w:rFonts w:cstheme="minorHAnsi"/>
          <w:sz w:val="22"/>
          <w:szCs w:val="22"/>
        </w:rPr>
        <w:t>in this document</w:t>
      </w:r>
      <w:r w:rsidR="00D46E0D" w:rsidRPr="00D17944">
        <w:rPr>
          <w:rFonts w:cstheme="minorHAnsi"/>
          <w:sz w:val="22"/>
          <w:szCs w:val="22"/>
        </w:rPr>
        <w:t xml:space="preserve">. </w:t>
      </w:r>
    </w:p>
    <w:p w14:paraId="6CB82AF3" w14:textId="77777777" w:rsidR="009136E0" w:rsidRPr="00056ABA" w:rsidRDefault="009136E0" w:rsidP="003F494F">
      <w:pPr>
        <w:spacing w:line="360" w:lineRule="auto"/>
        <w:rPr>
          <w:rFonts w:cstheme="minorHAnsi"/>
          <w:b/>
          <w:bCs/>
          <w:sz w:val="22"/>
          <w:szCs w:val="22"/>
        </w:rPr>
      </w:pPr>
      <w:bookmarkStart w:id="2" w:name="_Toc85711734"/>
    </w:p>
    <w:p w14:paraId="26CFC77A" w14:textId="12B96083" w:rsidR="00233A77" w:rsidRPr="00056ABA" w:rsidRDefault="001630D4" w:rsidP="003F494F">
      <w:pPr>
        <w:spacing w:line="360" w:lineRule="auto"/>
        <w:rPr>
          <w:rFonts w:cstheme="minorHAnsi"/>
          <w:b/>
          <w:bCs/>
          <w:sz w:val="22"/>
          <w:szCs w:val="22"/>
        </w:rPr>
      </w:pPr>
      <w:r w:rsidRPr="00056ABA">
        <w:rPr>
          <w:rFonts w:cstheme="minorHAnsi"/>
          <w:b/>
          <w:bCs/>
          <w:sz w:val="22"/>
          <w:szCs w:val="22"/>
        </w:rPr>
        <w:t>Guideline development group</w:t>
      </w:r>
    </w:p>
    <w:p w14:paraId="0C2464FF" w14:textId="6922FAFD" w:rsidR="00233A77" w:rsidRPr="00D17944" w:rsidRDefault="001630D4" w:rsidP="003F494F">
      <w:pPr>
        <w:spacing w:line="360" w:lineRule="auto"/>
        <w:jc w:val="both"/>
        <w:rPr>
          <w:rFonts w:cstheme="minorHAnsi"/>
          <w:sz w:val="22"/>
          <w:szCs w:val="22"/>
        </w:rPr>
      </w:pPr>
      <w:r w:rsidRPr="00D17944">
        <w:rPr>
          <w:rFonts w:cstheme="minorHAnsi"/>
          <w:sz w:val="22"/>
          <w:szCs w:val="22"/>
        </w:rPr>
        <w:t xml:space="preserve">The guideline development group (GDG) </w:t>
      </w:r>
      <w:r w:rsidR="00064358" w:rsidRPr="00D17944">
        <w:rPr>
          <w:rFonts w:cstheme="minorHAnsi"/>
          <w:sz w:val="22"/>
          <w:szCs w:val="22"/>
        </w:rPr>
        <w:t xml:space="preserve">was formed and </w:t>
      </w:r>
      <w:r w:rsidRPr="00D17944">
        <w:rPr>
          <w:rFonts w:cstheme="minorHAnsi"/>
          <w:sz w:val="22"/>
          <w:szCs w:val="22"/>
        </w:rPr>
        <w:t xml:space="preserve">is referred to as the UK Children’s </w:t>
      </w:r>
      <w:r w:rsidR="00F16259">
        <w:rPr>
          <w:rFonts w:cstheme="minorHAnsi"/>
          <w:sz w:val="22"/>
          <w:szCs w:val="22"/>
        </w:rPr>
        <w:t>IM-GD</w:t>
      </w:r>
      <w:r w:rsidRPr="00D17944">
        <w:rPr>
          <w:rFonts w:cstheme="minorHAnsi"/>
          <w:sz w:val="22"/>
          <w:szCs w:val="22"/>
        </w:rPr>
        <w:t xml:space="preserve"> GDG.  </w:t>
      </w:r>
      <w:r w:rsidR="00064358" w:rsidRPr="00D17944">
        <w:rPr>
          <w:rFonts w:cstheme="minorHAnsi"/>
          <w:sz w:val="22"/>
          <w:szCs w:val="22"/>
        </w:rPr>
        <w:t xml:space="preserve">An advert was </w:t>
      </w:r>
      <w:r w:rsidR="00F16259">
        <w:rPr>
          <w:rFonts w:cstheme="minorHAnsi"/>
          <w:sz w:val="22"/>
          <w:szCs w:val="22"/>
        </w:rPr>
        <w:t xml:space="preserve">sent out using the British </w:t>
      </w:r>
      <w:proofErr w:type="spellStart"/>
      <w:r w:rsidR="00F16259">
        <w:rPr>
          <w:rFonts w:cstheme="minorHAnsi"/>
          <w:sz w:val="22"/>
          <w:szCs w:val="22"/>
        </w:rPr>
        <w:t>Assocation</w:t>
      </w:r>
      <w:proofErr w:type="spellEnd"/>
      <w:r w:rsidR="00F16259">
        <w:rPr>
          <w:rFonts w:cstheme="minorHAnsi"/>
          <w:sz w:val="22"/>
          <w:szCs w:val="22"/>
        </w:rPr>
        <w:t xml:space="preserve"> of Paediatric Nephrology (BAPN) and UK Kidney Association (UKKA) networks request</w:t>
      </w:r>
      <w:r w:rsidR="00204123" w:rsidRPr="00D17944">
        <w:rPr>
          <w:rFonts w:cstheme="minorHAnsi"/>
          <w:sz w:val="22"/>
          <w:szCs w:val="22"/>
        </w:rPr>
        <w:t xml:space="preserve">ing </w:t>
      </w:r>
      <w:r w:rsidR="00064358" w:rsidRPr="00D17944">
        <w:rPr>
          <w:rFonts w:cstheme="minorHAnsi"/>
          <w:sz w:val="22"/>
          <w:szCs w:val="22"/>
        </w:rPr>
        <w:t>expressions of interest</w:t>
      </w:r>
      <w:r w:rsidR="00F16259">
        <w:rPr>
          <w:rFonts w:cstheme="minorHAnsi"/>
          <w:sz w:val="22"/>
          <w:szCs w:val="22"/>
        </w:rPr>
        <w:t xml:space="preserve"> to contribute</w:t>
      </w:r>
      <w:r w:rsidR="00064358" w:rsidRPr="00D17944">
        <w:rPr>
          <w:rFonts w:cstheme="minorHAnsi"/>
          <w:sz w:val="22"/>
          <w:szCs w:val="22"/>
        </w:rPr>
        <w:t xml:space="preserve">. Kidney Voices for Research and kidney themed patient association groups were used to assist with finding lay contributors. </w:t>
      </w:r>
      <w:r w:rsidRPr="00D17944">
        <w:rPr>
          <w:rFonts w:cstheme="minorHAnsi"/>
          <w:sz w:val="22"/>
          <w:szCs w:val="22"/>
        </w:rPr>
        <w:t>The group consisted of a Chair, a clinical lead, an experienced UKKA guideline representative, clinical expert members representing all 13 UK paediatric nephrology centres, an adult nephrologist, a general paediatrician, paediatric nephrology trainee representatives, a paediatric renal pharmacist, a specialist paediatric nephrology nurse, a paediatric rheumatologist, a paediatric pathologist</w:t>
      </w:r>
      <w:r w:rsidR="00F51149">
        <w:rPr>
          <w:rFonts w:cstheme="minorHAnsi"/>
          <w:sz w:val="22"/>
          <w:szCs w:val="22"/>
        </w:rPr>
        <w:t>,</w:t>
      </w:r>
      <w:r w:rsidRPr="00D17944">
        <w:rPr>
          <w:rFonts w:cstheme="minorHAnsi"/>
          <w:sz w:val="22"/>
          <w:szCs w:val="22"/>
        </w:rPr>
        <w:t xml:space="preserve"> and lay patient/parent representatives</w:t>
      </w:r>
      <w:r w:rsidR="008736C0" w:rsidRPr="00D17944">
        <w:rPr>
          <w:rFonts w:cstheme="minorHAnsi"/>
          <w:sz w:val="22"/>
          <w:szCs w:val="22"/>
        </w:rPr>
        <w:t xml:space="preserve"> (</w:t>
      </w:r>
      <w:r w:rsidR="00F16259">
        <w:rPr>
          <w:rFonts w:cstheme="minorHAnsi"/>
          <w:sz w:val="22"/>
          <w:szCs w:val="22"/>
        </w:rPr>
        <w:t xml:space="preserve">for list of members please </w:t>
      </w:r>
      <w:r w:rsidR="008736C0" w:rsidRPr="00D17944">
        <w:rPr>
          <w:rFonts w:cstheme="minorHAnsi"/>
          <w:sz w:val="22"/>
          <w:szCs w:val="22"/>
        </w:rPr>
        <w:t>see appendix 1)</w:t>
      </w:r>
      <w:r w:rsidRPr="00D17944">
        <w:rPr>
          <w:rFonts w:cstheme="minorHAnsi"/>
          <w:sz w:val="22"/>
          <w:szCs w:val="22"/>
        </w:rPr>
        <w:t xml:space="preserve">. Advice was sought from relevant paediatric subspecialists as needed, e.g. paediatric endocrinology and immunology. </w:t>
      </w:r>
    </w:p>
    <w:p w14:paraId="27368D98" w14:textId="77777777" w:rsidR="009136E0" w:rsidRPr="00056ABA" w:rsidRDefault="009136E0" w:rsidP="003F494F">
      <w:pPr>
        <w:spacing w:line="360" w:lineRule="auto"/>
        <w:rPr>
          <w:rFonts w:cstheme="minorHAnsi"/>
          <w:b/>
          <w:bCs/>
          <w:sz w:val="22"/>
          <w:szCs w:val="22"/>
        </w:rPr>
      </w:pPr>
    </w:p>
    <w:p w14:paraId="310D22C5" w14:textId="21A3E28A" w:rsidR="005E3A5A" w:rsidRPr="00056ABA" w:rsidRDefault="001630D4" w:rsidP="003F494F">
      <w:pPr>
        <w:spacing w:line="360" w:lineRule="auto"/>
        <w:rPr>
          <w:rFonts w:cstheme="minorHAnsi"/>
          <w:b/>
          <w:bCs/>
          <w:sz w:val="22"/>
          <w:szCs w:val="22"/>
        </w:rPr>
      </w:pPr>
      <w:r w:rsidRPr="00056ABA">
        <w:rPr>
          <w:rFonts w:cstheme="minorHAnsi"/>
          <w:b/>
          <w:bCs/>
          <w:sz w:val="22"/>
          <w:szCs w:val="22"/>
        </w:rPr>
        <w:t>Methodology</w:t>
      </w:r>
    </w:p>
    <w:p w14:paraId="2F6AF9E0" w14:textId="78DE462D" w:rsidR="00F66C3F" w:rsidRPr="007D3D74" w:rsidRDefault="001630D4" w:rsidP="003F494F">
      <w:pPr>
        <w:spacing w:line="360" w:lineRule="auto"/>
        <w:jc w:val="both"/>
        <w:rPr>
          <w:rFonts w:cstheme="minorHAnsi"/>
          <w:sz w:val="22"/>
          <w:szCs w:val="22"/>
        </w:rPr>
      </w:pPr>
      <w:r w:rsidRPr="00D17944">
        <w:rPr>
          <w:rFonts w:eastAsia="Times New Roman" w:cstheme="minorHAnsi"/>
          <w:sz w:val="22"/>
          <w:szCs w:val="22"/>
          <w:lang w:eastAsia="en-GB"/>
        </w:rPr>
        <w:t xml:space="preserve">The guideline </w:t>
      </w:r>
      <w:r w:rsidR="00465631" w:rsidRPr="00D17944">
        <w:rPr>
          <w:rFonts w:eastAsia="Times New Roman" w:cstheme="minorHAnsi"/>
          <w:sz w:val="22"/>
          <w:szCs w:val="22"/>
          <w:lang w:eastAsia="en-GB"/>
        </w:rPr>
        <w:t>was</w:t>
      </w:r>
      <w:r w:rsidRPr="00D17944">
        <w:rPr>
          <w:rFonts w:eastAsia="Times New Roman" w:cstheme="minorHAnsi"/>
          <w:sz w:val="22"/>
          <w:szCs w:val="22"/>
          <w:lang w:eastAsia="en-GB"/>
        </w:rPr>
        <w:t xml:space="preserve"> developed according to the </w:t>
      </w:r>
      <w:r w:rsidR="00F80529" w:rsidRPr="00D17944">
        <w:rPr>
          <w:rFonts w:eastAsia="Times New Roman" w:cstheme="minorHAnsi"/>
          <w:sz w:val="22"/>
          <w:szCs w:val="22"/>
          <w:lang w:eastAsia="en-GB"/>
        </w:rPr>
        <w:t xml:space="preserve">UK Kidney Association (UKKA) </w:t>
      </w:r>
      <w:r w:rsidR="00F80529" w:rsidRPr="00D17944">
        <w:rPr>
          <w:rFonts w:eastAsia="Times New Roman" w:cstheme="minorHAnsi"/>
          <w:i/>
          <w:sz w:val="22"/>
          <w:szCs w:val="22"/>
          <w:lang w:eastAsia="en-GB"/>
        </w:rPr>
        <w:t xml:space="preserve">Clinical Practice Guideline Development Manual </w:t>
      </w:r>
      <w:r w:rsidR="00F80529" w:rsidRPr="00D17944">
        <w:rPr>
          <w:rFonts w:eastAsia="Times New Roman" w:cstheme="minorHAnsi"/>
          <w:sz w:val="22"/>
          <w:szCs w:val="22"/>
          <w:lang w:eastAsia="en-GB"/>
        </w:rPr>
        <w:t>(</w:t>
      </w:r>
      <w:r w:rsidR="00920056" w:rsidRPr="00D17944">
        <w:rPr>
          <w:rFonts w:eastAsia="Times New Roman" w:cstheme="minorHAnsi"/>
          <w:sz w:val="22"/>
          <w:szCs w:val="22"/>
          <w:lang w:eastAsia="en-GB"/>
        </w:rPr>
        <w:t>Originally published by the Renal Association in September 2016</w:t>
      </w:r>
      <w:r w:rsidR="00F80529" w:rsidRPr="00D17944">
        <w:rPr>
          <w:rFonts w:eastAsia="Times New Roman" w:cstheme="minorHAnsi"/>
          <w:sz w:val="22"/>
          <w:szCs w:val="22"/>
          <w:lang w:eastAsia="en-GB"/>
        </w:rPr>
        <w:t>)</w:t>
      </w:r>
      <w:r w:rsidR="00AA6815">
        <w:rPr>
          <w:rFonts w:eastAsia="Times New Roman" w:cstheme="minorHAnsi"/>
          <w:sz w:val="22"/>
          <w:szCs w:val="22"/>
          <w:lang w:eastAsia="en-GB"/>
        </w:rPr>
        <w:t xml:space="preserve"> </w:t>
      </w:r>
      <w:r w:rsidRPr="00D17944">
        <w:rPr>
          <w:rFonts w:eastAsia="Times New Roman" w:cstheme="minorHAnsi"/>
          <w:sz w:val="22"/>
          <w:szCs w:val="22"/>
          <w:lang w:eastAsia="en-GB"/>
        </w:rPr>
        <w:t xml:space="preserve">and in accordance with the </w:t>
      </w:r>
      <w:r w:rsidRPr="00D17944">
        <w:rPr>
          <w:rFonts w:eastAsia="Times New Roman" w:cstheme="minorHAnsi"/>
          <w:i/>
          <w:sz w:val="22"/>
          <w:szCs w:val="22"/>
          <w:lang w:eastAsia="en-GB"/>
        </w:rPr>
        <w:t xml:space="preserve">Appraisals of Guidelines for research and evaluation II </w:t>
      </w:r>
      <w:r w:rsidRPr="00D17944">
        <w:rPr>
          <w:rFonts w:eastAsia="Times New Roman" w:cstheme="minorHAnsi"/>
          <w:sz w:val="22"/>
          <w:szCs w:val="22"/>
          <w:lang w:eastAsia="en-GB"/>
        </w:rPr>
        <w:t>instrument</w:t>
      </w:r>
      <w:r w:rsidR="00E82D1C">
        <w:rPr>
          <w:rFonts w:eastAsia="Times New Roman" w:cstheme="minorHAnsi"/>
          <w:sz w:val="22"/>
          <w:szCs w:val="22"/>
          <w:lang w:eastAsia="en-GB"/>
        </w:rPr>
        <w:t xml:space="preserve"> </w:t>
      </w:r>
      <w:r w:rsidR="00E82D1C">
        <w:rPr>
          <w:rFonts w:eastAsia="Times New Roman" w:cstheme="minorHAnsi"/>
          <w:sz w:val="22"/>
          <w:szCs w:val="22"/>
          <w:lang w:eastAsia="en-GB"/>
        </w:rPr>
        <w:fldChar w:fldCharType="begin"/>
      </w:r>
      <w:r w:rsidR="00E82D1C">
        <w:rPr>
          <w:rFonts w:eastAsia="Times New Roman" w:cstheme="minorHAnsi"/>
          <w:sz w:val="22"/>
          <w:szCs w:val="22"/>
          <w:lang w:eastAsia="en-GB"/>
        </w:rPr>
        <w:instrText xml:space="preserve"> ADDIN EN.CITE &lt;EndNote&gt;&lt;Cite&gt;&lt;Author&gt;Brouwers&lt;/Author&gt;&lt;Year&gt;2010&lt;/Year&gt;&lt;RecNum&gt;67&lt;/RecNum&gt;&lt;DisplayText&gt;(4)&lt;/DisplayText&gt;&lt;record&gt;&lt;rec-number&gt;67&lt;/rec-number&gt;&lt;foreign-keys&gt;&lt;key app="EN" db-id="xsz9vfrfx2vpwre9d2pptr2695eaxsswepzp" timestamp="1716405985"&gt;67&lt;/key&gt;&lt;/foreign-keys&gt;&lt;ref-type name="Journal Article"&gt;17&lt;/ref-type&gt;&lt;contributors&gt;&lt;authors&gt;&lt;author&gt;Brouwers, M. C.&lt;/author&gt;&lt;author&gt;Kho, M. E.&lt;/author&gt;&lt;author&gt;Browman, G. P.&lt;/author&gt;&lt;author&gt;Burgers, J. S.&lt;/author&gt;&lt;author&gt;Cluzeau, F.&lt;/author&gt;&lt;author&gt;Feder, G.&lt;/author&gt;&lt;author&gt;Fervers, B.&lt;/author&gt;&lt;author&gt;Graham, I. D.&lt;/author&gt;&lt;author&gt;Grimshaw, J.&lt;/author&gt;&lt;author&gt;Hanna, S. E.&lt;/author&gt;&lt;author&gt;Littlejohns, P.&lt;/author&gt;&lt;author&gt;Makarski, J.&lt;/author&gt;&lt;author&gt;Zitzelsberger, L.&lt;/author&gt;&lt;author&gt;Agree Next Steps Consortium&lt;/author&gt;&lt;/authors&gt;&lt;/contributors&gt;&lt;auth-address&gt;Department of Oncology, McMaster University, Hamilton, Ontario, Canada. mbrouwer@mcmaster.ca&lt;/auth-address&gt;&lt;titles&gt;&lt;title&gt;AGREE II: advancing guideline development, reporting, and evaluation in health care&lt;/title&gt;&lt;secondary-title&gt;Prev Med&lt;/secondary-title&gt;&lt;/titles&gt;&lt;periodical&gt;&lt;full-title&gt;Prev Med&lt;/full-title&gt;&lt;/periodical&gt;&lt;pages&gt;421-4&lt;/pages&gt;&lt;volume&gt;51&lt;/volume&gt;&lt;number&gt;5&lt;/number&gt;&lt;edition&gt;20100820&lt;/edition&gt;&lt;keywords&gt;&lt;keyword&gt;*Delivery of Health Care&lt;/keyword&gt;&lt;keyword&gt;Manuals as Topic&lt;/keyword&gt;&lt;keyword&gt;*Practice Guidelines as Topic&lt;/keyword&gt;&lt;keyword&gt;Program Development&lt;/keyword&gt;&lt;/keywords&gt;&lt;dates&gt;&lt;year&gt;2010&lt;/year&gt;&lt;pub-dates&gt;&lt;date&gt;Nov&lt;/date&gt;&lt;/pub-dates&gt;&lt;/dates&gt;&lt;isbn&gt;1096-0260 (Electronic)&amp;#xD;0091-7435 (Linking)&lt;/isbn&gt;&lt;accession-num&gt;20728466&lt;/accession-num&gt;&lt;urls&gt;&lt;related-urls&gt;&lt;url&gt;https://www.ncbi.nlm.nih.gov/pubmed/20728466&lt;/url&gt;&lt;/related-urls&gt;&lt;/urls&gt;&lt;electronic-resource-num&gt;10.1016/j.ypmed.2010.08.005&lt;/electronic-resource-num&gt;&lt;remote-database-name&gt;Medline&lt;/remote-database-name&gt;&lt;remote-database-provider&gt;NLM&lt;/remote-database-provider&gt;&lt;/record&gt;&lt;/Cite&gt;&lt;/EndNote&gt;</w:instrText>
      </w:r>
      <w:r w:rsidR="00E82D1C">
        <w:rPr>
          <w:rFonts w:eastAsia="Times New Roman" w:cstheme="minorHAnsi"/>
          <w:sz w:val="22"/>
          <w:szCs w:val="22"/>
          <w:lang w:eastAsia="en-GB"/>
        </w:rPr>
        <w:fldChar w:fldCharType="separate"/>
      </w:r>
      <w:r w:rsidR="00E82D1C">
        <w:rPr>
          <w:rFonts w:eastAsia="Times New Roman" w:cstheme="minorHAnsi"/>
          <w:noProof/>
          <w:sz w:val="22"/>
          <w:szCs w:val="22"/>
          <w:lang w:eastAsia="en-GB"/>
        </w:rPr>
        <w:t>(4)</w:t>
      </w:r>
      <w:r w:rsidR="00E82D1C">
        <w:rPr>
          <w:rFonts w:eastAsia="Times New Roman" w:cstheme="minorHAnsi"/>
          <w:sz w:val="22"/>
          <w:szCs w:val="22"/>
          <w:lang w:eastAsia="en-GB"/>
        </w:rPr>
        <w:fldChar w:fldCharType="end"/>
      </w:r>
      <w:r w:rsidRPr="00D17944">
        <w:rPr>
          <w:rFonts w:eastAsia="Times New Roman" w:cstheme="minorHAnsi"/>
          <w:sz w:val="22"/>
          <w:szCs w:val="22"/>
          <w:lang w:eastAsia="en-GB"/>
        </w:rPr>
        <w:t xml:space="preserve">. </w:t>
      </w:r>
      <w:r w:rsidR="00064358" w:rsidRPr="00D17944">
        <w:rPr>
          <w:rFonts w:eastAsia="Times New Roman" w:cstheme="minorHAnsi"/>
          <w:sz w:val="22"/>
          <w:szCs w:val="22"/>
          <w:lang w:eastAsia="en-GB"/>
        </w:rPr>
        <w:t xml:space="preserve">The guideline followed standard developmental stages. </w:t>
      </w:r>
      <w:r w:rsidR="00064358" w:rsidRPr="00D17944">
        <w:rPr>
          <w:rFonts w:cstheme="minorHAnsi"/>
          <w:sz w:val="22"/>
          <w:szCs w:val="22"/>
        </w:rPr>
        <w:t xml:space="preserve">The </w:t>
      </w:r>
      <w:r w:rsidR="00F16259">
        <w:rPr>
          <w:rFonts w:cstheme="minorHAnsi"/>
          <w:sz w:val="22"/>
          <w:szCs w:val="22"/>
        </w:rPr>
        <w:lastRenderedPageBreak/>
        <w:t xml:space="preserve">Children’s IM-GD </w:t>
      </w:r>
      <w:r w:rsidR="00064358" w:rsidRPr="00D17944">
        <w:rPr>
          <w:rFonts w:cstheme="minorHAnsi"/>
          <w:sz w:val="22"/>
          <w:szCs w:val="22"/>
        </w:rPr>
        <w:t xml:space="preserve">GDG defined the topic areas and key questions for the scope document.  </w:t>
      </w:r>
      <w:r w:rsidR="00204123" w:rsidRPr="00D17944">
        <w:rPr>
          <w:rFonts w:cstheme="minorHAnsi"/>
          <w:sz w:val="22"/>
          <w:szCs w:val="22"/>
        </w:rPr>
        <w:t xml:space="preserve">The scope included the population, setting, target audience, intended users, and key clinical questions. </w:t>
      </w:r>
      <w:r w:rsidR="00F16259">
        <w:rPr>
          <w:rFonts w:cstheme="minorHAnsi"/>
          <w:sz w:val="22"/>
          <w:szCs w:val="22"/>
        </w:rPr>
        <w:t xml:space="preserve">It was distributed during a period of open consultation to request wider feedback at the initial stages. </w:t>
      </w:r>
      <w:r w:rsidR="00204123" w:rsidRPr="00D17944">
        <w:rPr>
          <w:rFonts w:cstheme="minorHAnsi"/>
          <w:sz w:val="22"/>
          <w:szCs w:val="22"/>
        </w:rPr>
        <w:t xml:space="preserve">The key questions provided a framework for the literature review </w:t>
      </w:r>
      <w:r w:rsidR="00204123" w:rsidRPr="00D17944">
        <w:rPr>
          <w:rFonts w:eastAsia="Times New Roman" w:cstheme="minorHAnsi"/>
          <w:sz w:val="22"/>
          <w:szCs w:val="22"/>
          <w:lang w:eastAsia="en-GB"/>
        </w:rPr>
        <w:t xml:space="preserve">that included using pre-defined methodology and working in partnership with stakeholders. </w:t>
      </w:r>
      <w:r w:rsidRPr="00D17944">
        <w:rPr>
          <w:rFonts w:eastAsia="Times New Roman" w:cstheme="minorHAnsi"/>
          <w:sz w:val="22"/>
          <w:szCs w:val="22"/>
          <w:lang w:eastAsia="en-GB"/>
        </w:rPr>
        <w:t xml:space="preserve">Agreed </w:t>
      </w:r>
      <w:r w:rsidR="00B8215A" w:rsidRPr="00D17944">
        <w:rPr>
          <w:rFonts w:eastAsia="Times New Roman" w:cstheme="minorHAnsi"/>
          <w:sz w:val="22"/>
          <w:szCs w:val="22"/>
          <w:lang w:eastAsia="en-GB"/>
        </w:rPr>
        <w:t xml:space="preserve">treatment plans </w:t>
      </w:r>
      <w:r w:rsidR="00465631" w:rsidRPr="00D17944">
        <w:rPr>
          <w:rFonts w:eastAsia="Times New Roman" w:cstheme="minorHAnsi"/>
          <w:sz w:val="22"/>
          <w:szCs w:val="22"/>
          <w:lang w:eastAsia="en-GB"/>
        </w:rPr>
        <w:t>were</w:t>
      </w:r>
      <w:r w:rsidRPr="00D17944">
        <w:rPr>
          <w:rFonts w:eastAsia="Times New Roman" w:cstheme="minorHAnsi"/>
          <w:sz w:val="22"/>
          <w:szCs w:val="22"/>
          <w:lang w:eastAsia="en-GB"/>
        </w:rPr>
        <w:t xml:space="preserve"> derived from topic areas and key questions </w:t>
      </w:r>
      <w:r w:rsidR="00465631" w:rsidRPr="00D17944">
        <w:rPr>
          <w:rFonts w:eastAsia="Times New Roman" w:cstheme="minorHAnsi"/>
          <w:sz w:val="22"/>
          <w:szCs w:val="22"/>
          <w:lang w:eastAsia="en-GB"/>
        </w:rPr>
        <w:t>were</w:t>
      </w:r>
      <w:r w:rsidRPr="00D17944">
        <w:rPr>
          <w:rFonts w:eastAsia="Times New Roman" w:cstheme="minorHAnsi"/>
          <w:sz w:val="22"/>
          <w:szCs w:val="22"/>
          <w:lang w:eastAsia="en-GB"/>
        </w:rPr>
        <w:t xml:space="preserve"> developed by the UK </w:t>
      </w:r>
      <w:r w:rsidR="00896768" w:rsidRPr="00D17944">
        <w:rPr>
          <w:rFonts w:eastAsia="Times New Roman" w:cstheme="minorHAnsi"/>
          <w:sz w:val="22"/>
          <w:szCs w:val="22"/>
          <w:lang w:eastAsia="en-GB"/>
        </w:rPr>
        <w:t>C</w:t>
      </w:r>
      <w:r w:rsidR="009866BE" w:rsidRPr="00D17944">
        <w:rPr>
          <w:rFonts w:eastAsia="Times New Roman" w:cstheme="minorHAnsi"/>
          <w:sz w:val="22"/>
          <w:szCs w:val="22"/>
          <w:lang w:eastAsia="en-GB"/>
        </w:rPr>
        <w:t xml:space="preserve">hildren’s </w:t>
      </w:r>
      <w:r w:rsidRPr="00D17944">
        <w:rPr>
          <w:rFonts w:eastAsia="Times New Roman" w:cstheme="minorHAnsi"/>
          <w:sz w:val="22"/>
          <w:szCs w:val="22"/>
          <w:lang w:eastAsia="en-GB"/>
        </w:rPr>
        <w:t>GN GDG</w:t>
      </w:r>
      <w:r w:rsidR="00465631" w:rsidRPr="00D17944">
        <w:rPr>
          <w:rFonts w:eastAsia="Times New Roman" w:cstheme="minorHAnsi"/>
          <w:sz w:val="22"/>
          <w:szCs w:val="22"/>
          <w:lang w:eastAsia="en-GB"/>
        </w:rPr>
        <w:t>. The recommendations</w:t>
      </w:r>
      <w:r w:rsidRPr="00D17944">
        <w:rPr>
          <w:rFonts w:eastAsia="Times New Roman" w:cstheme="minorHAnsi"/>
          <w:sz w:val="22"/>
          <w:szCs w:val="22"/>
          <w:lang w:eastAsia="en-GB"/>
        </w:rPr>
        <w:t xml:space="preserve"> </w:t>
      </w:r>
      <w:r w:rsidR="00AA6815">
        <w:rPr>
          <w:rFonts w:eastAsia="Times New Roman" w:cstheme="minorHAnsi"/>
          <w:sz w:val="22"/>
          <w:szCs w:val="22"/>
          <w:lang w:eastAsia="en-GB"/>
        </w:rPr>
        <w:t xml:space="preserve">were designed to </w:t>
      </w:r>
      <w:r w:rsidRPr="00D17944">
        <w:rPr>
          <w:rFonts w:eastAsia="Times New Roman" w:cstheme="minorHAnsi"/>
          <w:sz w:val="22"/>
          <w:szCs w:val="22"/>
          <w:lang w:eastAsia="en-GB"/>
        </w:rPr>
        <w:t xml:space="preserve">take into consideration the findings of the </w:t>
      </w:r>
      <w:r w:rsidR="00465631" w:rsidRPr="00D17944">
        <w:rPr>
          <w:rFonts w:eastAsia="Times New Roman" w:cstheme="minorHAnsi"/>
          <w:sz w:val="22"/>
          <w:szCs w:val="22"/>
          <w:lang w:eastAsia="en-GB"/>
        </w:rPr>
        <w:t xml:space="preserve">existing international guidelines, </w:t>
      </w:r>
      <w:r w:rsidRPr="00D17944">
        <w:rPr>
          <w:rFonts w:eastAsia="Times New Roman" w:cstheme="minorHAnsi"/>
          <w:sz w:val="22"/>
          <w:szCs w:val="22"/>
          <w:lang w:eastAsia="en-GB"/>
        </w:rPr>
        <w:t xml:space="preserve">systematic </w:t>
      </w:r>
      <w:r w:rsidR="00AA6815">
        <w:rPr>
          <w:rFonts w:eastAsia="Times New Roman" w:cstheme="minorHAnsi"/>
          <w:sz w:val="22"/>
          <w:szCs w:val="22"/>
          <w:lang w:eastAsia="en-GB"/>
        </w:rPr>
        <w:t xml:space="preserve">review of the latest </w:t>
      </w:r>
      <w:r w:rsidRPr="00D17944">
        <w:rPr>
          <w:rFonts w:eastAsia="Times New Roman" w:cstheme="minorHAnsi"/>
          <w:sz w:val="22"/>
          <w:szCs w:val="22"/>
          <w:lang w:eastAsia="en-GB"/>
        </w:rPr>
        <w:t xml:space="preserve">evidence, existing local protocols and practices, clinical experts and </w:t>
      </w:r>
      <w:r w:rsidR="00AA6815" w:rsidRPr="00D17944">
        <w:rPr>
          <w:rFonts w:eastAsia="Times New Roman" w:cstheme="minorHAnsi"/>
          <w:sz w:val="22"/>
          <w:szCs w:val="22"/>
          <w:lang w:eastAsia="en-GB"/>
        </w:rPr>
        <w:t xml:space="preserve">the consensus of </w:t>
      </w:r>
      <w:r w:rsidRPr="00D17944">
        <w:rPr>
          <w:rFonts w:eastAsia="Times New Roman" w:cstheme="minorHAnsi"/>
          <w:sz w:val="22"/>
          <w:szCs w:val="22"/>
          <w:lang w:eastAsia="en-GB"/>
        </w:rPr>
        <w:t xml:space="preserve">the GDG. </w:t>
      </w:r>
      <w:r w:rsidR="008736C0" w:rsidRPr="00D17944">
        <w:rPr>
          <w:rFonts w:eastAsia="Times New Roman" w:cstheme="minorHAnsi"/>
          <w:sz w:val="22"/>
          <w:szCs w:val="22"/>
          <w:lang w:eastAsia="en-GB"/>
        </w:rPr>
        <w:t>To ensure</w:t>
      </w:r>
      <w:r w:rsidR="002E11C9" w:rsidRPr="00D17944">
        <w:rPr>
          <w:rFonts w:eastAsia="Times New Roman" w:cstheme="minorHAnsi"/>
          <w:sz w:val="22"/>
          <w:szCs w:val="22"/>
          <w:lang w:eastAsia="en-GB"/>
        </w:rPr>
        <w:t xml:space="preserve"> wider agreement, </w:t>
      </w:r>
      <w:r w:rsidR="00F16259">
        <w:rPr>
          <w:rFonts w:eastAsia="Times New Roman" w:cstheme="minorHAnsi"/>
          <w:sz w:val="22"/>
          <w:szCs w:val="22"/>
          <w:lang w:eastAsia="en-GB"/>
        </w:rPr>
        <w:t xml:space="preserve">following peer review from the GDG members, </w:t>
      </w:r>
      <w:r w:rsidR="00465631" w:rsidRPr="00D17944">
        <w:rPr>
          <w:rFonts w:eastAsia="Times New Roman" w:cstheme="minorHAnsi"/>
          <w:sz w:val="22"/>
          <w:szCs w:val="22"/>
          <w:lang w:eastAsia="en-GB"/>
        </w:rPr>
        <w:t xml:space="preserve">a period </w:t>
      </w:r>
      <w:r w:rsidR="007D3D74">
        <w:rPr>
          <w:rFonts w:eastAsia="Times New Roman" w:cstheme="minorHAnsi"/>
          <w:sz w:val="22"/>
          <w:szCs w:val="22"/>
          <w:lang w:eastAsia="en-GB"/>
        </w:rPr>
        <w:t xml:space="preserve">of </w:t>
      </w:r>
      <w:r w:rsidR="00465631" w:rsidRPr="00D17944">
        <w:rPr>
          <w:rFonts w:eastAsia="Times New Roman" w:cstheme="minorHAnsi"/>
          <w:sz w:val="22"/>
          <w:szCs w:val="22"/>
          <w:lang w:eastAsia="en-GB"/>
        </w:rPr>
        <w:t>open consultation</w:t>
      </w:r>
      <w:r w:rsidR="00F16259">
        <w:rPr>
          <w:rFonts w:eastAsia="Times New Roman" w:cstheme="minorHAnsi"/>
          <w:sz w:val="22"/>
          <w:szCs w:val="22"/>
          <w:lang w:eastAsia="en-GB"/>
        </w:rPr>
        <w:t xml:space="preserve"> at the end</w:t>
      </w:r>
      <w:r w:rsidR="00465631" w:rsidRPr="00D17944">
        <w:rPr>
          <w:rFonts w:eastAsia="Times New Roman" w:cstheme="minorHAnsi"/>
          <w:sz w:val="22"/>
          <w:szCs w:val="22"/>
          <w:lang w:eastAsia="en-GB"/>
        </w:rPr>
        <w:t xml:space="preserve"> </w:t>
      </w:r>
      <w:r w:rsidR="00AA6815">
        <w:rPr>
          <w:rFonts w:eastAsia="Times New Roman" w:cstheme="minorHAnsi"/>
          <w:sz w:val="22"/>
          <w:szCs w:val="22"/>
          <w:lang w:eastAsia="en-GB"/>
        </w:rPr>
        <w:t>took</w:t>
      </w:r>
      <w:r w:rsidR="00465631" w:rsidRPr="00D17944">
        <w:rPr>
          <w:rFonts w:eastAsia="Times New Roman" w:cstheme="minorHAnsi"/>
          <w:sz w:val="22"/>
          <w:szCs w:val="22"/>
          <w:lang w:eastAsia="en-GB"/>
        </w:rPr>
        <w:t xml:space="preserve"> place</w:t>
      </w:r>
      <w:r w:rsidR="007D3D74">
        <w:rPr>
          <w:rFonts w:eastAsia="Times New Roman" w:cstheme="minorHAnsi"/>
          <w:sz w:val="22"/>
          <w:szCs w:val="22"/>
          <w:lang w:eastAsia="en-GB"/>
        </w:rPr>
        <w:t xml:space="preserve"> to gather further feedback</w:t>
      </w:r>
      <w:r w:rsidRPr="00D17944">
        <w:rPr>
          <w:rFonts w:eastAsia="Times New Roman" w:cstheme="minorHAnsi"/>
          <w:sz w:val="22"/>
          <w:szCs w:val="22"/>
          <w:lang w:eastAsia="en-GB"/>
        </w:rPr>
        <w:t>. In line with the recommended wording, the terminology used for each clinical recommendation reflect</w:t>
      </w:r>
      <w:r w:rsidR="007D3D74">
        <w:rPr>
          <w:rFonts w:eastAsia="Times New Roman" w:cstheme="minorHAnsi"/>
          <w:sz w:val="22"/>
          <w:szCs w:val="22"/>
          <w:lang w:eastAsia="en-GB"/>
        </w:rPr>
        <w:t>ed</w:t>
      </w:r>
      <w:r w:rsidRPr="00D17944">
        <w:rPr>
          <w:rFonts w:eastAsia="Times New Roman" w:cstheme="minorHAnsi"/>
          <w:sz w:val="22"/>
          <w:szCs w:val="22"/>
          <w:lang w:eastAsia="en-GB"/>
        </w:rPr>
        <w:t xml:space="preserve"> the strength of the </w:t>
      </w:r>
      <w:r w:rsidRPr="007D3D74">
        <w:rPr>
          <w:rFonts w:eastAsia="Times New Roman" w:cstheme="minorHAnsi"/>
          <w:sz w:val="22"/>
          <w:szCs w:val="22"/>
          <w:lang w:eastAsia="en-GB"/>
        </w:rPr>
        <w:t xml:space="preserve">evidence supporting the recommendation. </w:t>
      </w:r>
      <w:r w:rsidR="006F0C5C" w:rsidRPr="007D3D74">
        <w:rPr>
          <w:rFonts w:cstheme="minorHAnsi"/>
          <w:sz w:val="22"/>
          <w:szCs w:val="22"/>
        </w:rPr>
        <w:t xml:space="preserve"> The working group committed to monthly virtual meetings, face to face events took place </w:t>
      </w:r>
      <w:r w:rsidR="007D3D74" w:rsidRPr="007D3D74">
        <w:rPr>
          <w:rFonts w:cstheme="minorHAnsi"/>
          <w:sz w:val="22"/>
          <w:szCs w:val="22"/>
        </w:rPr>
        <w:t xml:space="preserve">in </w:t>
      </w:r>
      <w:r w:rsidR="006F0C5C" w:rsidRPr="007D3D74">
        <w:rPr>
          <w:rFonts w:cstheme="minorHAnsi"/>
          <w:sz w:val="22"/>
          <w:szCs w:val="22"/>
        </w:rPr>
        <w:t>April 2023,</w:t>
      </w:r>
      <w:r w:rsidR="007D3D74" w:rsidRPr="007D3D74">
        <w:rPr>
          <w:rFonts w:cstheme="minorHAnsi"/>
          <w:sz w:val="22"/>
          <w:szCs w:val="22"/>
        </w:rPr>
        <w:t xml:space="preserve"> </w:t>
      </w:r>
      <w:r w:rsidR="006F0C5C" w:rsidRPr="007D3D74">
        <w:rPr>
          <w:rFonts w:cstheme="minorHAnsi"/>
          <w:sz w:val="22"/>
          <w:szCs w:val="22"/>
        </w:rPr>
        <w:t>Oct 2023 and March 2024</w:t>
      </w:r>
      <w:r w:rsidR="007D3D74" w:rsidRPr="007D3D74">
        <w:rPr>
          <w:rFonts w:cstheme="minorHAnsi"/>
          <w:sz w:val="22"/>
          <w:szCs w:val="22"/>
        </w:rPr>
        <w:t xml:space="preserve"> to </w:t>
      </w:r>
      <w:r w:rsidR="00204123">
        <w:rPr>
          <w:rFonts w:cstheme="minorHAnsi"/>
          <w:sz w:val="22"/>
          <w:szCs w:val="22"/>
        </w:rPr>
        <w:t>formulate and agree the clinical recommendations</w:t>
      </w:r>
      <w:r w:rsidR="006F0C5C" w:rsidRPr="007D3D74">
        <w:rPr>
          <w:rFonts w:cstheme="minorHAnsi"/>
          <w:sz w:val="22"/>
          <w:szCs w:val="22"/>
        </w:rPr>
        <w:t>. The guidelines w</w:t>
      </w:r>
      <w:r w:rsidR="007D3D74" w:rsidRPr="007D3D74">
        <w:rPr>
          <w:rFonts w:cstheme="minorHAnsi"/>
          <w:sz w:val="22"/>
          <w:szCs w:val="22"/>
        </w:rPr>
        <w:t>ere</w:t>
      </w:r>
      <w:r w:rsidR="006F0C5C" w:rsidRPr="007D3D74">
        <w:rPr>
          <w:rFonts w:cstheme="minorHAnsi"/>
          <w:sz w:val="22"/>
          <w:szCs w:val="22"/>
        </w:rPr>
        <w:t xml:space="preserve"> disseminated via UKKA once complete</w:t>
      </w:r>
      <w:r w:rsidR="00F37096" w:rsidRPr="007D3D74">
        <w:rPr>
          <w:rFonts w:cstheme="minorHAnsi"/>
          <w:sz w:val="22"/>
          <w:szCs w:val="22"/>
        </w:rPr>
        <w:t>d</w:t>
      </w:r>
      <w:r w:rsidR="006F0C5C" w:rsidRPr="007D3D74">
        <w:rPr>
          <w:rFonts w:cstheme="minorHAnsi"/>
          <w:sz w:val="22"/>
          <w:szCs w:val="22"/>
        </w:rPr>
        <w:t xml:space="preserve"> and a lay </w:t>
      </w:r>
      <w:r w:rsidR="00181BAF">
        <w:rPr>
          <w:rFonts w:cstheme="minorHAnsi"/>
          <w:sz w:val="22"/>
          <w:szCs w:val="22"/>
        </w:rPr>
        <w:t>summary included</w:t>
      </w:r>
      <w:r w:rsidR="006F0C5C" w:rsidRPr="007D3D74">
        <w:rPr>
          <w:rFonts w:cstheme="minorHAnsi"/>
          <w:sz w:val="22"/>
          <w:szCs w:val="22"/>
        </w:rPr>
        <w:t>.</w:t>
      </w:r>
      <w:r w:rsidR="007D3D74" w:rsidRPr="007D3D74">
        <w:rPr>
          <w:rFonts w:cstheme="minorHAnsi"/>
          <w:color w:val="000000"/>
          <w:sz w:val="22"/>
          <w:szCs w:val="22"/>
        </w:rPr>
        <w:t xml:space="preserve"> </w:t>
      </w:r>
      <w:r w:rsidR="007D3D74">
        <w:rPr>
          <w:rFonts w:cstheme="minorHAnsi"/>
          <w:color w:val="000000"/>
          <w:sz w:val="22"/>
          <w:szCs w:val="22"/>
        </w:rPr>
        <w:t xml:space="preserve">Amendments were made after </w:t>
      </w:r>
      <w:r w:rsidR="007D3D74" w:rsidRPr="007D3D74">
        <w:rPr>
          <w:rFonts w:cstheme="minorHAnsi"/>
          <w:color w:val="000000"/>
          <w:sz w:val="22"/>
          <w:szCs w:val="22"/>
        </w:rPr>
        <w:t xml:space="preserve">open consultation prior to </w:t>
      </w:r>
      <w:r w:rsidR="007D3D74">
        <w:rPr>
          <w:rFonts w:cstheme="minorHAnsi"/>
          <w:color w:val="000000"/>
          <w:sz w:val="22"/>
          <w:szCs w:val="22"/>
        </w:rPr>
        <w:t xml:space="preserve">the </w:t>
      </w:r>
      <w:r w:rsidR="007D3D74" w:rsidRPr="007D3D74">
        <w:rPr>
          <w:rFonts w:cstheme="minorHAnsi"/>
          <w:color w:val="000000"/>
          <w:sz w:val="22"/>
          <w:szCs w:val="22"/>
        </w:rPr>
        <w:t>final endorsement.</w:t>
      </w:r>
    </w:p>
    <w:p w14:paraId="0EBB5D7E" w14:textId="77777777" w:rsidR="004454AF" w:rsidRPr="007D3D74" w:rsidRDefault="004454AF" w:rsidP="003F494F">
      <w:pPr>
        <w:spacing w:line="360" w:lineRule="auto"/>
        <w:jc w:val="both"/>
        <w:rPr>
          <w:rFonts w:cstheme="minorHAnsi"/>
          <w:sz w:val="22"/>
          <w:szCs w:val="22"/>
        </w:rPr>
      </w:pPr>
    </w:p>
    <w:p w14:paraId="5F2E4727" w14:textId="77777777" w:rsidR="00E82D1C" w:rsidRPr="007D3D74" w:rsidRDefault="001630D4" w:rsidP="003F49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theme="minorHAnsi"/>
          <w:color w:val="000000"/>
          <w:sz w:val="22"/>
          <w:szCs w:val="22"/>
        </w:rPr>
      </w:pPr>
      <w:r w:rsidRPr="007D3D74">
        <w:rPr>
          <w:rFonts w:cstheme="minorHAnsi"/>
          <w:b/>
          <w:bCs/>
          <w:color w:val="000000"/>
          <w:sz w:val="22"/>
          <w:szCs w:val="22"/>
        </w:rPr>
        <w:t>Generation and grading of recommendations</w:t>
      </w:r>
    </w:p>
    <w:p w14:paraId="086B6590" w14:textId="33CC3CFC" w:rsidR="00E82D1C" w:rsidRPr="007D3D74" w:rsidRDefault="001630D4" w:rsidP="003F494F">
      <w:pPr>
        <w:spacing w:line="360" w:lineRule="auto"/>
        <w:jc w:val="both"/>
        <w:rPr>
          <w:rFonts w:cstheme="minorHAnsi"/>
          <w:sz w:val="22"/>
          <w:szCs w:val="22"/>
        </w:rPr>
      </w:pPr>
      <w:r w:rsidRPr="007D3D74">
        <w:rPr>
          <w:rFonts w:cstheme="minorHAnsi"/>
          <w:color w:val="000000"/>
          <w:sz w:val="22"/>
          <w:szCs w:val="22"/>
        </w:rPr>
        <w:t xml:space="preserve">To achieve group agreement, discussions </w:t>
      </w:r>
      <w:proofErr w:type="gramStart"/>
      <w:r w:rsidRPr="007D3D74">
        <w:rPr>
          <w:rFonts w:cstheme="minorHAnsi"/>
          <w:color w:val="000000"/>
          <w:sz w:val="22"/>
          <w:szCs w:val="22"/>
        </w:rPr>
        <w:t>took into account</w:t>
      </w:r>
      <w:proofErr w:type="gramEnd"/>
      <w:r w:rsidRPr="007D3D74">
        <w:rPr>
          <w:rFonts w:cstheme="minorHAnsi"/>
          <w:color w:val="000000"/>
          <w:sz w:val="22"/>
          <w:szCs w:val="22"/>
        </w:rPr>
        <w:t xml:space="preserve"> existing clinical practice and national or international guidelines </w:t>
      </w:r>
      <w:r w:rsidR="007D3D74" w:rsidRPr="007D3D74">
        <w:rPr>
          <w:rFonts w:cstheme="minorHAnsi"/>
          <w:color w:val="000000"/>
          <w:sz w:val="22"/>
          <w:szCs w:val="22"/>
        </w:rPr>
        <w:t>where</w:t>
      </w:r>
      <w:r w:rsidRPr="007D3D74">
        <w:rPr>
          <w:rFonts w:cstheme="minorHAnsi"/>
          <w:color w:val="000000"/>
          <w:sz w:val="22"/>
          <w:szCs w:val="22"/>
        </w:rPr>
        <w:t xml:space="preserve"> evidence was limited or lacking. The modified GRADE system was used to evaluate the strength of the recommendation, with grade 1 being a strong recommendation (depicted by ‘we recommend’), and grade 2 being a weaker recommendation (depicted by ‘we suggest’). The quality of evidence was graded A-D with grade A being high-quality evidence, grade B moderate-quality, grade C low-quality evidence from observational studies, or controlled trials with very serious limitations, grade D evidence was generally case studies or expert opinion. Studies were downgraded if there was evidence of bias, indirectness, imprecision or inconsistency of results and the strength of the recommendation could be adjusted taking into context the balance of benefit or harms to patients. </w:t>
      </w:r>
    </w:p>
    <w:p w14:paraId="0A6C4526" w14:textId="77777777" w:rsidR="00F37096" w:rsidRPr="00056ABA" w:rsidRDefault="00F37096" w:rsidP="003F494F">
      <w:pPr>
        <w:spacing w:line="360" w:lineRule="auto"/>
        <w:rPr>
          <w:rFonts w:cstheme="minorHAnsi"/>
          <w:b/>
          <w:bCs/>
          <w:i/>
          <w:iCs/>
          <w:sz w:val="22"/>
          <w:szCs w:val="22"/>
        </w:rPr>
      </w:pPr>
    </w:p>
    <w:p w14:paraId="49FCD225" w14:textId="7069158A" w:rsidR="008736C0" w:rsidRPr="00056ABA" w:rsidRDefault="001630D4" w:rsidP="003F494F">
      <w:pPr>
        <w:spacing w:line="360" w:lineRule="auto"/>
        <w:rPr>
          <w:rFonts w:cstheme="minorHAnsi"/>
          <w:b/>
          <w:bCs/>
          <w:i/>
          <w:iCs/>
          <w:sz w:val="22"/>
          <w:szCs w:val="22"/>
        </w:rPr>
      </w:pPr>
      <w:r w:rsidRPr="00056ABA">
        <w:rPr>
          <w:rFonts w:cstheme="minorHAnsi"/>
          <w:b/>
          <w:bCs/>
          <w:i/>
          <w:iCs/>
          <w:sz w:val="22"/>
          <w:szCs w:val="22"/>
        </w:rPr>
        <w:t>Populations that will be covered</w:t>
      </w:r>
    </w:p>
    <w:p w14:paraId="0316B8CD" w14:textId="4F753E26" w:rsidR="008736C0" w:rsidRPr="00D17944" w:rsidRDefault="001630D4" w:rsidP="003F494F">
      <w:pPr>
        <w:pStyle w:val="ListParagraph"/>
        <w:numPr>
          <w:ilvl w:val="0"/>
          <w:numId w:val="2"/>
        </w:numPr>
        <w:spacing w:line="360" w:lineRule="auto"/>
        <w:jc w:val="both"/>
        <w:rPr>
          <w:rFonts w:cstheme="minorHAnsi"/>
          <w:sz w:val="22"/>
          <w:szCs w:val="22"/>
        </w:rPr>
      </w:pPr>
      <w:r w:rsidRPr="00D17944">
        <w:rPr>
          <w:rFonts w:cstheme="minorHAnsi"/>
          <w:sz w:val="22"/>
          <w:szCs w:val="22"/>
        </w:rPr>
        <w:t>Children and young people aged 0-18 years presenting with IM</w:t>
      </w:r>
      <w:r w:rsidR="00F16259">
        <w:rPr>
          <w:rFonts w:cstheme="minorHAnsi"/>
          <w:sz w:val="22"/>
          <w:szCs w:val="22"/>
        </w:rPr>
        <w:t>-</w:t>
      </w:r>
      <w:r w:rsidRPr="00D17944">
        <w:rPr>
          <w:rFonts w:cstheme="minorHAnsi"/>
          <w:sz w:val="22"/>
          <w:szCs w:val="22"/>
        </w:rPr>
        <w:t xml:space="preserve">GN </w:t>
      </w:r>
      <w:r w:rsidRPr="00D17944">
        <w:rPr>
          <w:rFonts w:cstheme="minorHAnsi"/>
          <w:bCs/>
          <w:sz w:val="22"/>
          <w:szCs w:val="22"/>
        </w:rPr>
        <w:t xml:space="preserve">will include the following </w:t>
      </w:r>
      <w:proofErr w:type="gramStart"/>
      <w:r w:rsidRPr="00D17944">
        <w:rPr>
          <w:rFonts w:cstheme="minorHAnsi"/>
          <w:bCs/>
          <w:sz w:val="22"/>
          <w:szCs w:val="22"/>
        </w:rPr>
        <w:t>subtypes;</w:t>
      </w:r>
      <w:proofErr w:type="gramEnd"/>
    </w:p>
    <w:p w14:paraId="19BC3E68" w14:textId="286248F2" w:rsidR="008736C0" w:rsidRPr="00D17944" w:rsidRDefault="001630D4" w:rsidP="003F494F">
      <w:pPr>
        <w:pStyle w:val="ListParagraph"/>
        <w:numPr>
          <w:ilvl w:val="1"/>
          <w:numId w:val="6"/>
        </w:numPr>
        <w:spacing w:line="360" w:lineRule="auto"/>
        <w:jc w:val="both"/>
        <w:rPr>
          <w:rFonts w:cstheme="minorHAnsi"/>
          <w:sz w:val="22"/>
          <w:szCs w:val="22"/>
        </w:rPr>
      </w:pPr>
      <w:r w:rsidRPr="00D17944">
        <w:rPr>
          <w:rFonts w:cstheme="minorHAnsi"/>
          <w:bCs/>
          <w:sz w:val="22"/>
          <w:szCs w:val="22"/>
        </w:rPr>
        <w:t>Idiopathic nephrotic syndrome (</w:t>
      </w:r>
      <w:r w:rsidR="000D68F1">
        <w:rPr>
          <w:rFonts w:cstheme="minorHAnsi"/>
          <w:bCs/>
          <w:sz w:val="22"/>
          <w:szCs w:val="22"/>
        </w:rPr>
        <w:t>I</w:t>
      </w:r>
      <w:r w:rsidRPr="00D17944">
        <w:rPr>
          <w:rFonts w:cstheme="minorHAnsi"/>
          <w:bCs/>
          <w:sz w:val="22"/>
          <w:szCs w:val="22"/>
        </w:rPr>
        <w:t>NS)</w:t>
      </w:r>
    </w:p>
    <w:p w14:paraId="65B2DC85" w14:textId="1509FDCF" w:rsidR="008736C0" w:rsidRPr="00D17944" w:rsidRDefault="001630D4" w:rsidP="003F494F">
      <w:pPr>
        <w:pStyle w:val="ListParagraph"/>
        <w:numPr>
          <w:ilvl w:val="1"/>
          <w:numId w:val="6"/>
        </w:numPr>
        <w:spacing w:line="360" w:lineRule="auto"/>
        <w:jc w:val="both"/>
        <w:rPr>
          <w:rFonts w:cstheme="minorHAnsi"/>
          <w:sz w:val="22"/>
          <w:szCs w:val="22"/>
        </w:rPr>
      </w:pPr>
      <w:r w:rsidRPr="00D17944">
        <w:rPr>
          <w:rFonts w:cstheme="minorHAnsi"/>
          <w:bCs/>
          <w:sz w:val="22"/>
          <w:szCs w:val="22"/>
        </w:rPr>
        <w:t>Immunoglobulin A (IgA) related glomerulonephritis (</w:t>
      </w:r>
      <w:r w:rsidR="00D20CBA">
        <w:rPr>
          <w:rFonts w:cstheme="minorHAnsi"/>
          <w:bCs/>
          <w:sz w:val="22"/>
          <w:szCs w:val="22"/>
        </w:rPr>
        <w:t xml:space="preserve">including </w:t>
      </w:r>
      <w:r w:rsidRPr="00D17944">
        <w:rPr>
          <w:rFonts w:cstheme="minorHAnsi"/>
          <w:bCs/>
          <w:sz w:val="22"/>
          <w:szCs w:val="22"/>
        </w:rPr>
        <w:t>IgA nephropathy (</w:t>
      </w:r>
      <w:proofErr w:type="spellStart"/>
      <w:r w:rsidRPr="00D17944">
        <w:rPr>
          <w:rFonts w:cstheme="minorHAnsi"/>
          <w:bCs/>
          <w:sz w:val="22"/>
          <w:szCs w:val="22"/>
        </w:rPr>
        <w:t>IgAN</w:t>
      </w:r>
      <w:proofErr w:type="spellEnd"/>
      <w:r w:rsidRPr="00D17944">
        <w:rPr>
          <w:rFonts w:cstheme="minorHAnsi"/>
          <w:bCs/>
          <w:sz w:val="22"/>
          <w:szCs w:val="22"/>
        </w:rPr>
        <w:t>) and IgA vasculitis nephritis (</w:t>
      </w:r>
      <w:proofErr w:type="spellStart"/>
      <w:r w:rsidRPr="00D17944">
        <w:rPr>
          <w:rFonts w:cstheme="minorHAnsi"/>
          <w:bCs/>
          <w:sz w:val="22"/>
          <w:szCs w:val="22"/>
        </w:rPr>
        <w:t>IgAVN</w:t>
      </w:r>
      <w:proofErr w:type="spellEnd"/>
      <w:r w:rsidR="007D3D74">
        <w:rPr>
          <w:rFonts w:cstheme="minorHAnsi"/>
          <w:bCs/>
          <w:sz w:val="22"/>
          <w:szCs w:val="22"/>
        </w:rPr>
        <w:t>)</w:t>
      </w:r>
      <w:r w:rsidRPr="00D17944">
        <w:rPr>
          <w:rFonts w:cstheme="minorHAnsi"/>
          <w:bCs/>
          <w:sz w:val="22"/>
          <w:szCs w:val="22"/>
        </w:rPr>
        <w:t xml:space="preserve"> also known as HSP nephritis) </w:t>
      </w:r>
    </w:p>
    <w:p w14:paraId="19C2C8C3" w14:textId="5D952409" w:rsidR="008736C0" w:rsidRPr="00D17944" w:rsidRDefault="001630D4" w:rsidP="003F494F">
      <w:pPr>
        <w:pStyle w:val="ListParagraph"/>
        <w:numPr>
          <w:ilvl w:val="1"/>
          <w:numId w:val="6"/>
        </w:numPr>
        <w:spacing w:line="360" w:lineRule="auto"/>
        <w:jc w:val="both"/>
        <w:rPr>
          <w:rFonts w:cstheme="minorHAnsi"/>
          <w:sz w:val="22"/>
          <w:szCs w:val="22"/>
        </w:rPr>
      </w:pPr>
      <w:r w:rsidRPr="00D17944">
        <w:rPr>
          <w:rFonts w:cstheme="minorHAnsi"/>
          <w:bCs/>
          <w:sz w:val="22"/>
          <w:szCs w:val="22"/>
        </w:rPr>
        <w:t xml:space="preserve">Primary </w:t>
      </w:r>
      <w:r w:rsidR="00A77379">
        <w:rPr>
          <w:rFonts w:cstheme="minorHAnsi"/>
          <w:bCs/>
          <w:sz w:val="22"/>
          <w:szCs w:val="22"/>
        </w:rPr>
        <w:t>m</w:t>
      </w:r>
      <w:r w:rsidR="00A77379" w:rsidRPr="00D17944">
        <w:rPr>
          <w:rFonts w:cstheme="minorHAnsi"/>
          <w:bCs/>
          <w:sz w:val="22"/>
          <w:szCs w:val="22"/>
        </w:rPr>
        <w:t xml:space="preserve">embranous </w:t>
      </w:r>
      <w:r w:rsidRPr="00D17944">
        <w:rPr>
          <w:rFonts w:cstheme="minorHAnsi"/>
          <w:bCs/>
          <w:sz w:val="22"/>
          <w:szCs w:val="22"/>
        </w:rPr>
        <w:t xml:space="preserve">nephropathy (MN) </w:t>
      </w:r>
    </w:p>
    <w:p w14:paraId="609CB0A3" w14:textId="77777777" w:rsidR="008736C0" w:rsidRPr="00D17944" w:rsidRDefault="001630D4" w:rsidP="003F494F">
      <w:pPr>
        <w:pStyle w:val="ListParagraph"/>
        <w:numPr>
          <w:ilvl w:val="1"/>
          <w:numId w:val="6"/>
        </w:numPr>
        <w:spacing w:line="360" w:lineRule="auto"/>
        <w:jc w:val="both"/>
        <w:rPr>
          <w:rFonts w:cstheme="minorHAnsi"/>
          <w:sz w:val="22"/>
          <w:szCs w:val="22"/>
        </w:rPr>
      </w:pPr>
      <w:r w:rsidRPr="00D17944">
        <w:rPr>
          <w:rFonts w:cstheme="minorHAnsi"/>
          <w:bCs/>
          <w:sz w:val="22"/>
          <w:szCs w:val="22"/>
        </w:rPr>
        <w:t>Lupus nephritis (LN)</w:t>
      </w:r>
    </w:p>
    <w:p w14:paraId="76314836" w14:textId="77777777" w:rsidR="008736C0" w:rsidRPr="00D17944" w:rsidRDefault="001630D4" w:rsidP="003F494F">
      <w:pPr>
        <w:pStyle w:val="ListParagraph"/>
        <w:numPr>
          <w:ilvl w:val="1"/>
          <w:numId w:val="6"/>
        </w:numPr>
        <w:spacing w:line="360" w:lineRule="auto"/>
        <w:jc w:val="both"/>
        <w:rPr>
          <w:rFonts w:cstheme="minorHAnsi"/>
          <w:sz w:val="22"/>
          <w:szCs w:val="22"/>
        </w:rPr>
      </w:pPr>
      <w:r w:rsidRPr="00D17944">
        <w:rPr>
          <w:rFonts w:cstheme="minorHAnsi"/>
          <w:bCs/>
          <w:sz w:val="22"/>
          <w:szCs w:val="22"/>
        </w:rPr>
        <w:t xml:space="preserve">Anti-neutrophil cytoplasmic antibody (ANCA) associated vasculitis </w:t>
      </w:r>
    </w:p>
    <w:p w14:paraId="5BAC2824" w14:textId="77777777" w:rsidR="008736C0" w:rsidRPr="00D17944" w:rsidRDefault="001630D4" w:rsidP="003F494F">
      <w:pPr>
        <w:pStyle w:val="ListParagraph"/>
        <w:numPr>
          <w:ilvl w:val="1"/>
          <w:numId w:val="6"/>
        </w:numPr>
        <w:spacing w:line="360" w:lineRule="auto"/>
        <w:jc w:val="both"/>
        <w:rPr>
          <w:rFonts w:cstheme="minorHAnsi"/>
          <w:sz w:val="22"/>
          <w:szCs w:val="22"/>
        </w:rPr>
      </w:pPr>
      <w:r w:rsidRPr="00D17944">
        <w:rPr>
          <w:rFonts w:cstheme="minorHAnsi"/>
          <w:bCs/>
          <w:sz w:val="22"/>
          <w:szCs w:val="22"/>
        </w:rPr>
        <w:t>Anti-glomerular basement membrane (GBM) GN</w:t>
      </w:r>
    </w:p>
    <w:p w14:paraId="768CD5E6" w14:textId="3D9448FB" w:rsidR="008736C0" w:rsidRPr="00D17944" w:rsidRDefault="001630D4" w:rsidP="003F494F">
      <w:pPr>
        <w:pStyle w:val="ListParagraph"/>
        <w:numPr>
          <w:ilvl w:val="1"/>
          <w:numId w:val="6"/>
        </w:numPr>
        <w:spacing w:line="360" w:lineRule="auto"/>
        <w:jc w:val="both"/>
        <w:rPr>
          <w:rFonts w:cstheme="minorHAnsi"/>
          <w:sz w:val="22"/>
          <w:szCs w:val="22"/>
        </w:rPr>
      </w:pPr>
      <w:r w:rsidRPr="00D17944">
        <w:rPr>
          <w:rFonts w:cstheme="minorHAnsi"/>
          <w:bCs/>
          <w:sz w:val="22"/>
          <w:szCs w:val="22"/>
        </w:rPr>
        <w:t>I</w:t>
      </w:r>
      <w:r w:rsidR="00A77379">
        <w:rPr>
          <w:rFonts w:cstheme="minorHAnsi"/>
          <w:bCs/>
          <w:sz w:val="22"/>
          <w:szCs w:val="22"/>
        </w:rPr>
        <w:t>mmunoglobulin</w:t>
      </w:r>
      <w:r w:rsidRPr="00D17944">
        <w:rPr>
          <w:rFonts w:cstheme="minorHAnsi"/>
          <w:bCs/>
          <w:sz w:val="22"/>
          <w:szCs w:val="22"/>
        </w:rPr>
        <w:t xml:space="preserve"> and complement mediated GN with membranoproliferative GN (MPGN) pattern </w:t>
      </w:r>
    </w:p>
    <w:p w14:paraId="13F6DD2E" w14:textId="77777777" w:rsidR="008736C0" w:rsidRPr="00D17944" w:rsidRDefault="001630D4" w:rsidP="003F494F">
      <w:pPr>
        <w:pStyle w:val="ListParagraph"/>
        <w:numPr>
          <w:ilvl w:val="1"/>
          <w:numId w:val="6"/>
        </w:numPr>
        <w:spacing w:line="360" w:lineRule="auto"/>
        <w:jc w:val="both"/>
        <w:rPr>
          <w:rFonts w:cstheme="minorHAnsi"/>
          <w:sz w:val="22"/>
          <w:szCs w:val="22"/>
        </w:rPr>
      </w:pPr>
      <w:r w:rsidRPr="00D17944">
        <w:rPr>
          <w:rFonts w:cstheme="minorHAnsi"/>
          <w:bCs/>
          <w:sz w:val="22"/>
          <w:szCs w:val="22"/>
        </w:rPr>
        <w:t>Post infectious GN</w:t>
      </w:r>
    </w:p>
    <w:p w14:paraId="008FF4AC" w14:textId="77777777" w:rsidR="008736C0" w:rsidRPr="00D17944" w:rsidRDefault="008736C0" w:rsidP="003F494F">
      <w:pPr>
        <w:spacing w:line="360" w:lineRule="auto"/>
        <w:jc w:val="both"/>
        <w:rPr>
          <w:rFonts w:cstheme="minorHAnsi"/>
          <w:sz w:val="22"/>
          <w:szCs w:val="22"/>
        </w:rPr>
      </w:pPr>
    </w:p>
    <w:p w14:paraId="2DAA1E7C" w14:textId="77777777" w:rsidR="008736C0" w:rsidRPr="00056ABA" w:rsidRDefault="001630D4" w:rsidP="003F494F">
      <w:pPr>
        <w:spacing w:line="360" w:lineRule="auto"/>
        <w:rPr>
          <w:rFonts w:cstheme="minorHAnsi"/>
          <w:b/>
          <w:bCs/>
          <w:i/>
          <w:iCs/>
          <w:sz w:val="22"/>
          <w:szCs w:val="22"/>
        </w:rPr>
      </w:pPr>
      <w:r w:rsidRPr="00056ABA">
        <w:rPr>
          <w:rFonts w:cstheme="minorHAnsi"/>
          <w:b/>
          <w:bCs/>
          <w:i/>
          <w:iCs/>
          <w:sz w:val="22"/>
          <w:szCs w:val="22"/>
        </w:rPr>
        <w:t>Populations that will not be covered</w:t>
      </w:r>
    </w:p>
    <w:p w14:paraId="72605722" w14:textId="77777777" w:rsidR="008736C0" w:rsidRPr="00D17944" w:rsidRDefault="001630D4" w:rsidP="003F494F">
      <w:pPr>
        <w:spacing w:line="360" w:lineRule="auto"/>
        <w:jc w:val="both"/>
        <w:rPr>
          <w:rFonts w:cstheme="minorHAnsi"/>
          <w:sz w:val="22"/>
          <w:szCs w:val="22"/>
        </w:rPr>
      </w:pPr>
      <w:r w:rsidRPr="00D17944">
        <w:rPr>
          <w:rFonts w:cstheme="minorHAnsi"/>
          <w:sz w:val="22"/>
          <w:szCs w:val="22"/>
        </w:rPr>
        <w:t>The guideline will not include</w:t>
      </w:r>
    </w:p>
    <w:p w14:paraId="74FBA1C1" w14:textId="079389C9" w:rsidR="008736C0" w:rsidRPr="00D17944" w:rsidRDefault="001630D4" w:rsidP="003F494F">
      <w:pPr>
        <w:pStyle w:val="ListParagraph"/>
        <w:numPr>
          <w:ilvl w:val="0"/>
          <w:numId w:val="3"/>
        </w:numPr>
        <w:spacing w:line="360" w:lineRule="auto"/>
        <w:jc w:val="both"/>
        <w:rPr>
          <w:rFonts w:cstheme="minorHAnsi"/>
          <w:sz w:val="22"/>
          <w:szCs w:val="22"/>
        </w:rPr>
      </w:pPr>
      <w:r w:rsidRPr="00D17944">
        <w:rPr>
          <w:rFonts w:cstheme="minorHAnsi"/>
          <w:sz w:val="22"/>
          <w:szCs w:val="22"/>
        </w:rPr>
        <w:t xml:space="preserve">Children with </w:t>
      </w:r>
      <w:r w:rsidR="00165C92">
        <w:rPr>
          <w:rFonts w:cstheme="minorHAnsi"/>
          <w:sz w:val="22"/>
          <w:szCs w:val="22"/>
        </w:rPr>
        <w:t>a</w:t>
      </w:r>
      <w:r w:rsidR="00F16259">
        <w:rPr>
          <w:rFonts w:cstheme="minorHAnsi"/>
          <w:sz w:val="22"/>
          <w:szCs w:val="22"/>
        </w:rPr>
        <w:t>n identified</w:t>
      </w:r>
      <w:r w:rsidR="00165C92">
        <w:rPr>
          <w:rFonts w:cstheme="minorHAnsi"/>
          <w:sz w:val="22"/>
          <w:szCs w:val="22"/>
        </w:rPr>
        <w:t xml:space="preserve"> </w:t>
      </w:r>
      <w:r w:rsidR="00F16259">
        <w:rPr>
          <w:rFonts w:cstheme="minorHAnsi"/>
          <w:sz w:val="22"/>
          <w:szCs w:val="22"/>
        </w:rPr>
        <w:t>mono-</w:t>
      </w:r>
      <w:r w:rsidRPr="00D17944">
        <w:rPr>
          <w:rFonts w:cstheme="minorHAnsi"/>
          <w:sz w:val="22"/>
          <w:szCs w:val="22"/>
        </w:rPr>
        <w:t xml:space="preserve">genetic </w:t>
      </w:r>
      <w:r w:rsidR="00165C92">
        <w:rPr>
          <w:rFonts w:cstheme="minorHAnsi"/>
          <w:sz w:val="22"/>
          <w:szCs w:val="22"/>
        </w:rPr>
        <w:t>cause or</w:t>
      </w:r>
      <w:r w:rsidR="000D68F1">
        <w:rPr>
          <w:rFonts w:cstheme="minorHAnsi"/>
          <w:sz w:val="22"/>
          <w:szCs w:val="22"/>
        </w:rPr>
        <w:t xml:space="preserve"> </w:t>
      </w:r>
      <w:r w:rsidR="00F16259">
        <w:rPr>
          <w:rFonts w:cstheme="minorHAnsi"/>
          <w:sz w:val="22"/>
          <w:szCs w:val="22"/>
        </w:rPr>
        <w:t xml:space="preserve">disease </w:t>
      </w:r>
      <w:r w:rsidR="000D68F1">
        <w:rPr>
          <w:rFonts w:cstheme="minorHAnsi"/>
          <w:sz w:val="22"/>
          <w:szCs w:val="22"/>
        </w:rPr>
        <w:t xml:space="preserve">where no obvious immune driver </w:t>
      </w:r>
      <w:r w:rsidR="00F16259">
        <w:rPr>
          <w:rFonts w:cstheme="minorHAnsi"/>
          <w:sz w:val="22"/>
          <w:szCs w:val="22"/>
        </w:rPr>
        <w:t>is recognised</w:t>
      </w:r>
      <w:r w:rsidRPr="00D17944">
        <w:rPr>
          <w:rFonts w:cstheme="minorHAnsi"/>
          <w:sz w:val="22"/>
          <w:szCs w:val="22"/>
        </w:rPr>
        <w:t xml:space="preserve"> </w:t>
      </w:r>
    </w:p>
    <w:p w14:paraId="74796F02" w14:textId="55678C07" w:rsidR="008736C0" w:rsidRDefault="001630D4" w:rsidP="003F494F">
      <w:pPr>
        <w:pStyle w:val="ListParagraph"/>
        <w:numPr>
          <w:ilvl w:val="0"/>
          <w:numId w:val="3"/>
        </w:numPr>
        <w:spacing w:line="360" w:lineRule="auto"/>
        <w:jc w:val="both"/>
        <w:rPr>
          <w:rFonts w:cstheme="minorHAnsi"/>
          <w:sz w:val="22"/>
          <w:szCs w:val="22"/>
        </w:rPr>
      </w:pPr>
      <w:r w:rsidRPr="00D17944">
        <w:rPr>
          <w:rFonts w:cstheme="minorHAnsi"/>
          <w:sz w:val="22"/>
          <w:szCs w:val="22"/>
        </w:rPr>
        <w:t>Non glomerular diseases</w:t>
      </w:r>
    </w:p>
    <w:p w14:paraId="0CA2C221" w14:textId="3F618FFC" w:rsidR="00A77379" w:rsidRDefault="001630D4">
      <w:pPr>
        <w:pStyle w:val="ListParagraph"/>
        <w:numPr>
          <w:ilvl w:val="0"/>
          <w:numId w:val="3"/>
        </w:numPr>
        <w:spacing w:line="360" w:lineRule="auto"/>
        <w:jc w:val="both"/>
        <w:rPr>
          <w:rFonts w:cstheme="minorHAnsi"/>
          <w:sz w:val="22"/>
          <w:szCs w:val="22"/>
        </w:rPr>
      </w:pPr>
      <w:r w:rsidRPr="00D17944">
        <w:rPr>
          <w:rFonts w:cstheme="minorHAnsi"/>
          <w:sz w:val="22"/>
          <w:szCs w:val="22"/>
        </w:rPr>
        <w:t>Patients aged &gt;18 years</w:t>
      </w:r>
    </w:p>
    <w:p w14:paraId="0D9C1C03" w14:textId="50C6C37E" w:rsidR="00F16259" w:rsidRPr="003F494F" w:rsidRDefault="00F16259" w:rsidP="003F494F">
      <w:pPr>
        <w:pStyle w:val="ListParagraph"/>
        <w:numPr>
          <w:ilvl w:val="0"/>
          <w:numId w:val="3"/>
        </w:numPr>
        <w:spacing w:line="360" w:lineRule="auto"/>
        <w:jc w:val="both"/>
        <w:rPr>
          <w:rFonts w:cstheme="minorHAnsi"/>
          <w:sz w:val="22"/>
          <w:szCs w:val="22"/>
        </w:rPr>
      </w:pPr>
      <w:r>
        <w:rPr>
          <w:rFonts w:cstheme="minorHAnsi"/>
          <w:sz w:val="22"/>
          <w:szCs w:val="22"/>
        </w:rPr>
        <w:t xml:space="preserve">Diseases not yet covered in the KDIGO glomerular diseases guideline such as atypical haemolytic uraemic syndrome. </w:t>
      </w:r>
    </w:p>
    <w:p w14:paraId="2611EE39" w14:textId="77777777" w:rsidR="009136E0" w:rsidRPr="00056ABA" w:rsidRDefault="009136E0" w:rsidP="003F494F">
      <w:pPr>
        <w:spacing w:line="360" w:lineRule="auto"/>
        <w:rPr>
          <w:rFonts w:cstheme="minorHAnsi"/>
          <w:b/>
          <w:bCs/>
          <w:sz w:val="22"/>
          <w:szCs w:val="22"/>
        </w:rPr>
      </w:pPr>
    </w:p>
    <w:p w14:paraId="51425A1B" w14:textId="448E66FE" w:rsidR="008736C0" w:rsidRPr="00056ABA" w:rsidRDefault="001630D4" w:rsidP="003F494F">
      <w:pPr>
        <w:spacing w:line="360" w:lineRule="auto"/>
        <w:rPr>
          <w:rFonts w:cstheme="minorHAnsi"/>
          <w:b/>
          <w:bCs/>
          <w:sz w:val="22"/>
          <w:szCs w:val="22"/>
        </w:rPr>
      </w:pPr>
      <w:r w:rsidRPr="00056ABA">
        <w:rPr>
          <w:rFonts w:cstheme="minorHAnsi"/>
          <w:b/>
          <w:bCs/>
          <w:sz w:val="22"/>
          <w:szCs w:val="22"/>
        </w:rPr>
        <w:t xml:space="preserve">Target audience </w:t>
      </w:r>
    </w:p>
    <w:p w14:paraId="7987AB6D" w14:textId="5125EF88" w:rsidR="008736C0" w:rsidRPr="00D17944" w:rsidRDefault="001630D4" w:rsidP="003F494F">
      <w:pPr>
        <w:spacing w:line="360" w:lineRule="auto"/>
        <w:jc w:val="both"/>
        <w:rPr>
          <w:rFonts w:cstheme="minorHAnsi"/>
          <w:sz w:val="22"/>
          <w:szCs w:val="22"/>
        </w:rPr>
      </w:pPr>
      <w:r w:rsidRPr="00D17944">
        <w:rPr>
          <w:rFonts w:cstheme="minorHAnsi"/>
          <w:sz w:val="22"/>
          <w:szCs w:val="22"/>
        </w:rPr>
        <w:t xml:space="preserve">The guideline is aimed at </w:t>
      </w:r>
      <w:r w:rsidR="007D3D74">
        <w:rPr>
          <w:rFonts w:cstheme="minorHAnsi"/>
          <w:sz w:val="22"/>
          <w:szCs w:val="22"/>
        </w:rPr>
        <w:t xml:space="preserve">healthcare </w:t>
      </w:r>
      <w:r w:rsidRPr="00D17944">
        <w:rPr>
          <w:rFonts w:cstheme="minorHAnsi"/>
          <w:sz w:val="22"/>
          <w:szCs w:val="22"/>
        </w:rPr>
        <w:t xml:space="preserve">professionals working within secondary and tertiary care who manage CYP </w:t>
      </w:r>
      <w:r w:rsidR="007D3D74">
        <w:rPr>
          <w:rFonts w:cstheme="minorHAnsi"/>
          <w:sz w:val="22"/>
          <w:szCs w:val="22"/>
        </w:rPr>
        <w:t>during the initial 12 months of</w:t>
      </w:r>
      <w:r w:rsidRPr="00D17944">
        <w:rPr>
          <w:rFonts w:cstheme="minorHAnsi"/>
          <w:sz w:val="22"/>
          <w:szCs w:val="22"/>
        </w:rPr>
        <w:t xml:space="preserve"> </w:t>
      </w:r>
      <w:r w:rsidR="002A4060">
        <w:rPr>
          <w:rFonts w:cstheme="minorHAnsi"/>
          <w:sz w:val="22"/>
          <w:szCs w:val="22"/>
        </w:rPr>
        <w:t>IM-GD</w:t>
      </w:r>
      <w:r w:rsidRPr="00D17944">
        <w:rPr>
          <w:rFonts w:cstheme="minorHAnsi"/>
          <w:sz w:val="22"/>
          <w:szCs w:val="22"/>
        </w:rPr>
        <w:t>. This will mostly be UK paediatric nephrologists</w:t>
      </w:r>
      <w:r w:rsidR="007D3D74">
        <w:rPr>
          <w:rFonts w:cstheme="minorHAnsi"/>
          <w:sz w:val="22"/>
          <w:szCs w:val="22"/>
        </w:rPr>
        <w:t xml:space="preserve"> </w:t>
      </w:r>
      <w:r w:rsidR="00D20CBA">
        <w:rPr>
          <w:rFonts w:cstheme="minorHAnsi"/>
          <w:sz w:val="22"/>
          <w:szCs w:val="22"/>
        </w:rPr>
        <w:t xml:space="preserve">working within the </w:t>
      </w:r>
      <w:r w:rsidR="00F16259">
        <w:rPr>
          <w:rFonts w:cstheme="minorHAnsi"/>
          <w:sz w:val="22"/>
          <w:szCs w:val="22"/>
        </w:rPr>
        <w:t>BAPN</w:t>
      </w:r>
      <w:r w:rsidR="00D20CBA">
        <w:rPr>
          <w:rFonts w:cstheme="minorHAnsi"/>
          <w:sz w:val="22"/>
          <w:szCs w:val="22"/>
        </w:rPr>
        <w:t xml:space="preserve"> network </w:t>
      </w:r>
      <w:r w:rsidR="007D3D74">
        <w:rPr>
          <w:rFonts w:cstheme="minorHAnsi"/>
          <w:sz w:val="22"/>
          <w:szCs w:val="22"/>
        </w:rPr>
        <w:t xml:space="preserve">and specialist </w:t>
      </w:r>
      <w:r w:rsidRPr="00D17944">
        <w:rPr>
          <w:rFonts w:cstheme="minorHAnsi"/>
          <w:sz w:val="22"/>
          <w:szCs w:val="22"/>
        </w:rPr>
        <w:t xml:space="preserve">nursing staff </w:t>
      </w:r>
      <w:r w:rsidR="007D3D74">
        <w:rPr>
          <w:rFonts w:cstheme="minorHAnsi"/>
          <w:sz w:val="22"/>
          <w:szCs w:val="22"/>
        </w:rPr>
        <w:t xml:space="preserve">working </w:t>
      </w:r>
      <w:r w:rsidRPr="00D17944">
        <w:rPr>
          <w:rFonts w:cstheme="minorHAnsi"/>
          <w:sz w:val="22"/>
          <w:szCs w:val="22"/>
        </w:rPr>
        <w:t xml:space="preserve">in paediatric nephrology units, although some conditions may be </w:t>
      </w:r>
      <w:r w:rsidR="007D3D74">
        <w:rPr>
          <w:rFonts w:cstheme="minorHAnsi"/>
          <w:sz w:val="22"/>
          <w:szCs w:val="22"/>
        </w:rPr>
        <w:t>treated</w:t>
      </w:r>
      <w:r w:rsidRPr="00D17944">
        <w:rPr>
          <w:rFonts w:cstheme="minorHAnsi"/>
          <w:sz w:val="22"/>
          <w:szCs w:val="22"/>
        </w:rPr>
        <w:t xml:space="preserve"> by general paediatricians, adult nephrologists or other specialists depending on the </w:t>
      </w:r>
      <w:r w:rsidR="007D3D74">
        <w:rPr>
          <w:rFonts w:cstheme="minorHAnsi"/>
          <w:sz w:val="22"/>
          <w:szCs w:val="22"/>
        </w:rPr>
        <w:t xml:space="preserve">specific </w:t>
      </w:r>
      <w:r w:rsidRPr="00D17944">
        <w:rPr>
          <w:rFonts w:cstheme="minorHAnsi"/>
          <w:sz w:val="22"/>
          <w:szCs w:val="22"/>
        </w:rPr>
        <w:t>disease</w:t>
      </w:r>
      <w:r w:rsidR="00D20CBA">
        <w:rPr>
          <w:rFonts w:cstheme="minorHAnsi"/>
          <w:sz w:val="22"/>
          <w:szCs w:val="22"/>
        </w:rPr>
        <w:t>, resources,</w:t>
      </w:r>
      <w:r w:rsidRPr="00D17944">
        <w:rPr>
          <w:rFonts w:cstheme="minorHAnsi"/>
          <w:sz w:val="22"/>
          <w:szCs w:val="22"/>
        </w:rPr>
        <w:t xml:space="preserve"> and local services. The guideline </w:t>
      </w:r>
      <w:r w:rsidR="007D3D74">
        <w:rPr>
          <w:rFonts w:cstheme="minorHAnsi"/>
          <w:sz w:val="22"/>
          <w:szCs w:val="22"/>
        </w:rPr>
        <w:t>has been</w:t>
      </w:r>
      <w:r w:rsidRPr="00D17944">
        <w:rPr>
          <w:rFonts w:cstheme="minorHAnsi"/>
          <w:sz w:val="22"/>
          <w:szCs w:val="22"/>
        </w:rPr>
        <w:t xml:space="preserve"> developed for use within the UK clinical healthcare environment (National Health Service, NHS). Although the guideline </w:t>
      </w:r>
      <w:r w:rsidR="007D3D74">
        <w:rPr>
          <w:rFonts w:cstheme="minorHAnsi"/>
          <w:sz w:val="22"/>
          <w:szCs w:val="22"/>
        </w:rPr>
        <w:t>has</w:t>
      </w:r>
      <w:r w:rsidRPr="00D17944">
        <w:rPr>
          <w:rFonts w:cstheme="minorHAnsi"/>
          <w:sz w:val="22"/>
          <w:szCs w:val="22"/>
        </w:rPr>
        <w:t xml:space="preserve"> not be</w:t>
      </w:r>
      <w:r w:rsidR="007D3D74">
        <w:rPr>
          <w:rFonts w:cstheme="minorHAnsi"/>
          <w:sz w:val="22"/>
          <w:szCs w:val="22"/>
        </w:rPr>
        <w:t>en</w:t>
      </w:r>
      <w:r w:rsidRPr="00D17944">
        <w:rPr>
          <w:rFonts w:cstheme="minorHAnsi"/>
          <w:sz w:val="22"/>
          <w:szCs w:val="22"/>
        </w:rPr>
        <w:t xml:space="preserve"> directly aimed at patients, parents or carers managing </w:t>
      </w:r>
      <w:r w:rsidR="007D3D74">
        <w:rPr>
          <w:rFonts w:cstheme="minorHAnsi"/>
          <w:sz w:val="22"/>
          <w:szCs w:val="22"/>
        </w:rPr>
        <w:t>CYP</w:t>
      </w:r>
      <w:r w:rsidRPr="00D17944">
        <w:rPr>
          <w:rFonts w:cstheme="minorHAnsi"/>
          <w:sz w:val="22"/>
          <w:szCs w:val="22"/>
        </w:rPr>
        <w:t xml:space="preserve"> with </w:t>
      </w:r>
      <w:r w:rsidR="002A4060">
        <w:rPr>
          <w:rFonts w:cstheme="minorHAnsi"/>
          <w:sz w:val="22"/>
          <w:szCs w:val="22"/>
        </w:rPr>
        <w:t>IM-GD</w:t>
      </w:r>
      <w:r w:rsidRPr="00D17944">
        <w:rPr>
          <w:rFonts w:cstheme="minorHAnsi"/>
          <w:sz w:val="22"/>
          <w:szCs w:val="22"/>
        </w:rPr>
        <w:t xml:space="preserve">, their needs </w:t>
      </w:r>
      <w:r w:rsidR="00F37096" w:rsidRPr="00D17944">
        <w:rPr>
          <w:rFonts w:cstheme="minorHAnsi"/>
          <w:sz w:val="22"/>
          <w:szCs w:val="22"/>
        </w:rPr>
        <w:t>have been</w:t>
      </w:r>
      <w:r w:rsidRPr="00D17944">
        <w:rPr>
          <w:rFonts w:cstheme="minorHAnsi"/>
          <w:sz w:val="22"/>
          <w:szCs w:val="22"/>
        </w:rPr>
        <w:t xml:space="preserve"> considered throughout</w:t>
      </w:r>
      <w:r w:rsidR="007D3D74">
        <w:rPr>
          <w:rFonts w:cstheme="minorHAnsi"/>
          <w:sz w:val="22"/>
          <w:szCs w:val="22"/>
        </w:rPr>
        <w:t xml:space="preserve"> and a lay summary is included</w:t>
      </w:r>
      <w:r w:rsidRPr="00D17944">
        <w:rPr>
          <w:rFonts w:cstheme="minorHAnsi"/>
          <w:sz w:val="22"/>
          <w:szCs w:val="22"/>
        </w:rPr>
        <w:t>.</w:t>
      </w:r>
    </w:p>
    <w:p w14:paraId="28268DDF" w14:textId="77777777" w:rsidR="009136E0" w:rsidRPr="00056ABA" w:rsidRDefault="009136E0" w:rsidP="003F494F">
      <w:pPr>
        <w:spacing w:line="360" w:lineRule="auto"/>
        <w:rPr>
          <w:rFonts w:cstheme="minorHAnsi"/>
          <w:sz w:val="22"/>
          <w:szCs w:val="22"/>
        </w:rPr>
      </w:pPr>
    </w:p>
    <w:p w14:paraId="64C86AD5" w14:textId="281426F0" w:rsidR="008736C0" w:rsidRPr="00D17944" w:rsidRDefault="001630D4" w:rsidP="003F494F">
      <w:pPr>
        <w:spacing w:line="360" w:lineRule="auto"/>
        <w:rPr>
          <w:rFonts w:cstheme="minorHAnsi"/>
          <w:b/>
          <w:bCs/>
          <w:i/>
          <w:iCs/>
          <w:sz w:val="22"/>
          <w:szCs w:val="22"/>
        </w:rPr>
      </w:pPr>
      <w:r w:rsidRPr="00D17944">
        <w:rPr>
          <w:rFonts w:cstheme="minorHAnsi"/>
          <w:b/>
          <w:bCs/>
          <w:i/>
          <w:iCs/>
          <w:sz w:val="22"/>
          <w:szCs w:val="22"/>
        </w:rPr>
        <w:t xml:space="preserve">Clinical issues that were included </w:t>
      </w:r>
    </w:p>
    <w:p w14:paraId="77B75F7E" w14:textId="376315E4" w:rsidR="008736C0" w:rsidRPr="00D17944" w:rsidRDefault="001630D4" w:rsidP="003F494F">
      <w:pPr>
        <w:spacing w:line="360" w:lineRule="auto"/>
        <w:jc w:val="both"/>
        <w:rPr>
          <w:rFonts w:cstheme="minorHAnsi"/>
          <w:sz w:val="22"/>
          <w:szCs w:val="22"/>
        </w:rPr>
      </w:pPr>
      <w:r w:rsidRPr="00D17944">
        <w:rPr>
          <w:rFonts w:cstheme="minorHAnsi"/>
          <w:sz w:val="22"/>
          <w:szCs w:val="22"/>
        </w:rPr>
        <w:t xml:space="preserve">The purpose of the guideline is to </w:t>
      </w:r>
      <w:r w:rsidR="00D20CBA">
        <w:rPr>
          <w:rFonts w:cstheme="minorHAnsi"/>
          <w:sz w:val="22"/>
          <w:szCs w:val="22"/>
        </w:rPr>
        <w:t>outline</w:t>
      </w:r>
      <w:r w:rsidRPr="00D17944">
        <w:rPr>
          <w:rFonts w:cstheme="minorHAnsi"/>
          <w:sz w:val="22"/>
          <w:szCs w:val="22"/>
        </w:rPr>
        <w:t xml:space="preserve"> immunosuppressive treatment for CYP with </w:t>
      </w:r>
      <w:r w:rsidR="002A4060">
        <w:rPr>
          <w:rFonts w:cstheme="minorHAnsi"/>
          <w:sz w:val="22"/>
          <w:szCs w:val="22"/>
        </w:rPr>
        <w:t>IM-GD</w:t>
      </w:r>
      <w:r w:rsidRPr="00D17944">
        <w:rPr>
          <w:rFonts w:cstheme="minorHAnsi"/>
          <w:sz w:val="22"/>
          <w:szCs w:val="22"/>
        </w:rPr>
        <w:t xml:space="preserve">. </w:t>
      </w:r>
    </w:p>
    <w:p w14:paraId="50D7571D" w14:textId="6F4B8B5D" w:rsidR="008736C0" w:rsidRPr="00D17944" w:rsidRDefault="001630D4" w:rsidP="003F494F">
      <w:pPr>
        <w:spacing w:line="360" w:lineRule="auto"/>
        <w:jc w:val="both"/>
        <w:rPr>
          <w:rFonts w:cstheme="minorHAnsi"/>
          <w:sz w:val="22"/>
          <w:szCs w:val="22"/>
        </w:rPr>
      </w:pPr>
      <w:r w:rsidRPr="00D17944">
        <w:rPr>
          <w:rFonts w:cstheme="minorHAnsi"/>
          <w:sz w:val="22"/>
          <w:szCs w:val="22"/>
        </w:rPr>
        <w:t>This includes</w:t>
      </w:r>
      <w:r w:rsidR="00C2051E">
        <w:rPr>
          <w:rFonts w:cstheme="minorHAnsi"/>
          <w:sz w:val="22"/>
          <w:szCs w:val="22"/>
        </w:rPr>
        <w:t>:</w:t>
      </w:r>
      <w:r w:rsidRPr="00D17944">
        <w:rPr>
          <w:rFonts w:cstheme="minorHAnsi"/>
          <w:sz w:val="22"/>
          <w:szCs w:val="22"/>
        </w:rPr>
        <w:t xml:space="preserve"> </w:t>
      </w:r>
    </w:p>
    <w:p w14:paraId="7035D491" w14:textId="1C2B3E67" w:rsidR="008736C0" w:rsidRPr="00D17944" w:rsidRDefault="001630D4" w:rsidP="003F494F">
      <w:pPr>
        <w:pStyle w:val="ListParagraph"/>
        <w:numPr>
          <w:ilvl w:val="0"/>
          <w:numId w:val="4"/>
        </w:numPr>
        <w:spacing w:line="360" w:lineRule="auto"/>
        <w:jc w:val="both"/>
        <w:rPr>
          <w:rFonts w:cstheme="minorHAnsi"/>
          <w:sz w:val="22"/>
          <w:szCs w:val="22"/>
        </w:rPr>
      </w:pPr>
      <w:r w:rsidRPr="00D17944">
        <w:rPr>
          <w:rFonts w:cstheme="minorHAnsi"/>
          <w:sz w:val="22"/>
          <w:szCs w:val="22"/>
        </w:rPr>
        <w:t xml:space="preserve">Induction immunosuppressive treatment following diagnosis, including the use of </w:t>
      </w:r>
      <w:r w:rsidR="00D20CBA">
        <w:rPr>
          <w:rFonts w:cstheme="minorHAnsi"/>
          <w:sz w:val="22"/>
          <w:szCs w:val="22"/>
        </w:rPr>
        <w:t xml:space="preserve">extracorporeal treatment such as </w:t>
      </w:r>
      <w:r w:rsidRPr="00D17944">
        <w:rPr>
          <w:rFonts w:cstheme="minorHAnsi"/>
          <w:sz w:val="22"/>
          <w:szCs w:val="22"/>
        </w:rPr>
        <w:t xml:space="preserve">plasmapheresis </w:t>
      </w:r>
      <w:r w:rsidR="00D20CBA">
        <w:rPr>
          <w:rFonts w:cstheme="minorHAnsi"/>
          <w:sz w:val="22"/>
          <w:szCs w:val="22"/>
        </w:rPr>
        <w:t>where appropriate.</w:t>
      </w:r>
    </w:p>
    <w:p w14:paraId="5C28A121" w14:textId="23D0CBE8" w:rsidR="008736C0" w:rsidRDefault="001630D4" w:rsidP="003F494F">
      <w:pPr>
        <w:pStyle w:val="ListParagraph"/>
        <w:numPr>
          <w:ilvl w:val="0"/>
          <w:numId w:val="4"/>
        </w:numPr>
        <w:spacing w:line="360" w:lineRule="auto"/>
        <w:jc w:val="both"/>
        <w:rPr>
          <w:rFonts w:cstheme="minorHAnsi"/>
          <w:sz w:val="22"/>
          <w:szCs w:val="22"/>
        </w:rPr>
      </w:pPr>
      <w:r w:rsidRPr="00D17944">
        <w:rPr>
          <w:rFonts w:cstheme="minorHAnsi"/>
          <w:sz w:val="22"/>
          <w:szCs w:val="22"/>
        </w:rPr>
        <w:t>Consolidation immunosuppressive treatment over the first 12 months and treatment intensity according to specific characteristics</w:t>
      </w:r>
      <w:r w:rsidR="00D20CBA">
        <w:rPr>
          <w:rFonts w:cstheme="minorHAnsi"/>
          <w:sz w:val="22"/>
          <w:szCs w:val="22"/>
        </w:rPr>
        <w:t>.</w:t>
      </w:r>
      <w:r w:rsidRPr="00D17944">
        <w:rPr>
          <w:rFonts w:cstheme="minorHAnsi"/>
          <w:sz w:val="22"/>
          <w:szCs w:val="22"/>
        </w:rPr>
        <w:t xml:space="preserve"> </w:t>
      </w:r>
    </w:p>
    <w:p w14:paraId="2FDB774A" w14:textId="77777777" w:rsidR="00F37096" w:rsidRPr="00D17944" w:rsidRDefault="00F37096" w:rsidP="003F494F">
      <w:pPr>
        <w:spacing w:line="360" w:lineRule="auto"/>
        <w:jc w:val="both"/>
        <w:rPr>
          <w:rFonts w:cstheme="minorHAnsi"/>
          <w:sz w:val="22"/>
          <w:szCs w:val="22"/>
        </w:rPr>
      </w:pPr>
    </w:p>
    <w:p w14:paraId="1DBA62E8" w14:textId="77777777" w:rsidR="008736C0" w:rsidRPr="00D17944" w:rsidRDefault="001630D4" w:rsidP="003F494F">
      <w:pPr>
        <w:spacing w:line="360" w:lineRule="auto"/>
        <w:rPr>
          <w:rFonts w:cstheme="minorHAnsi"/>
          <w:b/>
          <w:bCs/>
          <w:i/>
          <w:iCs/>
          <w:sz w:val="22"/>
          <w:szCs w:val="22"/>
        </w:rPr>
      </w:pPr>
      <w:r w:rsidRPr="00D17944">
        <w:rPr>
          <w:rFonts w:cstheme="minorHAnsi"/>
          <w:b/>
          <w:bCs/>
          <w:i/>
          <w:iCs/>
          <w:sz w:val="22"/>
          <w:szCs w:val="22"/>
        </w:rPr>
        <w:t xml:space="preserve">Clinical issues that were not covered </w:t>
      </w:r>
    </w:p>
    <w:p w14:paraId="127111AF" w14:textId="4205B4F5" w:rsidR="008736C0" w:rsidRPr="00D17944" w:rsidRDefault="001630D4" w:rsidP="003F494F">
      <w:pPr>
        <w:pStyle w:val="ListParagraph"/>
        <w:numPr>
          <w:ilvl w:val="0"/>
          <w:numId w:val="5"/>
        </w:numPr>
        <w:spacing w:line="360" w:lineRule="auto"/>
        <w:jc w:val="both"/>
        <w:rPr>
          <w:rFonts w:cstheme="minorHAnsi"/>
          <w:sz w:val="22"/>
          <w:szCs w:val="22"/>
        </w:rPr>
      </w:pPr>
      <w:r w:rsidRPr="00D17944">
        <w:rPr>
          <w:rFonts w:cstheme="minorHAnsi"/>
          <w:sz w:val="22"/>
          <w:szCs w:val="22"/>
        </w:rPr>
        <w:t>Immunosuppressive treatment beyond the first 12 months following diagnosis</w:t>
      </w:r>
      <w:r w:rsidR="00D20CBA">
        <w:rPr>
          <w:rFonts w:cstheme="minorHAnsi"/>
          <w:sz w:val="22"/>
          <w:szCs w:val="22"/>
        </w:rPr>
        <w:t>.</w:t>
      </w:r>
    </w:p>
    <w:p w14:paraId="16C03148" w14:textId="287AE1EB" w:rsidR="008736C0" w:rsidRPr="00D17944" w:rsidRDefault="001630D4" w:rsidP="003F494F">
      <w:pPr>
        <w:pStyle w:val="ListParagraph"/>
        <w:numPr>
          <w:ilvl w:val="0"/>
          <w:numId w:val="5"/>
        </w:numPr>
        <w:spacing w:line="360" w:lineRule="auto"/>
        <w:jc w:val="both"/>
        <w:rPr>
          <w:rFonts w:cstheme="minorHAnsi"/>
          <w:sz w:val="22"/>
          <w:szCs w:val="22"/>
        </w:rPr>
      </w:pPr>
      <w:r w:rsidRPr="00D17944">
        <w:rPr>
          <w:rFonts w:cstheme="minorHAnsi"/>
          <w:sz w:val="22"/>
          <w:szCs w:val="22"/>
        </w:rPr>
        <w:t xml:space="preserve">Specific treatment of hypertension, active infections, </w:t>
      </w:r>
      <w:r w:rsidR="00D20CBA">
        <w:rPr>
          <w:rFonts w:cstheme="minorHAnsi"/>
          <w:sz w:val="22"/>
          <w:szCs w:val="22"/>
        </w:rPr>
        <w:t xml:space="preserve">or </w:t>
      </w:r>
      <w:r w:rsidRPr="00D17944">
        <w:rPr>
          <w:rFonts w:cstheme="minorHAnsi"/>
          <w:sz w:val="22"/>
          <w:szCs w:val="22"/>
        </w:rPr>
        <w:t>proven thrombosis</w:t>
      </w:r>
      <w:r w:rsidR="00D20CBA">
        <w:rPr>
          <w:rFonts w:cstheme="minorHAnsi"/>
          <w:sz w:val="22"/>
          <w:szCs w:val="22"/>
        </w:rPr>
        <w:t>.</w:t>
      </w:r>
      <w:r w:rsidRPr="00D17944">
        <w:rPr>
          <w:rFonts w:cstheme="minorHAnsi"/>
          <w:sz w:val="22"/>
          <w:szCs w:val="22"/>
        </w:rPr>
        <w:t xml:space="preserve"> </w:t>
      </w:r>
    </w:p>
    <w:p w14:paraId="662F4E4D" w14:textId="014CA111" w:rsidR="008736C0" w:rsidRPr="00D17944" w:rsidRDefault="001630D4" w:rsidP="003F494F">
      <w:pPr>
        <w:pStyle w:val="ListParagraph"/>
        <w:numPr>
          <w:ilvl w:val="0"/>
          <w:numId w:val="5"/>
        </w:numPr>
        <w:spacing w:line="360" w:lineRule="auto"/>
        <w:jc w:val="both"/>
        <w:rPr>
          <w:rFonts w:cstheme="minorHAnsi"/>
          <w:sz w:val="22"/>
          <w:szCs w:val="22"/>
        </w:rPr>
      </w:pPr>
      <w:r w:rsidRPr="00D17944">
        <w:rPr>
          <w:rFonts w:cstheme="minorHAnsi"/>
          <w:sz w:val="22"/>
          <w:szCs w:val="22"/>
        </w:rPr>
        <w:t>Management o</w:t>
      </w:r>
      <w:r w:rsidR="00D20CBA">
        <w:rPr>
          <w:rFonts w:cstheme="minorHAnsi"/>
          <w:sz w:val="22"/>
          <w:szCs w:val="22"/>
        </w:rPr>
        <w:t>f</w:t>
      </w:r>
      <w:r w:rsidRPr="00D17944">
        <w:rPr>
          <w:rFonts w:cstheme="minorHAnsi"/>
          <w:sz w:val="22"/>
          <w:szCs w:val="22"/>
        </w:rPr>
        <w:t xml:space="preserve"> transition into adult services</w:t>
      </w:r>
      <w:r w:rsidR="00D20CBA">
        <w:rPr>
          <w:rFonts w:cstheme="minorHAnsi"/>
          <w:sz w:val="22"/>
          <w:szCs w:val="22"/>
        </w:rPr>
        <w:t>.</w:t>
      </w:r>
      <w:r w:rsidRPr="00D17944">
        <w:rPr>
          <w:rFonts w:cstheme="minorHAnsi"/>
          <w:sz w:val="22"/>
          <w:szCs w:val="22"/>
        </w:rPr>
        <w:t xml:space="preserve"> </w:t>
      </w:r>
    </w:p>
    <w:p w14:paraId="3FDBD430" w14:textId="0FF9E0B9" w:rsidR="008736C0" w:rsidRPr="00D17944" w:rsidRDefault="001630D4" w:rsidP="003F494F">
      <w:pPr>
        <w:pStyle w:val="ListParagraph"/>
        <w:numPr>
          <w:ilvl w:val="0"/>
          <w:numId w:val="5"/>
        </w:numPr>
        <w:spacing w:line="360" w:lineRule="auto"/>
        <w:jc w:val="both"/>
        <w:rPr>
          <w:rFonts w:cstheme="minorHAnsi"/>
          <w:sz w:val="22"/>
          <w:szCs w:val="22"/>
        </w:rPr>
      </w:pPr>
      <w:r w:rsidRPr="00D17944">
        <w:rPr>
          <w:rFonts w:cstheme="minorHAnsi"/>
          <w:sz w:val="22"/>
          <w:szCs w:val="22"/>
        </w:rPr>
        <w:t>Management of organ involvement beyond the kidney (relevant for multi-systemic diseases)</w:t>
      </w:r>
      <w:r w:rsidR="00D20CBA">
        <w:rPr>
          <w:rFonts w:cstheme="minorHAnsi"/>
          <w:sz w:val="22"/>
          <w:szCs w:val="22"/>
        </w:rPr>
        <w:t>.</w:t>
      </w:r>
    </w:p>
    <w:p w14:paraId="6F6804B6" w14:textId="5AA06F7A" w:rsidR="008736C0" w:rsidRPr="00D17944" w:rsidRDefault="001630D4" w:rsidP="003F494F">
      <w:pPr>
        <w:pStyle w:val="ListParagraph"/>
        <w:numPr>
          <w:ilvl w:val="0"/>
          <w:numId w:val="5"/>
        </w:numPr>
        <w:spacing w:line="360" w:lineRule="auto"/>
        <w:jc w:val="both"/>
        <w:rPr>
          <w:rFonts w:cstheme="minorHAnsi"/>
          <w:sz w:val="22"/>
          <w:szCs w:val="22"/>
        </w:rPr>
      </w:pPr>
      <w:r w:rsidRPr="00D17944">
        <w:rPr>
          <w:rFonts w:cstheme="minorHAnsi"/>
          <w:sz w:val="22"/>
          <w:szCs w:val="22"/>
        </w:rPr>
        <w:t xml:space="preserve">Management of </w:t>
      </w:r>
      <w:r w:rsidR="00AF1C0F">
        <w:rPr>
          <w:rFonts w:cstheme="minorHAnsi"/>
          <w:sz w:val="22"/>
          <w:szCs w:val="22"/>
        </w:rPr>
        <w:t xml:space="preserve">chronic kidney disease </w:t>
      </w:r>
      <w:r w:rsidRPr="00D17944">
        <w:rPr>
          <w:rFonts w:cstheme="minorHAnsi"/>
          <w:sz w:val="22"/>
          <w:szCs w:val="22"/>
        </w:rPr>
        <w:t xml:space="preserve">or </w:t>
      </w:r>
      <w:r w:rsidR="00AF1C0F">
        <w:rPr>
          <w:rFonts w:cstheme="minorHAnsi"/>
          <w:sz w:val="22"/>
          <w:szCs w:val="22"/>
        </w:rPr>
        <w:t xml:space="preserve">the use of </w:t>
      </w:r>
      <w:r w:rsidRPr="00D17944">
        <w:rPr>
          <w:rFonts w:cstheme="minorHAnsi"/>
          <w:sz w:val="22"/>
          <w:szCs w:val="22"/>
        </w:rPr>
        <w:t>kidney replacement therapy</w:t>
      </w:r>
      <w:r w:rsidR="00D20CBA">
        <w:rPr>
          <w:rFonts w:cstheme="minorHAnsi"/>
          <w:sz w:val="22"/>
          <w:szCs w:val="22"/>
        </w:rPr>
        <w:t>.</w:t>
      </w:r>
    </w:p>
    <w:p w14:paraId="04899AB4" w14:textId="1D9790F3" w:rsidR="008736C0" w:rsidRPr="00D17944" w:rsidRDefault="001630D4" w:rsidP="003F494F">
      <w:pPr>
        <w:pStyle w:val="ListParagraph"/>
        <w:numPr>
          <w:ilvl w:val="0"/>
          <w:numId w:val="5"/>
        </w:numPr>
        <w:spacing w:line="360" w:lineRule="auto"/>
        <w:jc w:val="both"/>
        <w:rPr>
          <w:rFonts w:cstheme="minorHAnsi"/>
          <w:sz w:val="22"/>
          <w:szCs w:val="22"/>
        </w:rPr>
      </w:pPr>
      <w:r w:rsidRPr="00D17944">
        <w:rPr>
          <w:rFonts w:cstheme="minorHAnsi"/>
          <w:sz w:val="22"/>
          <w:szCs w:val="22"/>
        </w:rPr>
        <w:t xml:space="preserve">Management of </w:t>
      </w:r>
      <w:r w:rsidR="00AF1C0F">
        <w:rPr>
          <w:rFonts w:cstheme="minorHAnsi"/>
          <w:sz w:val="22"/>
          <w:szCs w:val="22"/>
        </w:rPr>
        <w:t xml:space="preserve">glomerular </w:t>
      </w:r>
      <w:r w:rsidRPr="00D17944">
        <w:rPr>
          <w:rFonts w:cstheme="minorHAnsi"/>
          <w:sz w:val="22"/>
          <w:szCs w:val="22"/>
        </w:rPr>
        <w:t>disease</w:t>
      </w:r>
      <w:r w:rsidR="00AF1C0F">
        <w:rPr>
          <w:rFonts w:cstheme="minorHAnsi"/>
          <w:sz w:val="22"/>
          <w:szCs w:val="22"/>
        </w:rPr>
        <w:t>s</w:t>
      </w:r>
      <w:r w:rsidRPr="00D17944">
        <w:rPr>
          <w:rFonts w:cstheme="minorHAnsi"/>
          <w:sz w:val="22"/>
          <w:szCs w:val="22"/>
        </w:rPr>
        <w:t xml:space="preserve"> post kidney transplantation</w:t>
      </w:r>
      <w:r w:rsidR="00D20CBA">
        <w:rPr>
          <w:rFonts w:cstheme="minorHAnsi"/>
          <w:sz w:val="22"/>
          <w:szCs w:val="22"/>
        </w:rPr>
        <w:t>.</w:t>
      </w:r>
      <w:r w:rsidRPr="00D17944">
        <w:rPr>
          <w:rFonts w:cstheme="minorHAnsi"/>
          <w:sz w:val="22"/>
          <w:szCs w:val="22"/>
        </w:rPr>
        <w:t xml:space="preserve"> </w:t>
      </w:r>
    </w:p>
    <w:p w14:paraId="6971AA95" w14:textId="77777777" w:rsidR="00F66C3F" w:rsidRPr="00D17944" w:rsidRDefault="00F66C3F" w:rsidP="003F494F">
      <w:pPr>
        <w:spacing w:line="360" w:lineRule="auto"/>
        <w:rPr>
          <w:rFonts w:cstheme="minorHAnsi"/>
          <w:b/>
          <w:bCs/>
          <w:sz w:val="22"/>
          <w:szCs w:val="22"/>
        </w:rPr>
      </w:pPr>
    </w:p>
    <w:p w14:paraId="595FDDD9" w14:textId="67455242" w:rsidR="00F66C3F" w:rsidRPr="00D17944" w:rsidRDefault="001630D4" w:rsidP="003F494F">
      <w:pPr>
        <w:spacing w:line="360" w:lineRule="auto"/>
        <w:rPr>
          <w:rFonts w:cstheme="minorHAnsi"/>
          <w:b/>
          <w:bCs/>
          <w:sz w:val="22"/>
          <w:szCs w:val="22"/>
        </w:rPr>
      </w:pPr>
      <w:r w:rsidRPr="00D17944">
        <w:rPr>
          <w:rFonts w:cstheme="minorHAnsi"/>
          <w:b/>
          <w:bCs/>
          <w:sz w:val="22"/>
          <w:szCs w:val="22"/>
        </w:rPr>
        <w:t xml:space="preserve">Evidence synthesis </w:t>
      </w:r>
    </w:p>
    <w:p w14:paraId="663F3F69" w14:textId="4475E63B" w:rsidR="00AF1C0F" w:rsidRDefault="001630D4" w:rsidP="003F494F">
      <w:pPr>
        <w:spacing w:line="360" w:lineRule="auto"/>
        <w:jc w:val="both"/>
        <w:rPr>
          <w:rFonts w:ascii="Calibri" w:hAnsi="Calibri" w:cs="Calibri"/>
          <w:color w:val="000000"/>
          <w:sz w:val="22"/>
          <w:szCs w:val="22"/>
        </w:rPr>
      </w:pPr>
      <w:r w:rsidRPr="00D17944">
        <w:rPr>
          <w:rFonts w:cstheme="minorHAnsi"/>
          <w:sz w:val="22"/>
          <w:szCs w:val="22"/>
        </w:rPr>
        <w:lastRenderedPageBreak/>
        <w:t xml:space="preserve">The latest literature was extracted </w:t>
      </w:r>
      <w:r w:rsidR="00E83A87" w:rsidRPr="00D17944">
        <w:rPr>
          <w:rFonts w:cstheme="minorHAnsi"/>
          <w:sz w:val="22"/>
          <w:szCs w:val="22"/>
        </w:rPr>
        <w:t xml:space="preserve">using pre-defined methods </w:t>
      </w:r>
      <w:r w:rsidRPr="00D17944">
        <w:rPr>
          <w:rFonts w:cstheme="minorHAnsi"/>
          <w:sz w:val="22"/>
          <w:szCs w:val="22"/>
        </w:rPr>
        <w:t xml:space="preserve">to generate an evidence synthesis. </w:t>
      </w:r>
      <w:r w:rsidR="00E83A87" w:rsidRPr="00D17944">
        <w:rPr>
          <w:rFonts w:cstheme="minorHAnsi"/>
          <w:sz w:val="22"/>
          <w:szCs w:val="22"/>
        </w:rPr>
        <w:t xml:space="preserve">Relevant </w:t>
      </w:r>
      <w:r>
        <w:rPr>
          <w:rFonts w:cstheme="minorHAnsi"/>
          <w:sz w:val="22"/>
          <w:szCs w:val="22"/>
        </w:rPr>
        <w:t xml:space="preserve">international </w:t>
      </w:r>
      <w:r w:rsidR="00F66C3F" w:rsidRPr="00D17944">
        <w:rPr>
          <w:rFonts w:eastAsiaTheme="minorEastAsia" w:cstheme="minorHAnsi"/>
          <w:sz w:val="22"/>
          <w:szCs w:val="22"/>
        </w:rPr>
        <w:t>guidelines</w:t>
      </w:r>
      <w:r w:rsidR="00E83A87" w:rsidRPr="00D17944">
        <w:rPr>
          <w:rFonts w:eastAsiaTheme="minorEastAsia" w:cstheme="minorHAnsi"/>
          <w:sz w:val="22"/>
          <w:szCs w:val="22"/>
        </w:rPr>
        <w:t xml:space="preserve"> were </w:t>
      </w:r>
      <w:r w:rsidRPr="00D17944">
        <w:rPr>
          <w:rFonts w:eastAsiaTheme="minorEastAsia" w:cstheme="minorHAnsi"/>
          <w:sz w:val="22"/>
          <w:szCs w:val="22"/>
        </w:rPr>
        <w:t>retrieved,</w:t>
      </w:r>
      <w:r w:rsidR="00E83A87" w:rsidRPr="00D17944">
        <w:rPr>
          <w:rFonts w:eastAsiaTheme="minorEastAsia" w:cstheme="minorHAnsi"/>
          <w:sz w:val="22"/>
          <w:szCs w:val="22"/>
        </w:rPr>
        <w:t xml:space="preserve"> and</w:t>
      </w:r>
      <w:r w:rsidR="00E83A87" w:rsidRPr="00D17944">
        <w:rPr>
          <w:rFonts w:cstheme="minorHAnsi"/>
          <w:sz w:val="22"/>
          <w:szCs w:val="22"/>
        </w:rPr>
        <w:t xml:space="preserve"> l</w:t>
      </w:r>
      <w:r w:rsidR="008736C0" w:rsidRPr="00D17944">
        <w:rPr>
          <w:rFonts w:cstheme="minorHAnsi"/>
          <w:sz w:val="22"/>
          <w:szCs w:val="22"/>
        </w:rPr>
        <w:t xml:space="preserve">ocal guidelines </w:t>
      </w:r>
      <w:r w:rsidR="008736C0" w:rsidRPr="00AF1C0F">
        <w:rPr>
          <w:rFonts w:ascii="Calibri" w:hAnsi="Calibri" w:cs="Calibri"/>
          <w:sz w:val="22"/>
          <w:szCs w:val="22"/>
        </w:rPr>
        <w:t xml:space="preserve">were </w:t>
      </w:r>
      <w:r w:rsidR="00E83A87" w:rsidRPr="00AF1C0F">
        <w:rPr>
          <w:rFonts w:ascii="Calibri" w:hAnsi="Calibri" w:cs="Calibri"/>
          <w:sz w:val="22"/>
          <w:szCs w:val="22"/>
        </w:rPr>
        <w:t>used to reflect</w:t>
      </w:r>
      <w:r w:rsidR="008736C0" w:rsidRPr="00AF1C0F">
        <w:rPr>
          <w:rFonts w:ascii="Calibri" w:hAnsi="Calibri" w:cs="Calibri"/>
          <w:sz w:val="22"/>
          <w:szCs w:val="22"/>
        </w:rPr>
        <w:t xml:space="preserve"> </w:t>
      </w:r>
      <w:r w:rsidR="009136E0" w:rsidRPr="00AF1C0F">
        <w:rPr>
          <w:rFonts w:ascii="Calibri" w:hAnsi="Calibri" w:cs="Calibri"/>
          <w:sz w:val="22"/>
          <w:szCs w:val="22"/>
        </w:rPr>
        <w:t xml:space="preserve">current clinical practice </w:t>
      </w:r>
      <w:r>
        <w:rPr>
          <w:rFonts w:ascii="Calibri" w:hAnsi="Calibri" w:cs="Calibri"/>
          <w:sz w:val="22"/>
          <w:szCs w:val="22"/>
        </w:rPr>
        <w:t xml:space="preserve">especially </w:t>
      </w:r>
      <w:r w:rsidRPr="00AF1C0F">
        <w:rPr>
          <w:rFonts w:ascii="Calibri" w:hAnsi="Calibri" w:cs="Calibri"/>
          <w:sz w:val="22"/>
          <w:szCs w:val="22"/>
        </w:rPr>
        <w:t>in situations where there was limited evidence</w:t>
      </w:r>
      <w:r w:rsidR="008736C0" w:rsidRPr="00AF1C0F">
        <w:rPr>
          <w:rFonts w:ascii="Calibri" w:hAnsi="Calibri" w:cs="Calibri"/>
          <w:sz w:val="22"/>
          <w:szCs w:val="22"/>
        </w:rPr>
        <w:t xml:space="preserve">. </w:t>
      </w:r>
      <w:r w:rsidR="00E83A87" w:rsidRPr="00AF1C0F">
        <w:rPr>
          <w:rFonts w:ascii="Calibri" w:hAnsi="Calibri" w:cs="Calibri"/>
          <w:sz w:val="22"/>
          <w:szCs w:val="22"/>
        </w:rPr>
        <w:t xml:space="preserve">The literature was kept up to date until </w:t>
      </w:r>
      <w:r w:rsidR="00E83A87" w:rsidRPr="00D82C4B">
        <w:rPr>
          <w:rFonts w:ascii="Calibri" w:hAnsi="Calibri" w:cs="Calibri"/>
          <w:sz w:val="22"/>
          <w:szCs w:val="22"/>
        </w:rPr>
        <w:t>21</w:t>
      </w:r>
      <w:r w:rsidR="00E83A87" w:rsidRPr="00D82C4B">
        <w:rPr>
          <w:rFonts w:ascii="Calibri" w:hAnsi="Calibri" w:cs="Calibri"/>
          <w:sz w:val="22"/>
          <w:szCs w:val="22"/>
          <w:vertAlign w:val="superscript"/>
        </w:rPr>
        <w:t>st</w:t>
      </w:r>
      <w:r w:rsidR="00E83A87" w:rsidRPr="00D82C4B">
        <w:rPr>
          <w:rFonts w:ascii="Calibri" w:hAnsi="Calibri" w:cs="Calibri"/>
          <w:sz w:val="22"/>
          <w:szCs w:val="22"/>
        </w:rPr>
        <w:t xml:space="preserve"> May </w:t>
      </w:r>
      <w:r w:rsidR="009136E0" w:rsidRPr="00D82C4B">
        <w:rPr>
          <w:rFonts w:ascii="Calibri" w:hAnsi="Calibri" w:cs="Calibri"/>
          <w:sz w:val="22"/>
          <w:szCs w:val="22"/>
        </w:rPr>
        <w:t>2024.</w:t>
      </w:r>
      <w:r w:rsidR="009136E0" w:rsidRPr="00AF1C0F">
        <w:rPr>
          <w:rFonts w:ascii="Calibri" w:hAnsi="Calibri" w:cs="Calibri"/>
          <w:sz w:val="22"/>
          <w:szCs w:val="22"/>
        </w:rPr>
        <w:t xml:space="preserve"> </w:t>
      </w:r>
      <w:r w:rsidRPr="00AF1C0F">
        <w:rPr>
          <w:rFonts w:ascii="Calibri" w:hAnsi="Calibri" w:cs="Calibri"/>
          <w:color w:val="000000"/>
          <w:sz w:val="22"/>
          <w:szCs w:val="22"/>
        </w:rPr>
        <w:t>Concepts were combined using Boolean operators (AND, OR and NOT)</w:t>
      </w:r>
      <w:r>
        <w:rPr>
          <w:rFonts w:ascii="Calibri" w:hAnsi="Calibri" w:cs="Calibri"/>
          <w:color w:val="000000"/>
          <w:sz w:val="22"/>
          <w:szCs w:val="22"/>
        </w:rPr>
        <w:t xml:space="preserve"> and g</w:t>
      </w:r>
      <w:r w:rsidR="00E82D1C" w:rsidRPr="00AF1C0F">
        <w:rPr>
          <w:rFonts w:ascii="Calibri" w:hAnsi="Calibri" w:cs="Calibri"/>
          <w:color w:val="000000"/>
          <w:sz w:val="22"/>
          <w:szCs w:val="22"/>
        </w:rPr>
        <w:t xml:space="preserve">eneral </w:t>
      </w:r>
      <w:r>
        <w:rPr>
          <w:rFonts w:ascii="Calibri" w:hAnsi="Calibri" w:cs="Calibri"/>
          <w:color w:val="000000"/>
          <w:sz w:val="22"/>
          <w:szCs w:val="22"/>
        </w:rPr>
        <w:t xml:space="preserve">search </w:t>
      </w:r>
      <w:r w:rsidR="00E82D1C" w:rsidRPr="00AF1C0F">
        <w:rPr>
          <w:rFonts w:ascii="Calibri" w:hAnsi="Calibri" w:cs="Calibri"/>
          <w:color w:val="000000"/>
          <w:sz w:val="22"/>
          <w:szCs w:val="22"/>
        </w:rPr>
        <w:t>concepts were used for the population (“</w:t>
      </w:r>
      <w:proofErr w:type="spellStart"/>
      <w:r w:rsidR="00E82D1C" w:rsidRPr="00AF1C0F">
        <w:rPr>
          <w:rFonts w:ascii="Calibri" w:hAnsi="Calibri" w:cs="Calibri"/>
          <w:color w:val="000000"/>
          <w:sz w:val="22"/>
          <w:szCs w:val="22"/>
        </w:rPr>
        <w:t>pediatric</w:t>
      </w:r>
      <w:proofErr w:type="spellEnd"/>
      <w:r w:rsidR="00E82D1C" w:rsidRPr="00AF1C0F">
        <w:rPr>
          <w:rFonts w:ascii="Calibri" w:hAnsi="Calibri" w:cs="Calibri"/>
          <w:color w:val="000000"/>
          <w:sz w:val="22"/>
          <w:szCs w:val="22"/>
        </w:rPr>
        <w:t>”, “paediatric”, “child*”, “</w:t>
      </w:r>
      <w:proofErr w:type="spellStart"/>
      <w:r w:rsidR="00E82D1C" w:rsidRPr="00AF1C0F">
        <w:rPr>
          <w:rFonts w:ascii="Calibri" w:hAnsi="Calibri" w:cs="Calibri"/>
          <w:color w:val="000000"/>
          <w:sz w:val="22"/>
          <w:szCs w:val="22"/>
        </w:rPr>
        <w:t>adolescen</w:t>
      </w:r>
      <w:proofErr w:type="spellEnd"/>
      <w:r w:rsidR="00E82D1C" w:rsidRPr="00AF1C0F">
        <w:rPr>
          <w:rFonts w:ascii="Calibri" w:hAnsi="Calibri" w:cs="Calibri"/>
          <w:color w:val="000000"/>
          <w:sz w:val="22"/>
          <w:szCs w:val="22"/>
        </w:rPr>
        <w:t>*”) and treatment</w:t>
      </w:r>
      <w:r w:rsidR="005C20EF" w:rsidRPr="00AF1C0F">
        <w:rPr>
          <w:rFonts w:ascii="Calibri" w:hAnsi="Calibri" w:cs="Calibri"/>
          <w:color w:val="000000"/>
          <w:sz w:val="22"/>
          <w:szCs w:val="22"/>
        </w:rPr>
        <w:t xml:space="preserve"> (“treatment”, “medication”, “immunosuppress*”)</w:t>
      </w:r>
      <w:r w:rsidR="00E82D1C" w:rsidRPr="00AF1C0F">
        <w:rPr>
          <w:rFonts w:ascii="Calibri" w:hAnsi="Calibri" w:cs="Calibri"/>
          <w:color w:val="000000"/>
          <w:sz w:val="22"/>
          <w:szCs w:val="22"/>
        </w:rPr>
        <w:t xml:space="preserve">. </w:t>
      </w:r>
    </w:p>
    <w:p w14:paraId="01378226" w14:textId="296B7582" w:rsidR="00E82D1C" w:rsidRPr="00AF1C0F" w:rsidRDefault="001630D4" w:rsidP="003F494F">
      <w:pPr>
        <w:spacing w:line="360" w:lineRule="auto"/>
        <w:jc w:val="both"/>
        <w:rPr>
          <w:rFonts w:ascii="Calibri" w:hAnsi="Calibri" w:cs="Calibri"/>
          <w:color w:val="000000"/>
          <w:sz w:val="22"/>
          <w:szCs w:val="22"/>
        </w:rPr>
      </w:pPr>
      <w:r w:rsidRPr="00AF1C0F">
        <w:rPr>
          <w:rFonts w:ascii="Calibri" w:hAnsi="Calibri" w:cs="Calibri"/>
          <w:color w:val="000000"/>
          <w:sz w:val="22"/>
          <w:szCs w:val="22"/>
        </w:rPr>
        <w:t>Disease subtype searches were</w:t>
      </w:r>
      <w:r w:rsidR="00AF1C0F">
        <w:rPr>
          <w:rFonts w:ascii="Calibri" w:hAnsi="Calibri" w:cs="Calibri"/>
          <w:color w:val="000000"/>
          <w:sz w:val="22"/>
          <w:szCs w:val="22"/>
        </w:rPr>
        <w:t xml:space="preserve"> as </w:t>
      </w:r>
      <w:proofErr w:type="gramStart"/>
      <w:r w:rsidR="00AF1C0F">
        <w:rPr>
          <w:rFonts w:ascii="Calibri" w:hAnsi="Calibri" w:cs="Calibri"/>
          <w:color w:val="000000"/>
          <w:sz w:val="22"/>
          <w:szCs w:val="22"/>
        </w:rPr>
        <w:t>follows</w:t>
      </w:r>
      <w:r w:rsidRPr="00AF1C0F">
        <w:rPr>
          <w:rFonts w:ascii="Calibri" w:hAnsi="Calibri" w:cs="Calibri"/>
          <w:color w:val="000000"/>
          <w:sz w:val="22"/>
          <w:szCs w:val="22"/>
        </w:rPr>
        <w:t>;</w:t>
      </w:r>
      <w:proofErr w:type="gramEnd"/>
    </w:p>
    <w:p w14:paraId="7D990974" w14:textId="402E7030" w:rsidR="00E82D1C" w:rsidRDefault="00165C92" w:rsidP="003F494F">
      <w:pPr>
        <w:pStyle w:val="ListParagraph"/>
        <w:numPr>
          <w:ilvl w:val="0"/>
          <w:numId w:val="27"/>
        </w:numPr>
        <w:spacing w:line="360" w:lineRule="auto"/>
        <w:jc w:val="both"/>
        <w:rPr>
          <w:rFonts w:ascii="Calibri" w:hAnsi="Calibri" w:cs="Calibri"/>
          <w:color w:val="000000"/>
          <w:sz w:val="22"/>
          <w:szCs w:val="22"/>
        </w:rPr>
      </w:pPr>
      <w:r>
        <w:rPr>
          <w:rFonts w:ascii="Calibri" w:hAnsi="Calibri" w:cs="Calibri"/>
          <w:color w:val="000000"/>
          <w:sz w:val="22"/>
          <w:szCs w:val="22"/>
        </w:rPr>
        <w:t>I</w:t>
      </w:r>
      <w:r w:rsidR="001630D4" w:rsidRPr="00AF1C0F">
        <w:rPr>
          <w:rFonts w:ascii="Calibri" w:hAnsi="Calibri" w:cs="Calibri"/>
          <w:color w:val="000000"/>
          <w:sz w:val="22"/>
          <w:szCs w:val="22"/>
        </w:rPr>
        <w:t>NS:</w:t>
      </w:r>
      <w:r w:rsidR="005C20EF" w:rsidRPr="00AF1C0F">
        <w:rPr>
          <w:rFonts w:ascii="Calibri" w:hAnsi="Calibri" w:cs="Calibri"/>
          <w:color w:val="000000"/>
          <w:sz w:val="22"/>
          <w:szCs w:val="22"/>
        </w:rPr>
        <w:t xml:space="preserve"> (“nephrotic syndrome”, “idiopathic nephrotic syndrome”)</w:t>
      </w:r>
      <w:r w:rsidR="00AF1C0F">
        <w:rPr>
          <w:rFonts w:ascii="Calibri" w:hAnsi="Calibri" w:cs="Calibri"/>
          <w:color w:val="000000"/>
          <w:sz w:val="22"/>
          <w:szCs w:val="22"/>
        </w:rPr>
        <w:t xml:space="preserve"> then subdivided as</w:t>
      </w:r>
    </w:p>
    <w:p w14:paraId="510F7C94" w14:textId="5092AF96" w:rsidR="00AF1C0F" w:rsidRDefault="001630D4" w:rsidP="003F494F">
      <w:pPr>
        <w:pStyle w:val="ListParagraph"/>
        <w:numPr>
          <w:ilvl w:val="2"/>
          <w:numId w:val="27"/>
        </w:numPr>
        <w:spacing w:line="360" w:lineRule="auto"/>
        <w:jc w:val="both"/>
        <w:rPr>
          <w:rFonts w:ascii="Calibri" w:hAnsi="Calibri" w:cs="Calibri"/>
          <w:color w:val="000000"/>
          <w:sz w:val="22"/>
          <w:szCs w:val="22"/>
        </w:rPr>
      </w:pPr>
      <w:r>
        <w:rPr>
          <w:rFonts w:ascii="Calibri" w:hAnsi="Calibri" w:cs="Calibri"/>
          <w:color w:val="000000"/>
          <w:sz w:val="22"/>
          <w:szCs w:val="22"/>
        </w:rPr>
        <w:t xml:space="preserve">Idiopathic NS that </w:t>
      </w:r>
      <w:r w:rsidR="00165C92">
        <w:rPr>
          <w:rFonts w:ascii="Calibri" w:hAnsi="Calibri" w:cs="Calibri"/>
          <w:color w:val="000000"/>
          <w:sz w:val="22"/>
          <w:szCs w:val="22"/>
        </w:rPr>
        <w:t xml:space="preserve">has </w:t>
      </w:r>
      <w:r>
        <w:rPr>
          <w:rFonts w:ascii="Calibri" w:hAnsi="Calibri" w:cs="Calibri"/>
          <w:color w:val="000000"/>
          <w:sz w:val="22"/>
          <w:szCs w:val="22"/>
        </w:rPr>
        <w:t>respond</w:t>
      </w:r>
      <w:r w:rsidR="00165C92">
        <w:rPr>
          <w:rFonts w:ascii="Calibri" w:hAnsi="Calibri" w:cs="Calibri"/>
          <w:color w:val="000000"/>
          <w:sz w:val="22"/>
          <w:szCs w:val="22"/>
        </w:rPr>
        <w:t>ed</w:t>
      </w:r>
      <w:r>
        <w:rPr>
          <w:rFonts w:ascii="Calibri" w:hAnsi="Calibri" w:cs="Calibri"/>
          <w:color w:val="000000"/>
          <w:sz w:val="22"/>
          <w:szCs w:val="22"/>
        </w:rPr>
        <w:t xml:space="preserve"> to steroid</w:t>
      </w:r>
    </w:p>
    <w:p w14:paraId="75F956B7" w14:textId="2666F8A4" w:rsidR="00AF1C0F" w:rsidRPr="00AF1C0F" w:rsidRDefault="001630D4" w:rsidP="003F494F">
      <w:pPr>
        <w:pStyle w:val="ListParagraph"/>
        <w:numPr>
          <w:ilvl w:val="2"/>
          <w:numId w:val="27"/>
        </w:numPr>
        <w:spacing w:line="360" w:lineRule="auto"/>
        <w:jc w:val="both"/>
        <w:rPr>
          <w:rFonts w:ascii="Calibri" w:hAnsi="Calibri" w:cs="Calibri"/>
          <w:color w:val="000000"/>
          <w:sz w:val="22"/>
          <w:szCs w:val="22"/>
        </w:rPr>
      </w:pPr>
      <w:r>
        <w:rPr>
          <w:rFonts w:ascii="Calibri" w:hAnsi="Calibri" w:cs="Calibri"/>
          <w:color w:val="000000"/>
          <w:sz w:val="22"/>
          <w:szCs w:val="22"/>
        </w:rPr>
        <w:t>Idiopathic NS that has</w:t>
      </w:r>
      <w:r w:rsidR="00165C92">
        <w:rPr>
          <w:rFonts w:ascii="Calibri" w:hAnsi="Calibri" w:cs="Calibri"/>
          <w:color w:val="000000"/>
          <w:sz w:val="22"/>
          <w:szCs w:val="22"/>
        </w:rPr>
        <w:t xml:space="preserve"> not</w:t>
      </w:r>
      <w:r>
        <w:rPr>
          <w:rFonts w:ascii="Calibri" w:hAnsi="Calibri" w:cs="Calibri"/>
          <w:color w:val="000000"/>
          <w:sz w:val="22"/>
          <w:szCs w:val="22"/>
        </w:rPr>
        <w:t xml:space="preserve"> responded to steroid treatment</w:t>
      </w:r>
    </w:p>
    <w:p w14:paraId="6AF627E1" w14:textId="77777777" w:rsidR="00E82D1C" w:rsidRPr="00AF1C0F" w:rsidRDefault="001630D4" w:rsidP="003F494F">
      <w:pPr>
        <w:pStyle w:val="ListParagraph"/>
        <w:numPr>
          <w:ilvl w:val="0"/>
          <w:numId w:val="27"/>
        </w:numPr>
        <w:spacing w:line="360" w:lineRule="auto"/>
        <w:jc w:val="both"/>
        <w:rPr>
          <w:rFonts w:ascii="Calibri" w:hAnsi="Calibri" w:cs="Calibri"/>
          <w:color w:val="000000"/>
          <w:sz w:val="22"/>
          <w:szCs w:val="22"/>
        </w:rPr>
      </w:pPr>
      <w:r w:rsidRPr="00AF1C0F">
        <w:rPr>
          <w:rFonts w:ascii="Calibri" w:hAnsi="Calibri" w:cs="Calibri"/>
          <w:color w:val="000000"/>
          <w:sz w:val="22"/>
          <w:szCs w:val="22"/>
        </w:rPr>
        <w:t xml:space="preserve">Immunoglobulin A related GN: </w:t>
      </w:r>
    </w:p>
    <w:p w14:paraId="0064E0D9" w14:textId="77777777" w:rsidR="00E82D1C" w:rsidRPr="00AF1C0F" w:rsidRDefault="001630D4" w:rsidP="003F494F">
      <w:pPr>
        <w:pStyle w:val="ListParagraph"/>
        <w:numPr>
          <w:ilvl w:val="1"/>
          <w:numId w:val="26"/>
        </w:numPr>
        <w:spacing w:line="360" w:lineRule="auto"/>
        <w:jc w:val="both"/>
        <w:rPr>
          <w:rFonts w:ascii="Calibri" w:hAnsi="Calibri" w:cs="Calibri"/>
          <w:color w:val="000000"/>
          <w:sz w:val="22"/>
          <w:szCs w:val="22"/>
        </w:rPr>
      </w:pPr>
      <w:proofErr w:type="spellStart"/>
      <w:r w:rsidRPr="00AF1C0F">
        <w:rPr>
          <w:rFonts w:ascii="Calibri" w:hAnsi="Calibri" w:cs="Calibri"/>
          <w:color w:val="000000"/>
          <w:sz w:val="22"/>
          <w:szCs w:val="22"/>
        </w:rPr>
        <w:t>IgAV</w:t>
      </w:r>
      <w:proofErr w:type="spellEnd"/>
      <w:r w:rsidRPr="00AF1C0F">
        <w:rPr>
          <w:rFonts w:ascii="Calibri" w:hAnsi="Calibri" w:cs="Calibri"/>
          <w:color w:val="000000"/>
          <w:sz w:val="22"/>
          <w:szCs w:val="22"/>
        </w:rPr>
        <w:t xml:space="preserve"> nephritis (“immunoglobulin A vasculitis nephritis”, “immunoglobulin A vasculitis-nephritis”, “IgA vasculitis nephritis”, “IgA vasculitis-nephritis”, “</w:t>
      </w:r>
      <w:proofErr w:type="spellStart"/>
      <w:r w:rsidRPr="00AF1C0F">
        <w:rPr>
          <w:rFonts w:ascii="Calibri" w:hAnsi="Calibri" w:cs="Calibri"/>
          <w:color w:val="000000"/>
          <w:sz w:val="22"/>
          <w:szCs w:val="22"/>
        </w:rPr>
        <w:t>IgAV</w:t>
      </w:r>
      <w:proofErr w:type="spellEnd"/>
      <w:r w:rsidRPr="00AF1C0F">
        <w:rPr>
          <w:rFonts w:ascii="Calibri" w:hAnsi="Calibri" w:cs="Calibri"/>
          <w:color w:val="000000"/>
          <w:sz w:val="22"/>
          <w:szCs w:val="22"/>
        </w:rPr>
        <w:t xml:space="preserve">”, “Henoch </w:t>
      </w:r>
      <w:proofErr w:type="spellStart"/>
      <w:r w:rsidRPr="00AF1C0F">
        <w:rPr>
          <w:rFonts w:ascii="Calibri" w:hAnsi="Calibri" w:cs="Calibri"/>
          <w:color w:val="000000"/>
          <w:sz w:val="22"/>
          <w:szCs w:val="22"/>
        </w:rPr>
        <w:t>Schonlein</w:t>
      </w:r>
      <w:proofErr w:type="spellEnd"/>
      <w:r w:rsidRPr="00AF1C0F">
        <w:rPr>
          <w:rFonts w:ascii="Calibri" w:hAnsi="Calibri" w:cs="Calibri"/>
          <w:color w:val="000000"/>
          <w:sz w:val="22"/>
          <w:szCs w:val="22"/>
        </w:rPr>
        <w:t xml:space="preserve"> purpura”, “Henoch </w:t>
      </w:r>
      <w:proofErr w:type="spellStart"/>
      <w:r w:rsidRPr="00AF1C0F">
        <w:rPr>
          <w:rFonts w:ascii="Calibri" w:hAnsi="Calibri" w:cs="Calibri"/>
          <w:color w:val="000000"/>
          <w:sz w:val="22"/>
          <w:szCs w:val="22"/>
        </w:rPr>
        <w:t>Schonlein</w:t>
      </w:r>
      <w:proofErr w:type="spellEnd"/>
      <w:r w:rsidRPr="00AF1C0F">
        <w:rPr>
          <w:rFonts w:ascii="Calibri" w:hAnsi="Calibri" w:cs="Calibri"/>
          <w:color w:val="000000"/>
          <w:sz w:val="22"/>
          <w:szCs w:val="22"/>
        </w:rPr>
        <w:t xml:space="preserve"> purpura nephritis”, “HSP”, “HSPN”).</w:t>
      </w:r>
    </w:p>
    <w:p w14:paraId="39128CEB" w14:textId="2F8B545D" w:rsidR="00E82D1C" w:rsidRPr="00AF1C0F" w:rsidRDefault="001630D4" w:rsidP="003F494F">
      <w:pPr>
        <w:pStyle w:val="ListParagraph"/>
        <w:numPr>
          <w:ilvl w:val="1"/>
          <w:numId w:val="26"/>
        </w:numPr>
        <w:spacing w:line="360" w:lineRule="auto"/>
        <w:jc w:val="both"/>
        <w:rPr>
          <w:rFonts w:ascii="Calibri" w:hAnsi="Calibri" w:cs="Calibri"/>
          <w:color w:val="000000"/>
          <w:sz w:val="22"/>
          <w:szCs w:val="22"/>
        </w:rPr>
      </w:pPr>
      <w:r w:rsidRPr="00AF1C0F">
        <w:rPr>
          <w:rFonts w:ascii="Calibri" w:hAnsi="Calibri" w:cs="Calibri"/>
          <w:color w:val="000000"/>
          <w:sz w:val="22"/>
          <w:szCs w:val="22"/>
        </w:rPr>
        <w:t xml:space="preserve">IgA nephropathy </w:t>
      </w:r>
      <w:r w:rsidR="005C20EF" w:rsidRPr="00AF1C0F">
        <w:rPr>
          <w:rFonts w:ascii="Calibri" w:hAnsi="Calibri" w:cs="Calibri"/>
          <w:color w:val="000000"/>
          <w:sz w:val="22"/>
          <w:szCs w:val="22"/>
        </w:rPr>
        <w:t xml:space="preserve">(“IgA nephropathy”, “Immunoglobulin A nephropathy”, </w:t>
      </w:r>
      <w:proofErr w:type="spellStart"/>
      <w:r w:rsidR="005C20EF" w:rsidRPr="00AF1C0F">
        <w:rPr>
          <w:rFonts w:ascii="Calibri" w:hAnsi="Calibri" w:cs="Calibri"/>
          <w:color w:val="000000"/>
          <w:sz w:val="22"/>
          <w:szCs w:val="22"/>
        </w:rPr>
        <w:t>IgAN</w:t>
      </w:r>
      <w:proofErr w:type="spellEnd"/>
      <w:r w:rsidR="005C20EF" w:rsidRPr="00AF1C0F">
        <w:rPr>
          <w:rFonts w:ascii="Calibri" w:hAnsi="Calibri" w:cs="Calibri"/>
          <w:color w:val="000000"/>
          <w:sz w:val="22"/>
          <w:szCs w:val="22"/>
        </w:rPr>
        <w:t>”)</w:t>
      </w:r>
    </w:p>
    <w:p w14:paraId="65B10167" w14:textId="5D8545F1" w:rsidR="00E82D1C" w:rsidRPr="00AF1C0F" w:rsidRDefault="001630D4" w:rsidP="003F494F">
      <w:pPr>
        <w:pStyle w:val="ListParagraph"/>
        <w:numPr>
          <w:ilvl w:val="0"/>
          <w:numId w:val="27"/>
        </w:numPr>
        <w:spacing w:line="360" w:lineRule="auto"/>
        <w:jc w:val="both"/>
        <w:rPr>
          <w:rFonts w:ascii="Calibri" w:hAnsi="Calibri" w:cs="Calibri"/>
          <w:color w:val="000000"/>
          <w:sz w:val="22"/>
          <w:szCs w:val="22"/>
        </w:rPr>
      </w:pPr>
      <w:r w:rsidRPr="00AF1C0F">
        <w:rPr>
          <w:rFonts w:ascii="Calibri" w:hAnsi="Calibri" w:cs="Calibri"/>
          <w:color w:val="000000"/>
          <w:sz w:val="22"/>
          <w:szCs w:val="22"/>
        </w:rPr>
        <w:t xml:space="preserve">Primary MN: </w:t>
      </w:r>
      <w:r w:rsidR="005C20EF" w:rsidRPr="00AF1C0F">
        <w:rPr>
          <w:rFonts w:ascii="Calibri" w:hAnsi="Calibri" w:cs="Calibri"/>
          <w:color w:val="000000"/>
          <w:sz w:val="22"/>
          <w:szCs w:val="22"/>
        </w:rPr>
        <w:t>(“membranous nephropathy”, “membranous nephritis”, “MN”)</w:t>
      </w:r>
    </w:p>
    <w:p w14:paraId="643A317F" w14:textId="736CABFC" w:rsidR="00E82D1C" w:rsidRPr="00AF1C0F" w:rsidRDefault="001630D4" w:rsidP="003F494F">
      <w:pPr>
        <w:pStyle w:val="ListParagraph"/>
        <w:numPr>
          <w:ilvl w:val="0"/>
          <w:numId w:val="27"/>
        </w:numPr>
        <w:spacing w:line="360" w:lineRule="auto"/>
        <w:jc w:val="both"/>
        <w:rPr>
          <w:rFonts w:ascii="Calibri" w:hAnsi="Calibri" w:cs="Calibri"/>
          <w:color w:val="000000"/>
          <w:sz w:val="22"/>
          <w:szCs w:val="22"/>
        </w:rPr>
      </w:pPr>
      <w:r w:rsidRPr="00AF1C0F">
        <w:rPr>
          <w:rFonts w:ascii="Calibri" w:hAnsi="Calibri" w:cs="Calibri"/>
          <w:color w:val="000000"/>
          <w:sz w:val="22"/>
          <w:szCs w:val="22"/>
        </w:rPr>
        <w:t>LN:</w:t>
      </w:r>
      <w:r w:rsidR="005C20EF" w:rsidRPr="00AF1C0F">
        <w:rPr>
          <w:rFonts w:ascii="Calibri" w:hAnsi="Calibri" w:cs="Calibri"/>
          <w:color w:val="000000"/>
          <w:sz w:val="22"/>
          <w:szCs w:val="22"/>
        </w:rPr>
        <w:t xml:space="preserve"> (“lupus nephritis”, “SLE nephritis”, “lupus </w:t>
      </w:r>
      <w:proofErr w:type="spellStart"/>
      <w:r w:rsidR="005C20EF" w:rsidRPr="00AF1C0F">
        <w:rPr>
          <w:rFonts w:ascii="Calibri" w:hAnsi="Calibri" w:cs="Calibri"/>
          <w:color w:val="000000"/>
          <w:sz w:val="22"/>
          <w:szCs w:val="22"/>
        </w:rPr>
        <w:t>glomerulo</w:t>
      </w:r>
      <w:proofErr w:type="spellEnd"/>
      <w:r w:rsidR="005C20EF" w:rsidRPr="00AF1C0F">
        <w:rPr>
          <w:rFonts w:ascii="Calibri" w:hAnsi="Calibri" w:cs="Calibri"/>
          <w:color w:val="000000"/>
          <w:sz w:val="22"/>
          <w:szCs w:val="22"/>
        </w:rPr>
        <w:t xml:space="preserve">*”, “SLE </w:t>
      </w:r>
      <w:proofErr w:type="spellStart"/>
      <w:r w:rsidR="005C20EF" w:rsidRPr="00AF1C0F">
        <w:rPr>
          <w:rFonts w:ascii="Calibri" w:hAnsi="Calibri" w:cs="Calibri"/>
          <w:color w:val="000000"/>
          <w:sz w:val="22"/>
          <w:szCs w:val="22"/>
        </w:rPr>
        <w:t>glomerulo</w:t>
      </w:r>
      <w:proofErr w:type="spellEnd"/>
      <w:r w:rsidR="005C20EF" w:rsidRPr="00AF1C0F">
        <w:rPr>
          <w:rFonts w:ascii="Calibri" w:hAnsi="Calibri" w:cs="Calibri"/>
          <w:color w:val="000000"/>
          <w:sz w:val="22"/>
          <w:szCs w:val="22"/>
        </w:rPr>
        <w:t>*”, “LN”)</w:t>
      </w:r>
    </w:p>
    <w:p w14:paraId="4A7FADBB" w14:textId="17E7CD88" w:rsidR="00E82D1C" w:rsidRPr="00AF1C0F" w:rsidRDefault="001630D4" w:rsidP="003F494F">
      <w:pPr>
        <w:pStyle w:val="ListParagraph"/>
        <w:numPr>
          <w:ilvl w:val="0"/>
          <w:numId w:val="27"/>
        </w:numPr>
        <w:spacing w:line="360" w:lineRule="auto"/>
        <w:jc w:val="both"/>
        <w:rPr>
          <w:rFonts w:ascii="Calibri" w:hAnsi="Calibri" w:cs="Calibri"/>
          <w:color w:val="000000"/>
          <w:sz w:val="22"/>
          <w:szCs w:val="22"/>
        </w:rPr>
      </w:pPr>
      <w:r w:rsidRPr="00AF1C0F">
        <w:rPr>
          <w:rFonts w:ascii="Calibri" w:hAnsi="Calibri" w:cs="Calibri"/>
          <w:color w:val="000000"/>
          <w:sz w:val="22"/>
          <w:szCs w:val="22"/>
        </w:rPr>
        <w:t>ANCA associated vasculitis:</w:t>
      </w:r>
      <w:r w:rsidR="005C20EF" w:rsidRPr="00AF1C0F">
        <w:rPr>
          <w:rFonts w:ascii="Calibri" w:hAnsi="Calibri" w:cs="Calibri"/>
          <w:color w:val="000000"/>
          <w:sz w:val="22"/>
          <w:szCs w:val="22"/>
        </w:rPr>
        <w:t xml:space="preserve"> (“anti-neutrophil cytoplasmic antibody associated vasculitis”, “ANCA associated vasculitis”, “AAV”,  </w:t>
      </w:r>
    </w:p>
    <w:p w14:paraId="31B23EA5" w14:textId="1E73B327" w:rsidR="00E82D1C" w:rsidRPr="00AF1C0F" w:rsidRDefault="001630D4" w:rsidP="003F494F">
      <w:pPr>
        <w:pStyle w:val="ListParagraph"/>
        <w:numPr>
          <w:ilvl w:val="0"/>
          <w:numId w:val="27"/>
        </w:numPr>
        <w:spacing w:line="360" w:lineRule="auto"/>
        <w:jc w:val="both"/>
        <w:rPr>
          <w:rFonts w:ascii="Calibri" w:hAnsi="Calibri" w:cs="Calibri"/>
          <w:color w:val="000000"/>
          <w:sz w:val="22"/>
          <w:szCs w:val="22"/>
        </w:rPr>
      </w:pPr>
      <w:r w:rsidRPr="00AF1C0F">
        <w:rPr>
          <w:rFonts w:ascii="Calibri" w:hAnsi="Calibri" w:cs="Calibri"/>
          <w:color w:val="000000"/>
          <w:sz w:val="22"/>
          <w:szCs w:val="22"/>
        </w:rPr>
        <w:t>Anti-GBM:</w:t>
      </w:r>
      <w:r w:rsidR="005C20EF" w:rsidRPr="00AF1C0F">
        <w:rPr>
          <w:rFonts w:ascii="Calibri" w:hAnsi="Calibri" w:cs="Calibri"/>
          <w:color w:val="000000"/>
          <w:sz w:val="22"/>
          <w:szCs w:val="22"/>
        </w:rPr>
        <w:t xml:space="preserve"> (“</w:t>
      </w:r>
      <w:proofErr w:type="spellStart"/>
      <w:r w:rsidR="005C20EF" w:rsidRPr="00AF1C0F">
        <w:rPr>
          <w:rFonts w:ascii="Calibri" w:hAnsi="Calibri" w:cs="Calibri"/>
          <w:color w:val="000000"/>
          <w:sz w:val="22"/>
          <w:szCs w:val="22"/>
        </w:rPr>
        <w:t>anti glomerular</w:t>
      </w:r>
      <w:proofErr w:type="spellEnd"/>
      <w:r w:rsidR="005C20EF" w:rsidRPr="00AF1C0F">
        <w:rPr>
          <w:rFonts w:ascii="Calibri" w:hAnsi="Calibri" w:cs="Calibri"/>
          <w:color w:val="000000"/>
          <w:sz w:val="22"/>
          <w:szCs w:val="22"/>
        </w:rPr>
        <w:t xml:space="preserve"> basement membrane”, “anti-GBM”, “anti GBM”, “</w:t>
      </w:r>
    </w:p>
    <w:p w14:paraId="7C6E5E0E" w14:textId="2BCEB743" w:rsidR="00E82D1C" w:rsidRPr="00AF1C0F" w:rsidRDefault="001630D4" w:rsidP="003F494F">
      <w:pPr>
        <w:pStyle w:val="ListParagraph"/>
        <w:numPr>
          <w:ilvl w:val="0"/>
          <w:numId w:val="27"/>
        </w:numPr>
        <w:spacing w:line="360" w:lineRule="auto"/>
        <w:jc w:val="both"/>
        <w:rPr>
          <w:rFonts w:ascii="Calibri" w:hAnsi="Calibri" w:cs="Calibri"/>
          <w:color w:val="000000"/>
          <w:sz w:val="22"/>
          <w:szCs w:val="22"/>
        </w:rPr>
      </w:pPr>
      <w:r w:rsidRPr="00AF1C0F">
        <w:rPr>
          <w:rFonts w:ascii="Calibri" w:hAnsi="Calibri" w:cs="Calibri"/>
          <w:color w:val="000000"/>
          <w:sz w:val="22"/>
          <w:szCs w:val="22"/>
        </w:rPr>
        <w:t>Ig and complement mediated GN</w:t>
      </w:r>
      <w:r w:rsidR="005C20EF" w:rsidRPr="00AF1C0F">
        <w:rPr>
          <w:rFonts w:ascii="Calibri" w:hAnsi="Calibri" w:cs="Calibri"/>
          <w:color w:val="000000"/>
          <w:sz w:val="22"/>
          <w:szCs w:val="22"/>
        </w:rPr>
        <w:t xml:space="preserve">: (“C3 GN”, “complement 3 </w:t>
      </w:r>
      <w:proofErr w:type="spellStart"/>
      <w:r w:rsidR="005C20EF" w:rsidRPr="00AF1C0F">
        <w:rPr>
          <w:rFonts w:ascii="Calibri" w:hAnsi="Calibri" w:cs="Calibri"/>
          <w:color w:val="000000"/>
          <w:sz w:val="22"/>
          <w:szCs w:val="22"/>
        </w:rPr>
        <w:t>glomerulo</w:t>
      </w:r>
      <w:proofErr w:type="spellEnd"/>
      <w:r w:rsidR="005C20EF" w:rsidRPr="00AF1C0F">
        <w:rPr>
          <w:rFonts w:ascii="Calibri" w:hAnsi="Calibri" w:cs="Calibri"/>
          <w:color w:val="000000"/>
          <w:sz w:val="22"/>
          <w:szCs w:val="22"/>
        </w:rPr>
        <w:t xml:space="preserve">*”, “C3 </w:t>
      </w:r>
      <w:proofErr w:type="spellStart"/>
      <w:r w:rsidR="005C20EF" w:rsidRPr="00AF1C0F">
        <w:rPr>
          <w:rFonts w:ascii="Calibri" w:hAnsi="Calibri" w:cs="Calibri"/>
          <w:color w:val="000000"/>
          <w:sz w:val="22"/>
          <w:szCs w:val="22"/>
        </w:rPr>
        <w:t>glomerulo</w:t>
      </w:r>
      <w:proofErr w:type="spellEnd"/>
      <w:r w:rsidR="005C20EF" w:rsidRPr="00AF1C0F">
        <w:rPr>
          <w:rFonts w:ascii="Calibri" w:hAnsi="Calibri" w:cs="Calibri"/>
          <w:color w:val="000000"/>
          <w:sz w:val="22"/>
          <w:szCs w:val="22"/>
        </w:rPr>
        <w:t>*, “MPGN”, “membranoproliferative”)</w:t>
      </w:r>
    </w:p>
    <w:p w14:paraId="09199FDE" w14:textId="4A5BAB71" w:rsidR="00E82D1C" w:rsidRPr="00AF1C0F" w:rsidRDefault="001630D4" w:rsidP="003F494F">
      <w:pPr>
        <w:pStyle w:val="ListParagraph"/>
        <w:numPr>
          <w:ilvl w:val="0"/>
          <w:numId w:val="27"/>
        </w:numPr>
        <w:spacing w:line="360" w:lineRule="auto"/>
        <w:jc w:val="both"/>
        <w:rPr>
          <w:rFonts w:ascii="Calibri" w:hAnsi="Calibri" w:cs="Calibri"/>
          <w:color w:val="000000"/>
          <w:sz w:val="22"/>
          <w:szCs w:val="22"/>
        </w:rPr>
      </w:pPr>
      <w:r w:rsidRPr="00AF1C0F">
        <w:rPr>
          <w:rFonts w:ascii="Calibri" w:hAnsi="Calibri" w:cs="Calibri"/>
          <w:color w:val="000000"/>
          <w:sz w:val="22"/>
          <w:szCs w:val="22"/>
        </w:rPr>
        <w:t>Post infectious GN</w:t>
      </w:r>
      <w:r w:rsidR="005C20EF" w:rsidRPr="00AF1C0F">
        <w:rPr>
          <w:rFonts w:ascii="Calibri" w:hAnsi="Calibri" w:cs="Calibri"/>
          <w:color w:val="000000"/>
          <w:sz w:val="22"/>
          <w:szCs w:val="22"/>
        </w:rPr>
        <w:t>: (“infection” AND “</w:t>
      </w:r>
      <w:proofErr w:type="spellStart"/>
      <w:r w:rsidR="005C20EF" w:rsidRPr="00AF1C0F">
        <w:rPr>
          <w:rFonts w:ascii="Calibri" w:hAnsi="Calibri" w:cs="Calibri"/>
          <w:color w:val="000000"/>
          <w:sz w:val="22"/>
          <w:szCs w:val="22"/>
        </w:rPr>
        <w:t>glomerulo</w:t>
      </w:r>
      <w:proofErr w:type="spellEnd"/>
      <w:r w:rsidR="005C20EF" w:rsidRPr="00AF1C0F">
        <w:rPr>
          <w:rFonts w:ascii="Calibri" w:hAnsi="Calibri" w:cs="Calibri"/>
          <w:color w:val="000000"/>
          <w:sz w:val="22"/>
          <w:szCs w:val="22"/>
        </w:rPr>
        <w:t>*”, “nephritis”, “streptococcal”)</w:t>
      </w:r>
    </w:p>
    <w:p w14:paraId="71B09752" w14:textId="77777777" w:rsidR="00E82D1C" w:rsidRPr="00AF1C0F" w:rsidRDefault="00E82D1C" w:rsidP="003F494F">
      <w:pPr>
        <w:spacing w:line="360" w:lineRule="auto"/>
        <w:jc w:val="both"/>
        <w:rPr>
          <w:rFonts w:ascii="Calibri" w:hAnsi="Calibri" w:cs="Calibri"/>
          <w:color w:val="000000"/>
          <w:sz w:val="22"/>
          <w:szCs w:val="22"/>
        </w:rPr>
      </w:pPr>
    </w:p>
    <w:p w14:paraId="5AC4CE6A" w14:textId="221FAE82" w:rsidR="00E82D1C" w:rsidRPr="00AF1C0F" w:rsidRDefault="001630D4" w:rsidP="003F494F">
      <w:pPr>
        <w:spacing w:line="360" w:lineRule="auto"/>
        <w:jc w:val="both"/>
        <w:rPr>
          <w:rFonts w:ascii="Calibri" w:hAnsi="Calibri" w:cs="Calibri"/>
          <w:color w:val="000000"/>
          <w:sz w:val="22"/>
          <w:szCs w:val="22"/>
        </w:rPr>
      </w:pPr>
      <w:r w:rsidRPr="00AF1C0F">
        <w:rPr>
          <w:rFonts w:ascii="Calibri" w:hAnsi="Calibri" w:cs="Calibri"/>
          <w:color w:val="000000"/>
          <w:sz w:val="22"/>
          <w:szCs w:val="22"/>
        </w:rPr>
        <w:t xml:space="preserve">Three bibliographic databases were </w:t>
      </w:r>
      <w:proofErr w:type="gramStart"/>
      <w:r w:rsidRPr="00AF1C0F">
        <w:rPr>
          <w:rFonts w:ascii="Calibri" w:hAnsi="Calibri" w:cs="Calibri"/>
          <w:color w:val="000000"/>
          <w:sz w:val="22"/>
          <w:szCs w:val="22"/>
        </w:rPr>
        <w:t>searched;</w:t>
      </w:r>
      <w:proofErr w:type="gramEnd"/>
      <w:r w:rsidRPr="00AF1C0F">
        <w:rPr>
          <w:rFonts w:ascii="Calibri" w:hAnsi="Calibri" w:cs="Calibri"/>
          <w:color w:val="000000"/>
          <w:sz w:val="22"/>
          <w:szCs w:val="22"/>
        </w:rPr>
        <w:t xml:space="preserve"> Medline (https://www.nlm.nih.gov/medline), Embase (https://www.embase.com) and Cochrane central register of controlled trials (</w:t>
      </w:r>
      <w:hyperlink w:history="1">
        <w:r w:rsidRPr="00AF1C0F">
          <w:rPr>
            <w:rStyle w:val="Hyperlink"/>
            <w:rFonts w:ascii="Calibri" w:hAnsi="Calibri" w:cs="Calibri"/>
            <w:sz w:val="22"/>
            <w:szCs w:val="22"/>
          </w:rPr>
          <w:t>https://www.cochranelibrary.com/central</w:t>
        </w:r>
      </w:hyperlink>
      <w:r w:rsidRPr="00AF1C0F">
        <w:rPr>
          <w:rFonts w:ascii="Calibri" w:hAnsi="Calibri" w:cs="Calibri"/>
          <w:color w:val="000000"/>
          <w:sz w:val="22"/>
          <w:szCs w:val="22"/>
        </w:rPr>
        <w:t>)</w:t>
      </w:r>
      <w:r w:rsidR="00AF1C0F">
        <w:rPr>
          <w:rFonts w:ascii="Calibri" w:hAnsi="Calibri" w:cs="Calibri"/>
          <w:color w:val="000000"/>
          <w:sz w:val="22"/>
          <w:szCs w:val="22"/>
        </w:rPr>
        <w:t xml:space="preserve">. </w:t>
      </w:r>
      <w:r w:rsidRPr="00AF1C0F">
        <w:rPr>
          <w:rFonts w:ascii="Calibri" w:hAnsi="Calibri" w:cs="Calibri"/>
          <w:color w:val="000000"/>
          <w:sz w:val="22"/>
          <w:szCs w:val="22"/>
        </w:rPr>
        <w:t>The process was performed according to the Cochrane Handbook for Systematic reviews of interventions.</w:t>
      </w:r>
      <w:r w:rsidR="00AF1C0F">
        <w:rPr>
          <w:rFonts w:ascii="Calibri" w:hAnsi="Calibri" w:cs="Calibri"/>
          <w:color w:val="000000"/>
          <w:sz w:val="22"/>
          <w:szCs w:val="22"/>
        </w:rPr>
        <w:t xml:space="preserve"> </w:t>
      </w:r>
      <w:r w:rsidRPr="00AF1C0F">
        <w:rPr>
          <w:rFonts w:ascii="Calibri" w:hAnsi="Calibri" w:cs="Calibri"/>
          <w:color w:val="000000"/>
          <w:sz w:val="22"/>
          <w:szCs w:val="22"/>
        </w:rPr>
        <w:t>The results were merged, and duplicates were removed</w:t>
      </w:r>
      <w:r w:rsidR="00AF1C0F">
        <w:rPr>
          <w:rFonts w:ascii="Calibri" w:hAnsi="Calibri" w:cs="Calibri"/>
          <w:color w:val="000000"/>
          <w:sz w:val="22"/>
          <w:szCs w:val="22"/>
        </w:rPr>
        <w:t xml:space="preserve"> by title</w:t>
      </w:r>
      <w:r w:rsidRPr="00AF1C0F">
        <w:rPr>
          <w:rFonts w:ascii="Calibri" w:hAnsi="Calibri" w:cs="Calibri"/>
          <w:color w:val="000000"/>
          <w:sz w:val="22"/>
          <w:szCs w:val="22"/>
        </w:rPr>
        <w:t xml:space="preserve">. Each article was independently screened for full text review according to the eligibility criteria. Two members synthesized the literature and discussed areas of disagreement. </w:t>
      </w:r>
      <w:r w:rsidR="00AF1C0F">
        <w:rPr>
          <w:rFonts w:ascii="Calibri" w:hAnsi="Calibri" w:cs="Calibri"/>
          <w:color w:val="000000"/>
          <w:sz w:val="22"/>
          <w:szCs w:val="22"/>
        </w:rPr>
        <w:t xml:space="preserve">An updated search was performed and then the evidence was closed. </w:t>
      </w:r>
      <w:r w:rsidRPr="00AF1C0F">
        <w:rPr>
          <w:rFonts w:ascii="Calibri" w:hAnsi="Calibri" w:cs="Calibri"/>
          <w:color w:val="000000"/>
          <w:sz w:val="22"/>
          <w:szCs w:val="22"/>
        </w:rPr>
        <w:t>Searching of reference lists was permitted</w:t>
      </w:r>
      <w:r w:rsidR="00AF1C0F">
        <w:rPr>
          <w:rFonts w:ascii="Calibri" w:hAnsi="Calibri" w:cs="Calibri"/>
          <w:color w:val="000000"/>
          <w:sz w:val="22"/>
          <w:szCs w:val="22"/>
        </w:rPr>
        <w:t xml:space="preserve"> and a</w:t>
      </w:r>
      <w:r w:rsidRPr="00AF1C0F">
        <w:rPr>
          <w:rFonts w:ascii="Calibri" w:hAnsi="Calibri" w:cs="Calibri"/>
          <w:color w:val="000000"/>
          <w:sz w:val="22"/>
          <w:szCs w:val="22"/>
        </w:rPr>
        <w:t>n evidence narrative summary was produced</w:t>
      </w:r>
      <w:r w:rsidR="00AF1C0F">
        <w:rPr>
          <w:rFonts w:ascii="Calibri" w:hAnsi="Calibri" w:cs="Calibri"/>
          <w:color w:val="000000"/>
          <w:sz w:val="22"/>
          <w:szCs w:val="22"/>
        </w:rPr>
        <w:t xml:space="preserve"> for members of the GDG</w:t>
      </w:r>
      <w:r w:rsidRPr="00AF1C0F">
        <w:rPr>
          <w:rFonts w:ascii="Calibri" w:hAnsi="Calibri" w:cs="Calibri"/>
          <w:color w:val="000000"/>
          <w:sz w:val="22"/>
          <w:szCs w:val="22"/>
        </w:rPr>
        <w:t>.</w:t>
      </w:r>
    </w:p>
    <w:p w14:paraId="29244A88" w14:textId="77777777" w:rsidR="00F66C3F" w:rsidRPr="00AF1C0F" w:rsidRDefault="00F66C3F" w:rsidP="003F494F">
      <w:pPr>
        <w:spacing w:line="360" w:lineRule="auto"/>
        <w:rPr>
          <w:rFonts w:ascii="Calibri" w:hAnsi="Calibri" w:cs="Calibri"/>
          <w:sz w:val="22"/>
          <w:szCs w:val="22"/>
        </w:rPr>
      </w:pPr>
    </w:p>
    <w:p w14:paraId="704C1E11" w14:textId="38B296AE" w:rsidR="00F66C3F" w:rsidRPr="00AF1C0F" w:rsidRDefault="001630D4" w:rsidP="003F494F">
      <w:pPr>
        <w:spacing w:line="360" w:lineRule="auto"/>
        <w:rPr>
          <w:rFonts w:ascii="Calibri" w:hAnsi="Calibri" w:cs="Calibri"/>
          <w:b/>
          <w:bCs/>
          <w:sz w:val="22"/>
          <w:szCs w:val="22"/>
        </w:rPr>
      </w:pPr>
      <w:r w:rsidRPr="00AF1C0F">
        <w:rPr>
          <w:rFonts w:ascii="Calibri" w:hAnsi="Calibri" w:cs="Calibri"/>
          <w:b/>
          <w:bCs/>
          <w:sz w:val="22"/>
          <w:szCs w:val="22"/>
        </w:rPr>
        <w:t>Inclusion criteria</w:t>
      </w:r>
      <w:r w:rsidR="008736C0" w:rsidRPr="00AF1C0F">
        <w:rPr>
          <w:rFonts w:ascii="Calibri" w:hAnsi="Calibri" w:cs="Calibri"/>
          <w:b/>
          <w:bCs/>
          <w:sz w:val="22"/>
          <w:szCs w:val="22"/>
        </w:rPr>
        <w:t xml:space="preserve"> for literature review</w:t>
      </w:r>
      <w:r w:rsidRPr="00AF1C0F">
        <w:rPr>
          <w:rFonts w:ascii="Calibri" w:hAnsi="Calibri" w:cs="Calibri"/>
          <w:b/>
          <w:bCs/>
          <w:sz w:val="22"/>
          <w:szCs w:val="22"/>
        </w:rPr>
        <w:t>:</w:t>
      </w:r>
    </w:p>
    <w:p w14:paraId="31BA57EF" w14:textId="575D7BAD" w:rsidR="00F66C3F" w:rsidRPr="00AF1C0F" w:rsidRDefault="001630D4" w:rsidP="003F494F">
      <w:pPr>
        <w:spacing w:line="360" w:lineRule="auto"/>
        <w:jc w:val="both"/>
        <w:rPr>
          <w:rFonts w:ascii="Calibri" w:hAnsi="Calibri" w:cs="Calibri"/>
          <w:sz w:val="22"/>
          <w:szCs w:val="22"/>
        </w:rPr>
      </w:pPr>
      <w:r w:rsidRPr="00AF1C0F">
        <w:rPr>
          <w:rFonts w:ascii="Calibri" w:eastAsiaTheme="minorEastAsia" w:hAnsi="Calibri" w:cs="Calibri"/>
          <w:sz w:val="22"/>
          <w:szCs w:val="22"/>
        </w:rPr>
        <w:t xml:space="preserve">All systematic reviews of randomized controlled trials (RCTs), prospective uncontrolled trials, observational studies, and registry studies restricted to human studies </w:t>
      </w:r>
      <w:r w:rsidR="00AF1C0F">
        <w:rPr>
          <w:rFonts w:ascii="Calibri" w:eastAsiaTheme="minorEastAsia" w:hAnsi="Calibri" w:cs="Calibri"/>
          <w:sz w:val="22"/>
          <w:szCs w:val="22"/>
        </w:rPr>
        <w:t xml:space="preserve">and </w:t>
      </w:r>
      <w:r w:rsidR="00C74597">
        <w:rPr>
          <w:rFonts w:ascii="Calibri" w:eastAsiaTheme="minorEastAsia" w:hAnsi="Calibri" w:cs="Calibri"/>
          <w:sz w:val="22"/>
          <w:szCs w:val="22"/>
        </w:rPr>
        <w:t xml:space="preserve">only those </w:t>
      </w:r>
      <w:r w:rsidR="00AF1C0F">
        <w:rPr>
          <w:rFonts w:ascii="Calibri" w:eastAsiaTheme="minorEastAsia" w:hAnsi="Calibri" w:cs="Calibri"/>
          <w:sz w:val="22"/>
          <w:szCs w:val="22"/>
        </w:rPr>
        <w:t xml:space="preserve">available </w:t>
      </w:r>
      <w:r w:rsidRPr="00AF1C0F">
        <w:rPr>
          <w:rFonts w:ascii="Calibri" w:eastAsiaTheme="minorEastAsia" w:hAnsi="Calibri" w:cs="Calibri"/>
          <w:sz w:val="22"/>
          <w:szCs w:val="22"/>
        </w:rPr>
        <w:t xml:space="preserve">in </w:t>
      </w:r>
      <w:r w:rsidR="00C74597">
        <w:rPr>
          <w:rFonts w:ascii="Calibri" w:eastAsiaTheme="minorEastAsia" w:hAnsi="Calibri" w:cs="Calibri"/>
          <w:sz w:val="22"/>
          <w:szCs w:val="22"/>
        </w:rPr>
        <w:t xml:space="preserve">full text in </w:t>
      </w:r>
      <w:r w:rsidRPr="00AF1C0F">
        <w:rPr>
          <w:rFonts w:ascii="Calibri" w:eastAsiaTheme="minorEastAsia" w:hAnsi="Calibri" w:cs="Calibri"/>
          <w:sz w:val="22"/>
          <w:szCs w:val="22"/>
        </w:rPr>
        <w:t>English were retrieved</w:t>
      </w:r>
      <w:r w:rsidRPr="00AF1C0F">
        <w:rPr>
          <w:rFonts w:ascii="Calibri" w:hAnsi="Calibri" w:cs="Calibri"/>
          <w:sz w:val="22"/>
          <w:szCs w:val="22"/>
        </w:rPr>
        <w:t>.</w:t>
      </w:r>
      <w:r w:rsidR="008736C0" w:rsidRPr="00AF1C0F">
        <w:rPr>
          <w:rFonts w:ascii="Calibri" w:hAnsi="Calibri" w:cs="Calibri"/>
          <w:sz w:val="22"/>
          <w:szCs w:val="22"/>
        </w:rPr>
        <w:t xml:space="preserve"> </w:t>
      </w:r>
      <w:r w:rsidR="00593F75" w:rsidRPr="00AF1C0F">
        <w:rPr>
          <w:rFonts w:ascii="Calibri" w:hAnsi="Calibri" w:cs="Calibri"/>
          <w:sz w:val="22"/>
          <w:szCs w:val="22"/>
        </w:rPr>
        <w:t xml:space="preserve">It was </w:t>
      </w:r>
      <w:r w:rsidR="00593F75" w:rsidRPr="00AF1C0F">
        <w:rPr>
          <w:rFonts w:ascii="Calibri" w:hAnsi="Calibri" w:cs="Calibri"/>
          <w:sz w:val="22"/>
          <w:szCs w:val="22"/>
        </w:rPr>
        <w:lastRenderedPageBreak/>
        <w:t>agreed that t</w:t>
      </w:r>
      <w:r w:rsidRPr="00AF1C0F">
        <w:rPr>
          <w:rFonts w:ascii="Calibri" w:hAnsi="Calibri" w:cs="Calibri"/>
          <w:sz w:val="22"/>
          <w:szCs w:val="22"/>
        </w:rPr>
        <w:t xml:space="preserve">he </w:t>
      </w:r>
      <w:r w:rsidR="00AF1C0F">
        <w:rPr>
          <w:rFonts w:ascii="Calibri" w:hAnsi="Calibri" w:cs="Calibri"/>
          <w:sz w:val="22"/>
          <w:szCs w:val="22"/>
        </w:rPr>
        <w:t xml:space="preserve">inclusion criteria and search </w:t>
      </w:r>
      <w:r w:rsidR="00593F75" w:rsidRPr="00AF1C0F">
        <w:rPr>
          <w:rFonts w:ascii="Calibri" w:hAnsi="Calibri" w:cs="Calibri"/>
          <w:sz w:val="22"/>
          <w:szCs w:val="22"/>
        </w:rPr>
        <w:t>methodology used for the IPNA guidelines w</w:t>
      </w:r>
      <w:r w:rsidR="00AF1C0F">
        <w:rPr>
          <w:rFonts w:ascii="Calibri" w:hAnsi="Calibri" w:cs="Calibri"/>
          <w:sz w:val="22"/>
          <w:szCs w:val="22"/>
        </w:rPr>
        <w:t xml:space="preserve">ere </w:t>
      </w:r>
      <w:r w:rsidR="00744C71">
        <w:rPr>
          <w:rFonts w:ascii="Calibri" w:hAnsi="Calibri" w:cs="Calibri"/>
          <w:sz w:val="22"/>
          <w:szCs w:val="22"/>
        </w:rPr>
        <w:t>acceptable for</w:t>
      </w:r>
      <w:r w:rsidR="00AF1C0F">
        <w:rPr>
          <w:rFonts w:ascii="Calibri" w:hAnsi="Calibri" w:cs="Calibri"/>
          <w:sz w:val="22"/>
          <w:szCs w:val="22"/>
        </w:rPr>
        <w:t xml:space="preserve"> this project’s ambitions</w:t>
      </w:r>
      <w:r w:rsidR="00593F75" w:rsidRPr="00AF1C0F">
        <w:rPr>
          <w:rFonts w:ascii="Calibri" w:hAnsi="Calibri" w:cs="Calibri"/>
          <w:sz w:val="22"/>
          <w:szCs w:val="22"/>
        </w:rPr>
        <w:t xml:space="preserve"> </w:t>
      </w:r>
      <w:r w:rsidR="00AF1C0F">
        <w:rPr>
          <w:rFonts w:ascii="Calibri" w:hAnsi="Calibri" w:cs="Calibri"/>
          <w:sz w:val="22"/>
          <w:szCs w:val="22"/>
        </w:rPr>
        <w:t xml:space="preserve">to allow </w:t>
      </w:r>
      <w:r w:rsidR="00593F75" w:rsidRPr="00AF1C0F">
        <w:rPr>
          <w:rFonts w:ascii="Calibri" w:hAnsi="Calibri" w:cs="Calibri"/>
          <w:sz w:val="22"/>
          <w:szCs w:val="22"/>
        </w:rPr>
        <w:t xml:space="preserve">an update of the literature </w:t>
      </w:r>
      <w:r w:rsidRPr="00AF1C0F">
        <w:rPr>
          <w:rFonts w:ascii="Calibri" w:hAnsi="Calibri" w:cs="Calibri"/>
          <w:sz w:val="22"/>
          <w:szCs w:val="22"/>
        </w:rPr>
        <w:t xml:space="preserve">for </w:t>
      </w:r>
      <w:r w:rsidR="00744C71">
        <w:rPr>
          <w:rFonts w:ascii="Calibri" w:hAnsi="Calibri" w:cs="Calibri"/>
          <w:sz w:val="22"/>
          <w:szCs w:val="22"/>
        </w:rPr>
        <w:t>certain</w:t>
      </w:r>
      <w:r w:rsidRPr="00AF1C0F">
        <w:rPr>
          <w:rFonts w:ascii="Calibri" w:hAnsi="Calibri" w:cs="Calibri"/>
          <w:sz w:val="22"/>
          <w:szCs w:val="22"/>
        </w:rPr>
        <w:t xml:space="preserve"> subtypes </w:t>
      </w:r>
      <w:r w:rsidR="00AF1C0F">
        <w:rPr>
          <w:rFonts w:ascii="Calibri" w:hAnsi="Calibri" w:cs="Calibri"/>
          <w:sz w:val="22"/>
          <w:szCs w:val="22"/>
        </w:rPr>
        <w:t xml:space="preserve">of </w:t>
      </w:r>
      <w:r w:rsidR="002A4060">
        <w:rPr>
          <w:rFonts w:ascii="Calibri" w:hAnsi="Calibri" w:cs="Calibri"/>
          <w:sz w:val="22"/>
          <w:szCs w:val="22"/>
        </w:rPr>
        <w:t>IM-GD</w:t>
      </w:r>
      <w:r w:rsidR="00744C71">
        <w:rPr>
          <w:rFonts w:ascii="Calibri" w:hAnsi="Calibri" w:cs="Calibri"/>
          <w:sz w:val="22"/>
          <w:szCs w:val="22"/>
        </w:rPr>
        <w:t>.</w:t>
      </w:r>
    </w:p>
    <w:p w14:paraId="54CC3315" w14:textId="77777777" w:rsidR="00F66C3F" w:rsidRPr="00D17944" w:rsidRDefault="001630D4" w:rsidP="003F494F">
      <w:pPr>
        <w:spacing w:line="360" w:lineRule="auto"/>
        <w:rPr>
          <w:rFonts w:cstheme="minorHAnsi"/>
          <w:sz w:val="22"/>
          <w:szCs w:val="22"/>
        </w:rPr>
      </w:pPr>
      <w:r w:rsidRPr="00D17944">
        <w:rPr>
          <w:rFonts w:cstheme="minorHAnsi"/>
          <w:sz w:val="22"/>
          <w:szCs w:val="22"/>
        </w:rPr>
        <w:t xml:space="preserve"> </w:t>
      </w:r>
    </w:p>
    <w:p w14:paraId="198FF0FB" w14:textId="385E7C5B" w:rsidR="00F66C3F" w:rsidRPr="00D17944" w:rsidRDefault="001630D4" w:rsidP="003F494F">
      <w:pPr>
        <w:spacing w:line="360" w:lineRule="auto"/>
        <w:rPr>
          <w:rFonts w:cstheme="minorHAnsi"/>
          <w:sz w:val="22"/>
          <w:szCs w:val="22"/>
        </w:rPr>
      </w:pPr>
      <w:r w:rsidRPr="00D17944">
        <w:rPr>
          <w:rFonts w:cstheme="minorHAnsi"/>
          <w:sz w:val="22"/>
          <w:szCs w:val="22"/>
        </w:rPr>
        <w:t xml:space="preserve">IPNA guidelines were available for </w:t>
      </w:r>
      <w:r w:rsidR="00165C92">
        <w:rPr>
          <w:rFonts w:cstheme="minorHAnsi"/>
          <w:sz w:val="22"/>
          <w:szCs w:val="22"/>
        </w:rPr>
        <w:t>I</w:t>
      </w:r>
      <w:r w:rsidR="00744C71">
        <w:rPr>
          <w:rFonts w:cstheme="minorHAnsi"/>
          <w:sz w:val="22"/>
          <w:szCs w:val="22"/>
        </w:rPr>
        <w:t>NS and IgA related GN</w:t>
      </w:r>
      <w:r w:rsidRPr="00D17944">
        <w:rPr>
          <w:rFonts w:cstheme="minorHAnsi"/>
          <w:sz w:val="22"/>
          <w:szCs w:val="22"/>
        </w:rPr>
        <w:t xml:space="preserve"> meaning the literature search inclusion period was from </w:t>
      </w:r>
      <w:r w:rsidRPr="00D17944">
        <w:rPr>
          <w:rFonts w:eastAsiaTheme="minorEastAsia" w:cstheme="minorHAnsi"/>
          <w:sz w:val="22"/>
          <w:szCs w:val="22"/>
        </w:rPr>
        <w:t>Jan</w:t>
      </w:r>
      <w:r w:rsidR="00F9556E">
        <w:rPr>
          <w:rFonts w:eastAsiaTheme="minorEastAsia" w:cstheme="minorHAnsi"/>
          <w:sz w:val="22"/>
          <w:szCs w:val="22"/>
        </w:rPr>
        <w:t>uary</w:t>
      </w:r>
      <w:r w:rsidRPr="00D17944">
        <w:rPr>
          <w:rFonts w:eastAsiaTheme="minorEastAsia" w:cstheme="minorHAnsi"/>
          <w:sz w:val="22"/>
          <w:szCs w:val="22"/>
        </w:rPr>
        <w:t xml:space="preserve"> 2022 to May 2024</w:t>
      </w:r>
      <w:r w:rsidR="00744C71">
        <w:rPr>
          <w:rFonts w:eastAsiaTheme="minorEastAsia" w:cstheme="minorHAnsi"/>
          <w:sz w:val="22"/>
          <w:szCs w:val="22"/>
        </w:rPr>
        <w:t xml:space="preserve"> for these subtypes. </w:t>
      </w:r>
      <w:r w:rsidRPr="00D17944">
        <w:rPr>
          <w:rFonts w:eastAsiaTheme="minorEastAsia" w:cstheme="minorHAnsi"/>
          <w:sz w:val="22"/>
          <w:szCs w:val="22"/>
        </w:rPr>
        <w:t> </w:t>
      </w:r>
    </w:p>
    <w:p w14:paraId="421C7A97" w14:textId="77777777" w:rsidR="00F66C3F" w:rsidRPr="00D17944" w:rsidRDefault="00F66C3F" w:rsidP="003F494F">
      <w:pPr>
        <w:spacing w:line="360" w:lineRule="auto"/>
        <w:ind w:left="1080"/>
        <w:rPr>
          <w:rFonts w:cstheme="minorHAnsi"/>
          <w:sz w:val="22"/>
          <w:szCs w:val="22"/>
        </w:rPr>
      </w:pPr>
    </w:p>
    <w:p w14:paraId="5997CF8A" w14:textId="647FE42A" w:rsidR="00F66C3F" w:rsidRPr="00D17944" w:rsidRDefault="001630D4" w:rsidP="003F494F">
      <w:pPr>
        <w:spacing w:line="360" w:lineRule="auto"/>
        <w:rPr>
          <w:rFonts w:cstheme="minorHAnsi"/>
          <w:sz w:val="22"/>
          <w:szCs w:val="22"/>
        </w:rPr>
      </w:pPr>
      <w:r w:rsidRPr="00D17944">
        <w:rPr>
          <w:rFonts w:cstheme="minorHAnsi"/>
          <w:sz w:val="22"/>
          <w:szCs w:val="22"/>
        </w:rPr>
        <w:t xml:space="preserve">The literature search inclusion period was from </w:t>
      </w:r>
      <w:r w:rsidRPr="00D17944">
        <w:rPr>
          <w:rFonts w:eastAsiaTheme="minorEastAsia" w:cstheme="minorHAnsi"/>
          <w:sz w:val="22"/>
          <w:szCs w:val="22"/>
        </w:rPr>
        <w:t>Sept</w:t>
      </w:r>
      <w:r w:rsidR="00F9556E">
        <w:rPr>
          <w:rFonts w:eastAsiaTheme="minorEastAsia" w:cstheme="minorHAnsi"/>
          <w:sz w:val="22"/>
          <w:szCs w:val="22"/>
        </w:rPr>
        <w:t>ember</w:t>
      </w:r>
      <w:r w:rsidRPr="00D17944">
        <w:rPr>
          <w:rFonts w:eastAsiaTheme="minorEastAsia" w:cstheme="minorHAnsi"/>
          <w:sz w:val="22"/>
          <w:szCs w:val="22"/>
        </w:rPr>
        <w:t xml:space="preserve"> 2013 to May 2024 for</w:t>
      </w:r>
      <w:r w:rsidR="00744C71">
        <w:rPr>
          <w:rFonts w:eastAsiaTheme="minorEastAsia" w:cstheme="minorHAnsi"/>
          <w:sz w:val="22"/>
          <w:szCs w:val="22"/>
        </w:rPr>
        <w:t xml:space="preserve"> all other subtypes as </w:t>
      </w:r>
      <w:proofErr w:type="gramStart"/>
      <w:r w:rsidR="00744C71">
        <w:rPr>
          <w:rFonts w:eastAsiaTheme="minorEastAsia" w:cstheme="minorHAnsi"/>
          <w:sz w:val="22"/>
          <w:szCs w:val="22"/>
        </w:rPr>
        <w:t>follows</w:t>
      </w:r>
      <w:r w:rsidRPr="00D17944">
        <w:rPr>
          <w:rFonts w:eastAsiaTheme="minorEastAsia" w:cstheme="minorHAnsi"/>
          <w:sz w:val="22"/>
          <w:szCs w:val="22"/>
        </w:rPr>
        <w:t>;</w:t>
      </w:r>
      <w:proofErr w:type="gramEnd"/>
    </w:p>
    <w:p w14:paraId="3001D56C" w14:textId="7261A564" w:rsidR="00F66C3F" w:rsidRPr="00D17944" w:rsidRDefault="001630D4" w:rsidP="003F494F">
      <w:pPr>
        <w:numPr>
          <w:ilvl w:val="0"/>
          <w:numId w:val="22"/>
        </w:numPr>
        <w:tabs>
          <w:tab w:val="clear" w:pos="720"/>
          <w:tab w:val="num" w:pos="1080"/>
        </w:tabs>
        <w:spacing w:line="360" w:lineRule="auto"/>
        <w:ind w:left="1080"/>
        <w:rPr>
          <w:rFonts w:cstheme="minorHAnsi"/>
          <w:sz w:val="22"/>
          <w:szCs w:val="22"/>
        </w:rPr>
      </w:pPr>
      <w:r w:rsidRPr="00D17944">
        <w:rPr>
          <w:rFonts w:eastAsiaTheme="minorEastAsia" w:cstheme="minorHAnsi"/>
          <w:sz w:val="22"/>
          <w:szCs w:val="22"/>
        </w:rPr>
        <w:t xml:space="preserve">Primary membranous nephropathy </w:t>
      </w:r>
    </w:p>
    <w:p w14:paraId="29E326D0" w14:textId="0E6A0BD7" w:rsidR="00A47D27" w:rsidRPr="00D17944" w:rsidRDefault="001630D4" w:rsidP="003F494F">
      <w:pPr>
        <w:numPr>
          <w:ilvl w:val="0"/>
          <w:numId w:val="22"/>
        </w:numPr>
        <w:tabs>
          <w:tab w:val="clear" w:pos="720"/>
          <w:tab w:val="num" w:pos="1080"/>
        </w:tabs>
        <w:spacing w:line="360" w:lineRule="auto"/>
        <w:ind w:left="1080"/>
        <w:rPr>
          <w:rFonts w:cstheme="minorHAnsi"/>
          <w:sz w:val="22"/>
          <w:szCs w:val="22"/>
        </w:rPr>
      </w:pPr>
      <w:r w:rsidRPr="00D17944">
        <w:rPr>
          <w:rFonts w:eastAsiaTheme="minorEastAsia" w:cstheme="minorHAnsi"/>
          <w:sz w:val="22"/>
          <w:szCs w:val="22"/>
        </w:rPr>
        <w:t>Lupus nephritis </w:t>
      </w:r>
    </w:p>
    <w:p w14:paraId="5AB5A672" w14:textId="77777777" w:rsidR="007F2808" w:rsidRPr="003F494F" w:rsidRDefault="001630D4" w:rsidP="003F494F">
      <w:pPr>
        <w:numPr>
          <w:ilvl w:val="0"/>
          <w:numId w:val="22"/>
        </w:numPr>
        <w:tabs>
          <w:tab w:val="clear" w:pos="720"/>
          <w:tab w:val="num" w:pos="1080"/>
        </w:tabs>
        <w:spacing w:line="360" w:lineRule="auto"/>
        <w:ind w:left="1080"/>
        <w:rPr>
          <w:rFonts w:cstheme="minorHAnsi"/>
          <w:sz w:val="22"/>
          <w:szCs w:val="22"/>
        </w:rPr>
      </w:pPr>
      <w:r w:rsidRPr="00D17944">
        <w:rPr>
          <w:rFonts w:eastAsiaTheme="minorEastAsia" w:cstheme="minorHAnsi"/>
          <w:sz w:val="22"/>
          <w:szCs w:val="22"/>
        </w:rPr>
        <w:t>ANCA associated vasculitis </w:t>
      </w:r>
    </w:p>
    <w:p w14:paraId="32264DF8" w14:textId="36118F5D" w:rsidR="006777DC" w:rsidRPr="00D17944" w:rsidRDefault="001630D4" w:rsidP="003F494F">
      <w:pPr>
        <w:numPr>
          <w:ilvl w:val="0"/>
          <w:numId w:val="22"/>
        </w:numPr>
        <w:tabs>
          <w:tab w:val="clear" w:pos="720"/>
          <w:tab w:val="num" w:pos="1080"/>
        </w:tabs>
        <w:spacing w:line="360" w:lineRule="auto"/>
        <w:ind w:left="1080"/>
        <w:rPr>
          <w:rFonts w:cstheme="minorHAnsi"/>
          <w:sz w:val="22"/>
          <w:szCs w:val="22"/>
        </w:rPr>
      </w:pPr>
      <w:r w:rsidRPr="00D17944">
        <w:rPr>
          <w:rFonts w:cstheme="minorHAnsi"/>
          <w:bCs/>
          <w:sz w:val="22"/>
          <w:szCs w:val="22"/>
        </w:rPr>
        <w:t>Anti-glomerular basement membrane (GBM) GN</w:t>
      </w:r>
    </w:p>
    <w:p w14:paraId="60CEED31" w14:textId="1554F659" w:rsidR="00A47D27" w:rsidRPr="00D17944" w:rsidRDefault="001630D4" w:rsidP="003F494F">
      <w:pPr>
        <w:numPr>
          <w:ilvl w:val="0"/>
          <w:numId w:val="22"/>
        </w:numPr>
        <w:tabs>
          <w:tab w:val="clear" w:pos="720"/>
          <w:tab w:val="num" w:pos="1080"/>
        </w:tabs>
        <w:spacing w:line="360" w:lineRule="auto"/>
        <w:ind w:left="1080"/>
        <w:rPr>
          <w:rFonts w:cstheme="minorHAnsi"/>
          <w:sz w:val="22"/>
          <w:szCs w:val="22"/>
        </w:rPr>
      </w:pPr>
      <w:r w:rsidRPr="00D17944">
        <w:rPr>
          <w:rFonts w:cstheme="minorHAnsi"/>
          <w:bCs/>
          <w:sz w:val="22"/>
          <w:szCs w:val="22"/>
        </w:rPr>
        <w:t xml:space="preserve">Ig and complement mediated GN with membranoproliferative GN (MPGN) pattern </w:t>
      </w:r>
    </w:p>
    <w:p w14:paraId="3AB402AE" w14:textId="77777777" w:rsidR="006777DC" w:rsidRPr="00744C71" w:rsidRDefault="001630D4" w:rsidP="003F494F">
      <w:pPr>
        <w:numPr>
          <w:ilvl w:val="0"/>
          <w:numId w:val="22"/>
        </w:numPr>
        <w:tabs>
          <w:tab w:val="clear" w:pos="720"/>
          <w:tab w:val="num" w:pos="1080"/>
        </w:tabs>
        <w:spacing w:line="360" w:lineRule="auto"/>
        <w:ind w:left="1080"/>
        <w:rPr>
          <w:rFonts w:cstheme="minorHAnsi"/>
          <w:sz w:val="22"/>
          <w:szCs w:val="22"/>
        </w:rPr>
      </w:pPr>
      <w:r w:rsidRPr="00D17944">
        <w:rPr>
          <w:rFonts w:cstheme="minorHAnsi"/>
          <w:bCs/>
          <w:sz w:val="22"/>
          <w:szCs w:val="22"/>
        </w:rPr>
        <w:t xml:space="preserve">Post </w:t>
      </w:r>
      <w:r w:rsidRPr="00744C71">
        <w:rPr>
          <w:rFonts w:cstheme="minorHAnsi"/>
          <w:bCs/>
          <w:sz w:val="22"/>
          <w:szCs w:val="22"/>
        </w:rPr>
        <w:t>infectious GN</w:t>
      </w:r>
    </w:p>
    <w:p w14:paraId="65FF9F54" w14:textId="77777777" w:rsidR="00F66C3F" w:rsidRPr="00744C71" w:rsidRDefault="00F66C3F" w:rsidP="00D82C4B">
      <w:pPr>
        <w:spacing w:line="360" w:lineRule="auto"/>
        <w:ind w:left="720"/>
        <w:rPr>
          <w:rFonts w:cstheme="minorHAnsi"/>
          <w:sz w:val="22"/>
          <w:szCs w:val="22"/>
        </w:rPr>
      </w:pPr>
    </w:p>
    <w:p w14:paraId="4E33A45E" w14:textId="0AA81F79" w:rsidR="00CE727A" w:rsidRPr="00744C71" w:rsidRDefault="001630D4" w:rsidP="00D82C4B">
      <w:pPr>
        <w:spacing w:line="360" w:lineRule="auto"/>
        <w:rPr>
          <w:rFonts w:cstheme="minorHAnsi"/>
          <w:b/>
          <w:bCs/>
          <w:i/>
          <w:iCs/>
          <w:sz w:val="22"/>
          <w:szCs w:val="22"/>
        </w:rPr>
      </w:pPr>
      <w:r w:rsidRPr="00744C71">
        <w:rPr>
          <w:rFonts w:cstheme="minorHAnsi"/>
          <w:b/>
          <w:bCs/>
          <w:i/>
          <w:iCs/>
          <w:sz w:val="22"/>
          <w:szCs w:val="22"/>
        </w:rPr>
        <w:t>Clinical questions for literature review</w:t>
      </w:r>
    </w:p>
    <w:p w14:paraId="17127639" w14:textId="7F28B03B" w:rsidR="00E82D1C" w:rsidRPr="00744C71" w:rsidRDefault="001630D4" w:rsidP="00D82C4B">
      <w:pPr>
        <w:spacing w:line="360" w:lineRule="auto"/>
        <w:jc w:val="both"/>
        <w:rPr>
          <w:rFonts w:cstheme="minorHAnsi"/>
          <w:color w:val="000000"/>
          <w:sz w:val="22"/>
          <w:szCs w:val="22"/>
        </w:rPr>
      </w:pPr>
      <w:r>
        <w:rPr>
          <w:rFonts w:cstheme="minorHAnsi"/>
          <w:color w:val="000000"/>
          <w:sz w:val="22"/>
          <w:szCs w:val="22"/>
        </w:rPr>
        <w:t>The q</w:t>
      </w:r>
      <w:r w:rsidRPr="00744C71">
        <w:rPr>
          <w:rFonts w:cstheme="minorHAnsi"/>
          <w:color w:val="000000"/>
          <w:sz w:val="22"/>
          <w:szCs w:val="22"/>
        </w:rPr>
        <w:t xml:space="preserve">uestions about </w:t>
      </w:r>
      <w:r>
        <w:rPr>
          <w:rFonts w:cstheme="minorHAnsi"/>
          <w:color w:val="000000"/>
          <w:sz w:val="22"/>
          <w:szCs w:val="22"/>
        </w:rPr>
        <w:t xml:space="preserve">treatment </w:t>
      </w:r>
      <w:r w:rsidRPr="00744C71">
        <w:rPr>
          <w:rFonts w:cstheme="minorHAnsi"/>
          <w:color w:val="000000"/>
          <w:sz w:val="22"/>
          <w:szCs w:val="22"/>
        </w:rPr>
        <w:t>interventions were framed in PICO (Patient, Intervention, Comparator, Outcome) format.</w:t>
      </w:r>
    </w:p>
    <w:p w14:paraId="3054CF39" w14:textId="1BD5871A" w:rsidR="00744C71" w:rsidRDefault="001630D4" w:rsidP="00D82C4B">
      <w:pPr>
        <w:pStyle w:val="ListParagraph"/>
        <w:numPr>
          <w:ilvl w:val="0"/>
          <w:numId w:val="28"/>
        </w:numPr>
        <w:spacing w:line="360" w:lineRule="auto"/>
        <w:jc w:val="both"/>
        <w:rPr>
          <w:rFonts w:cstheme="minorHAnsi"/>
          <w:sz w:val="22"/>
          <w:szCs w:val="22"/>
        </w:rPr>
      </w:pPr>
      <w:r w:rsidRPr="00744C71">
        <w:rPr>
          <w:rFonts w:cstheme="minorHAnsi"/>
          <w:sz w:val="22"/>
          <w:szCs w:val="22"/>
        </w:rPr>
        <w:t xml:space="preserve">Population: CYP under the age of 18 years of age with </w:t>
      </w:r>
      <w:r w:rsidR="002A4060">
        <w:rPr>
          <w:rFonts w:cstheme="minorHAnsi"/>
          <w:sz w:val="22"/>
          <w:szCs w:val="22"/>
        </w:rPr>
        <w:t>IM-GD</w:t>
      </w:r>
    </w:p>
    <w:p w14:paraId="0321DAE9" w14:textId="77777777" w:rsidR="00744C71" w:rsidRDefault="001630D4" w:rsidP="00D82C4B">
      <w:pPr>
        <w:pStyle w:val="ListParagraph"/>
        <w:numPr>
          <w:ilvl w:val="0"/>
          <w:numId w:val="28"/>
        </w:numPr>
        <w:spacing w:line="360" w:lineRule="auto"/>
        <w:jc w:val="both"/>
        <w:rPr>
          <w:rFonts w:cstheme="minorHAnsi"/>
          <w:sz w:val="22"/>
          <w:szCs w:val="22"/>
        </w:rPr>
      </w:pPr>
      <w:r w:rsidRPr="00744C71">
        <w:rPr>
          <w:rFonts w:cstheme="minorHAnsi"/>
          <w:sz w:val="22"/>
          <w:szCs w:val="22"/>
        </w:rPr>
        <w:t xml:space="preserve">Intervention: immunosuppressive treatment including </w:t>
      </w:r>
      <w:r w:rsidR="000C1DD2" w:rsidRPr="00744C71">
        <w:rPr>
          <w:rFonts w:cstheme="minorHAnsi"/>
          <w:sz w:val="22"/>
          <w:szCs w:val="22"/>
        </w:rPr>
        <w:t>medication and plasmapheresis</w:t>
      </w:r>
      <w:r w:rsidRPr="00744C71">
        <w:rPr>
          <w:rFonts w:cstheme="minorHAnsi"/>
          <w:sz w:val="22"/>
          <w:szCs w:val="22"/>
        </w:rPr>
        <w:t xml:space="preserve"> </w:t>
      </w:r>
    </w:p>
    <w:p w14:paraId="6C456402" w14:textId="77777777" w:rsidR="00744C71" w:rsidRDefault="001630D4" w:rsidP="00D82C4B">
      <w:pPr>
        <w:pStyle w:val="ListParagraph"/>
        <w:numPr>
          <w:ilvl w:val="0"/>
          <w:numId w:val="28"/>
        </w:numPr>
        <w:spacing w:line="360" w:lineRule="auto"/>
        <w:jc w:val="both"/>
        <w:rPr>
          <w:rFonts w:cstheme="minorHAnsi"/>
          <w:sz w:val="22"/>
          <w:szCs w:val="22"/>
        </w:rPr>
      </w:pPr>
      <w:r w:rsidRPr="00744C71">
        <w:rPr>
          <w:rFonts w:cstheme="minorHAnsi"/>
          <w:sz w:val="22"/>
          <w:szCs w:val="22"/>
        </w:rPr>
        <w:t>Comparison: no treatment</w:t>
      </w:r>
      <w:r w:rsidR="002E11C9" w:rsidRPr="00744C71">
        <w:rPr>
          <w:rFonts w:cstheme="minorHAnsi"/>
          <w:sz w:val="22"/>
          <w:szCs w:val="22"/>
        </w:rPr>
        <w:t xml:space="preserve"> or different treatments where different regime</w:t>
      </w:r>
      <w:r w:rsidR="00DB2071" w:rsidRPr="00744C71">
        <w:rPr>
          <w:rFonts w:cstheme="minorHAnsi"/>
          <w:sz w:val="22"/>
          <w:szCs w:val="22"/>
        </w:rPr>
        <w:t>n</w:t>
      </w:r>
      <w:r w:rsidR="002E11C9" w:rsidRPr="00744C71">
        <w:rPr>
          <w:rFonts w:cstheme="minorHAnsi"/>
          <w:sz w:val="22"/>
          <w:szCs w:val="22"/>
        </w:rPr>
        <w:t xml:space="preserve">s exist </w:t>
      </w:r>
      <w:r w:rsidRPr="00744C71">
        <w:rPr>
          <w:rFonts w:cstheme="minorHAnsi"/>
          <w:sz w:val="22"/>
          <w:szCs w:val="22"/>
        </w:rPr>
        <w:t xml:space="preserve">   </w:t>
      </w:r>
    </w:p>
    <w:p w14:paraId="35BFD377" w14:textId="3DFB49A7" w:rsidR="00833BED" w:rsidRPr="00744C71" w:rsidRDefault="001630D4" w:rsidP="00D82C4B">
      <w:pPr>
        <w:pStyle w:val="ListParagraph"/>
        <w:numPr>
          <w:ilvl w:val="0"/>
          <w:numId w:val="28"/>
        </w:numPr>
        <w:spacing w:line="360" w:lineRule="auto"/>
        <w:jc w:val="both"/>
        <w:rPr>
          <w:rFonts w:cstheme="minorHAnsi"/>
          <w:sz w:val="22"/>
          <w:szCs w:val="22"/>
        </w:rPr>
      </w:pPr>
      <w:r w:rsidRPr="00744C71">
        <w:rPr>
          <w:rFonts w:cstheme="minorHAnsi"/>
          <w:sz w:val="22"/>
          <w:szCs w:val="22"/>
        </w:rPr>
        <w:t xml:space="preserve">Outcome: </w:t>
      </w:r>
      <w:r w:rsidR="002E11C9" w:rsidRPr="00744C71">
        <w:rPr>
          <w:rFonts w:cstheme="minorHAnsi"/>
          <w:sz w:val="22"/>
          <w:szCs w:val="22"/>
        </w:rPr>
        <w:t>estimated glomerular filtration rate</w:t>
      </w:r>
      <w:r w:rsidR="00920056" w:rsidRPr="00744C71">
        <w:rPr>
          <w:rFonts w:cstheme="minorHAnsi"/>
          <w:sz w:val="22"/>
          <w:szCs w:val="22"/>
        </w:rPr>
        <w:t xml:space="preserve"> (eGFR)</w:t>
      </w:r>
      <w:r w:rsidR="002E11C9" w:rsidRPr="00744C71">
        <w:rPr>
          <w:rFonts w:cstheme="minorHAnsi"/>
          <w:sz w:val="22"/>
          <w:szCs w:val="22"/>
        </w:rPr>
        <w:t>,</w:t>
      </w:r>
      <w:r w:rsidR="009D24D7" w:rsidRPr="00744C71">
        <w:rPr>
          <w:rFonts w:cstheme="minorHAnsi"/>
          <w:sz w:val="22"/>
          <w:szCs w:val="22"/>
        </w:rPr>
        <w:t xml:space="preserve"> </w:t>
      </w:r>
      <w:r w:rsidRPr="00744C71">
        <w:rPr>
          <w:rFonts w:cstheme="minorHAnsi"/>
          <w:sz w:val="22"/>
          <w:szCs w:val="22"/>
        </w:rPr>
        <w:t>CKD</w:t>
      </w:r>
      <w:r w:rsidR="002E11C9" w:rsidRPr="00744C71">
        <w:rPr>
          <w:rFonts w:cstheme="minorHAnsi"/>
          <w:sz w:val="22"/>
          <w:szCs w:val="22"/>
        </w:rPr>
        <w:t xml:space="preserve"> stage</w:t>
      </w:r>
      <w:r w:rsidRPr="00744C71">
        <w:rPr>
          <w:rFonts w:cstheme="minorHAnsi"/>
          <w:sz w:val="22"/>
          <w:szCs w:val="22"/>
        </w:rPr>
        <w:t xml:space="preserve">, </w:t>
      </w:r>
      <w:r w:rsidR="00920056" w:rsidRPr="00744C71">
        <w:rPr>
          <w:rFonts w:cstheme="minorHAnsi"/>
          <w:sz w:val="22"/>
          <w:szCs w:val="22"/>
        </w:rPr>
        <w:t xml:space="preserve">need for kidney replacement therapy, </w:t>
      </w:r>
      <w:r w:rsidRPr="00744C71">
        <w:rPr>
          <w:rFonts w:cstheme="minorHAnsi"/>
          <w:sz w:val="22"/>
          <w:szCs w:val="22"/>
        </w:rPr>
        <w:t>proteinuria</w:t>
      </w:r>
      <w:r w:rsidR="002E11C9" w:rsidRPr="00744C71">
        <w:rPr>
          <w:rFonts w:cstheme="minorHAnsi"/>
          <w:sz w:val="22"/>
          <w:szCs w:val="22"/>
        </w:rPr>
        <w:t xml:space="preserve">, </w:t>
      </w:r>
      <w:r w:rsidR="00920056" w:rsidRPr="00744C71">
        <w:rPr>
          <w:rFonts w:cstheme="minorHAnsi"/>
          <w:sz w:val="22"/>
          <w:szCs w:val="22"/>
        </w:rPr>
        <w:t xml:space="preserve">infection rates, </w:t>
      </w:r>
      <w:r w:rsidR="002E11C9" w:rsidRPr="00744C71">
        <w:rPr>
          <w:rFonts w:cstheme="minorHAnsi"/>
          <w:sz w:val="22"/>
          <w:szCs w:val="22"/>
        </w:rPr>
        <w:t xml:space="preserve">drug-related adverse effects, </w:t>
      </w:r>
      <w:r w:rsidR="00D46E0D" w:rsidRPr="00744C71">
        <w:rPr>
          <w:rFonts w:cstheme="minorHAnsi"/>
          <w:sz w:val="22"/>
          <w:szCs w:val="22"/>
        </w:rPr>
        <w:t>patient reported outcome measures.</w:t>
      </w:r>
    </w:p>
    <w:p w14:paraId="44AF8250" w14:textId="77777777" w:rsidR="00833BED" w:rsidRPr="00744C71" w:rsidRDefault="00833BED" w:rsidP="00D82C4B">
      <w:pPr>
        <w:spacing w:line="360" w:lineRule="auto"/>
        <w:jc w:val="both"/>
        <w:rPr>
          <w:rFonts w:cstheme="minorHAnsi"/>
          <w:sz w:val="22"/>
          <w:szCs w:val="22"/>
        </w:rPr>
      </w:pPr>
    </w:p>
    <w:p w14:paraId="18D02216" w14:textId="6ABB377B" w:rsidR="002A6CC7" w:rsidRPr="00744C71" w:rsidRDefault="001630D4" w:rsidP="00D82C4B">
      <w:pPr>
        <w:spacing w:line="360" w:lineRule="auto"/>
        <w:jc w:val="both"/>
        <w:rPr>
          <w:rFonts w:cstheme="minorHAnsi"/>
          <w:sz w:val="22"/>
          <w:szCs w:val="22"/>
        </w:rPr>
      </w:pPr>
      <w:r>
        <w:rPr>
          <w:rFonts w:cstheme="minorHAnsi"/>
          <w:sz w:val="22"/>
          <w:szCs w:val="22"/>
        </w:rPr>
        <w:t>The f</w:t>
      </w:r>
      <w:r w:rsidR="00FE2B02" w:rsidRPr="00744C71">
        <w:rPr>
          <w:rFonts w:cstheme="minorHAnsi"/>
          <w:sz w:val="22"/>
          <w:szCs w:val="22"/>
        </w:rPr>
        <w:t>ramework</w:t>
      </w:r>
      <w:r>
        <w:rPr>
          <w:rFonts w:cstheme="minorHAnsi"/>
          <w:sz w:val="22"/>
          <w:szCs w:val="22"/>
        </w:rPr>
        <w:t xml:space="preserve"> used was</w:t>
      </w:r>
      <w:r w:rsidR="00FE2B02" w:rsidRPr="00744C71">
        <w:rPr>
          <w:rFonts w:cstheme="minorHAnsi"/>
          <w:sz w:val="22"/>
          <w:szCs w:val="22"/>
        </w:rPr>
        <w:t xml:space="preserve">: </w:t>
      </w:r>
      <w:r w:rsidR="00833BED" w:rsidRPr="00744C71">
        <w:rPr>
          <w:rFonts w:cstheme="minorHAnsi"/>
          <w:sz w:val="22"/>
          <w:szCs w:val="22"/>
        </w:rPr>
        <w:t xml:space="preserve">In CYP under 18 years of age with </w:t>
      </w:r>
      <w:r>
        <w:rPr>
          <w:rFonts w:cstheme="minorHAnsi"/>
          <w:sz w:val="22"/>
          <w:szCs w:val="22"/>
        </w:rPr>
        <w:t>[IM-GD subtype</w:t>
      </w:r>
      <w:r w:rsidR="00833BED" w:rsidRPr="00744C71">
        <w:rPr>
          <w:rFonts w:cstheme="minorHAnsi"/>
          <w:sz w:val="22"/>
          <w:szCs w:val="22"/>
        </w:rPr>
        <w:t xml:space="preserve">] is </w:t>
      </w:r>
      <w:r w:rsidR="00FE2B02" w:rsidRPr="00744C71">
        <w:rPr>
          <w:rFonts w:cstheme="minorHAnsi"/>
          <w:sz w:val="22"/>
          <w:szCs w:val="22"/>
        </w:rPr>
        <w:t xml:space="preserve">treatment with </w:t>
      </w:r>
      <w:r w:rsidR="00833BED" w:rsidRPr="00744C71">
        <w:rPr>
          <w:rFonts w:cstheme="minorHAnsi"/>
          <w:sz w:val="22"/>
          <w:szCs w:val="22"/>
        </w:rPr>
        <w:t xml:space="preserve">[immunosuppressive </w:t>
      </w:r>
      <w:r>
        <w:rPr>
          <w:rFonts w:cstheme="minorHAnsi"/>
          <w:sz w:val="22"/>
          <w:szCs w:val="22"/>
        </w:rPr>
        <w:t>agent</w:t>
      </w:r>
      <w:r w:rsidR="00833BED" w:rsidRPr="00744C71">
        <w:rPr>
          <w:rFonts w:cstheme="minorHAnsi"/>
          <w:sz w:val="22"/>
          <w:szCs w:val="22"/>
        </w:rPr>
        <w:t xml:space="preserve">] associated with improved </w:t>
      </w:r>
      <w:r w:rsidR="002E11C9" w:rsidRPr="00744C71">
        <w:rPr>
          <w:rFonts w:cstheme="minorHAnsi"/>
          <w:sz w:val="22"/>
          <w:szCs w:val="22"/>
        </w:rPr>
        <w:t xml:space="preserve">clinical </w:t>
      </w:r>
      <w:r w:rsidR="00833BED" w:rsidRPr="00744C71">
        <w:rPr>
          <w:rFonts w:cstheme="minorHAnsi"/>
          <w:sz w:val="22"/>
          <w:szCs w:val="22"/>
        </w:rPr>
        <w:t xml:space="preserve">outcomes </w:t>
      </w:r>
      <w:r>
        <w:rPr>
          <w:rFonts w:cstheme="minorHAnsi"/>
          <w:sz w:val="22"/>
          <w:szCs w:val="22"/>
        </w:rPr>
        <w:t xml:space="preserve">[inclusive of </w:t>
      </w:r>
      <w:r w:rsidR="002E11C9" w:rsidRPr="00744C71">
        <w:rPr>
          <w:rFonts w:cstheme="minorHAnsi"/>
          <w:sz w:val="22"/>
          <w:szCs w:val="22"/>
        </w:rPr>
        <w:t xml:space="preserve">eGFR, </w:t>
      </w:r>
      <w:r w:rsidR="00833BED" w:rsidRPr="00744C71">
        <w:rPr>
          <w:rFonts w:cstheme="minorHAnsi"/>
          <w:sz w:val="22"/>
          <w:szCs w:val="22"/>
        </w:rPr>
        <w:t xml:space="preserve">CKD, </w:t>
      </w:r>
      <w:r w:rsidR="00920056" w:rsidRPr="00744C71">
        <w:rPr>
          <w:rFonts w:cstheme="minorHAnsi"/>
          <w:sz w:val="22"/>
          <w:szCs w:val="22"/>
        </w:rPr>
        <w:t xml:space="preserve">need for kidney replacement therapy, </w:t>
      </w:r>
      <w:r w:rsidR="00833BED" w:rsidRPr="00744C71">
        <w:rPr>
          <w:rFonts w:cstheme="minorHAnsi"/>
          <w:sz w:val="22"/>
          <w:szCs w:val="22"/>
        </w:rPr>
        <w:t>proteinuria</w:t>
      </w:r>
      <w:r w:rsidR="00D529C7" w:rsidRPr="00744C71">
        <w:rPr>
          <w:rFonts w:cstheme="minorHAnsi"/>
          <w:sz w:val="22"/>
          <w:szCs w:val="22"/>
        </w:rPr>
        <w:t xml:space="preserve">, </w:t>
      </w:r>
      <w:r w:rsidR="00920056" w:rsidRPr="00744C71">
        <w:rPr>
          <w:rFonts w:cstheme="minorHAnsi"/>
          <w:sz w:val="22"/>
          <w:szCs w:val="22"/>
        </w:rPr>
        <w:t xml:space="preserve">infection rates, </w:t>
      </w:r>
      <w:r w:rsidR="00D529C7" w:rsidRPr="00744C71">
        <w:rPr>
          <w:rFonts w:cstheme="minorHAnsi"/>
          <w:sz w:val="22"/>
          <w:szCs w:val="22"/>
        </w:rPr>
        <w:t>drug-related side effects, QOL</w:t>
      </w:r>
      <w:r>
        <w:rPr>
          <w:rFonts w:cstheme="minorHAnsi"/>
          <w:sz w:val="22"/>
          <w:szCs w:val="22"/>
        </w:rPr>
        <w:t>]</w:t>
      </w:r>
      <w:r w:rsidR="00833BED" w:rsidRPr="00744C71">
        <w:rPr>
          <w:rFonts w:cstheme="minorHAnsi"/>
          <w:sz w:val="22"/>
          <w:szCs w:val="22"/>
        </w:rPr>
        <w:t xml:space="preserve"> compared to [alternative immunosuppressive </w:t>
      </w:r>
      <w:r>
        <w:rPr>
          <w:rFonts w:cstheme="minorHAnsi"/>
          <w:sz w:val="22"/>
          <w:szCs w:val="22"/>
        </w:rPr>
        <w:t>agent</w:t>
      </w:r>
      <w:r w:rsidR="00920056" w:rsidRPr="00744C71">
        <w:rPr>
          <w:rFonts w:cstheme="minorHAnsi"/>
          <w:sz w:val="22"/>
          <w:szCs w:val="22"/>
        </w:rPr>
        <w:t xml:space="preserve"> or no treatment</w:t>
      </w:r>
      <w:r w:rsidR="00833BED" w:rsidRPr="00744C71">
        <w:rPr>
          <w:rFonts w:cstheme="minorHAnsi"/>
          <w:sz w:val="22"/>
          <w:szCs w:val="22"/>
        </w:rPr>
        <w:t xml:space="preserve">]? </w:t>
      </w:r>
    </w:p>
    <w:p w14:paraId="7921FA95" w14:textId="1FB53402" w:rsidR="006638BB" w:rsidRPr="00744C71" w:rsidRDefault="006638BB" w:rsidP="00D82C4B">
      <w:pPr>
        <w:spacing w:line="360" w:lineRule="auto"/>
        <w:jc w:val="both"/>
        <w:rPr>
          <w:rFonts w:cstheme="minorHAnsi"/>
          <w:sz w:val="22"/>
          <w:szCs w:val="22"/>
        </w:rPr>
      </w:pPr>
    </w:p>
    <w:bookmarkEnd w:id="2"/>
    <w:p w14:paraId="01C31183" w14:textId="6974822E" w:rsidR="005E3A5A" w:rsidRPr="00744C71" w:rsidRDefault="001630D4" w:rsidP="00D82C4B">
      <w:pPr>
        <w:spacing w:line="360" w:lineRule="auto"/>
        <w:jc w:val="both"/>
        <w:rPr>
          <w:rFonts w:cstheme="minorHAnsi"/>
          <w:sz w:val="22"/>
          <w:szCs w:val="22"/>
        </w:rPr>
      </w:pPr>
      <w:r w:rsidRPr="00744C71">
        <w:rPr>
          <w:rFonts w:cstheme="minorHAnsi"/>
          <w:sz w:val="22"/>
          <w:szCs w:val="22"/>
        </w:rPr>
        <w:t xml:space="preserve">The guideline </w:t>
      </w:r>
      <w:r w:rsidR="006F0C5C" w:rsidRPr="00744C71">
        <w:rPr>
          <w:rFonts w:cstheme="minorHAnsi"/>
          <w:sz w:val="22"/>
          <w:szCs w:val="22"/>
        </w:rPr>
        <w:t>was</w:t>
      </w:r>
      <w:r w:rsidRPr="00744C71">
        <w:rPr>
          <w:rFonts w:cstheme="minorHAnsi"/>
          <w:sz w:val="22"/>
          <w:szCs w:val="22"/>
        </w:rPr>
        <w:t xml:space="preserve"> developed with consultation and input from relevant </w:t>
      </w:r>
      <w:r w:rsidR="000C1DD2" w:rsidRPr="00744C71">
        <w:rPr>
          <w:rFonts w:cstheme="minorHAnsi"/>
          <w:sz w:val="22"/>
          <w:szCs w:val="22"/>
        </w:rPr>
        <w:t>patient-support groups</w:t>
      </w:r>
      <w:r w:rsidR="002C7211" w:rsidRPr="00744C71">
        <w:rPr>
          <w:rFonts w:cstheme="minorHAnsi"/>
          <w:sz w:val="22"/>
          <w:szCs w:val="22"/>
        </w:rPr>
        <w:t xml:space="preserve"> and allied professional bodies</w:t>
      </w:r>
      <w:r w:rsidRPr="00744C71">
        <w:rPr>
          <w:rFonts w:cstheme="minorHAnsi"/>
          <w:sz w:val="22"/>
          <w:szCs w:val="22"/>
        </w:rPr>
        <w:t xml:space="preserve">, known as stakeholders. Relevant stakeholders </w:t>
      </w:r>
      <w:r w:rsidR="006F0C5C" w:rsidRPr="00744C71">
        <w:rPr>
          <w:rFonts w:cstheme="minorHAnsi"/>
          <w:sz w:val="22"/>
          <w:szCs w:val="22"/>
        </w:rPr>
        <w:t>were</w:t>
      </w:r>
      <w:r w:rsidRPr="00744C71">
        <w:rPr>
          <w:rFonts w:cstheme="minorHAnsi"/>
          <w:sz w:val="22"/>
          <w:szCs w:val="22"/>
        </w:rPr>
        <w:t xml:space="preserve"> identified by the GDG and </w:t>
      </w:r>
      <w:r w:rsidR="006F0C5C" w:rsidRPr="00744C71">
        <w:rPr>
          <w:rFonts w:cstheme="minorHAnsi"/>
          <w:sz w:val="22"/>
          <w:szCs w:val="22"/>
        </w:rPr>
        <w:t>were</w:t>
      </w:r>
      <w:r w:rsidR="00515D5D" w:rsidRPr="00744C71">
        <w:rPr>
          <w:rFonts w:cstheme="minorHAnsi"/>
          <w:sz w:val="22"/>
          <w:szCs w:val="22"/>
        </w:rPr>
        <w:t xml:space="preserve"> directly </w:t>
      </w:r>
      <w:r w:rsidRPr="00744C71">
        <w:rPr>
          <w:rFonts w:cstheme="minorHAnsi"/>
          <w:sz w:val="22"/>
          <w:szCs w:val="22"/>
        </w:rPr>
        <w:t xml:space="preserve">invited to formally </w:t>
      </w:r>
      <w:r w:rsidR="00515D5D" w:rsidRPr="00744C71">
        <w:rPr>
          <w:rFonts w:cstheme="minorHAnsi"/>
          <w:sz w:val="22"/>
          <w:szCs w:val="22"/>
        </w:rPr>
        <w:t>review the scope document and contrib</w:t>
      </w:r>
      <w:r w:rsidRPr="00744C71">
        <w:rPr>
          <w:rFonts w:cstheme="minorHAnsi"/>
          <w:sz w:val="22"/>
          <w:szCs w:val="22"/>
        </w:rPr>
        <w:t xml:space="preserve">ute </w:t>
      </w:r>
      <w:r w:rsidR="00744C71">
        <w:rPr>
          <w:rFonts w:cstheme="minorHAnsi"/>
          <w:sz w:val="22"/>
          <w:szCs w:val="22"/>
        </w:rPr>
        <w:t>throughout</w:t>
      </w:r>
      <w:r w:rsidRPr="00744C71">
        <w:rPr>
          <w:rFonts w:cstheme="minorHAnsi"/>
          <w:sz w:val="22"/>
          <w:szCs w:val="22"/>
        </w:rPr>
        <w:t xml:space="preserve"> the development process.</w:t>
      </w:r>
      <w:r w:rsidR="00566D06" w:rsidRPr="00744C71">
        <w:rPr>
          <w:rFonts w:cstheme="minorHAnsi"/>
          <w:sz w:val="22"/>
          <w:szCs w:val="22"/>
        </w:rPr>
        <w:t xml:space="preserve"> A</w:t>
      </w:r>
      <w:r w:rsidR="00515D5D" w:rsidRPr="00744C71">
        <w:rPr>
          <w:rFonts w:cstheme="minorHAnsi"/>
          <w:sz w:val="22"/>
          <w:szCs w:val="22"/>
        </w:rPr>
        <w:t xml:space="preserve"> list of stakeholders </w:t>
      </w:r>
      <w:r w:rsidR="00566D06" w:rsidRPr="00744C71">
        <w:rPr>
          <w:rFonts w:cstheme="minorHAnsi"/>
          <w:sz w:val="22"/>
          <w:szCs w:val="22"/>
        </w:rPr>
        <w:t>is</w:t>
      </w:r>
      <w:r w:rsidR="006F0C5C" w:rsidRPr="00744C71">
        <w:rPr>
          <w:rFonts w:cstheme="minorHAnsi"/>
          <w:sz w:val="22"/>
          <w:szCs w:val="22"/>
        </w:rPr>
        <w:t xml:space="preserve"> </w:t>
      </w:r>
      <w:r w:rsidR="00D20CBA">
        <w:rPr>
          <w:rFonts w:cstheme="minorHAnsi"/>
          <w:sz w:val="22"/>
          <w:szCs w:val="22"/>
        </w:rPr>
        <w:t xml:space="preserve">provided </w:t>
      </w:r>
      <w:r w:rsidR="006F0C5C" w:rsidRPr="00744C71">
        <w:rPr>
          <w:rFonts w:cstheme="minorHAnsi"/>
          <w:sz w:val="22"/>
          <w:szCs w:val="22"/>
        </w:rPr>
        <w:t xml:space="preserve">in appendix </w:t>
      </w:r>
      <w:r w:rsidR="00566D06" w:rsidRPr="00744C71">
        <w:rPr>
          <w:rFonts w:cstheme="minorHAnsi"/>
          <w:sz w:val="22"/>
          <w:szCs w:val="22"/>
        </w:rPr>
        <w:t>2</w:t>
      </w:r>
      <w:r w:rsidR="006F0C5C" w:rsidRPr="00744C71">
        <w:rPr>
          <w:rFonts w:cstheme="minorHAnsi"/>
          <w:sz w:val="22"/>
          <w:szCs w:val="22"/>
        </w:rPr>
        <w:t>.</w:t>
      </w:r>
    </w:p>
    <w:p w14:paraId="0FC86AC9" w14:textId="77777777" w:rsidR="00F66C3F" w:rsidRPr="00744C71" w:rsidRDefault="00F66C3F" w:rsidP="00D82C4B">
      <w:pPr>
        <w:spacing w:line="360" w:lineRule="auto"/>
        <w:rPr>
          <w:rFonts w:cstheme="minorHAnsi"/>
          <w:sz w:val="22"/>
          <w:szCs w:val="22"/>
        </w:rPr>
      </w:pPr>
    </w:p>
    <w:p w14:paraId="12EC6F27" w14:textId="2E3DB152" w:rsidR="00F66C3F" w:rsidRDefault="001630D4" w:rsidP="00D82C4B">
      <w:pPr>
        <w:spacing w:line="360" w:lineRule="auto"/>
        <w:rPr>
          <w:rFonts w:cstheme="minorHAnsi"/>
          <w:b/>
          <w:bCs/>
          <w:sz w:val="22"/>
          <w:szCs w:val="22"/>
        </w:rPr>
      </w:pPr>
      <w:r w:rsidRPr="00D17944">
        <w:rPr>
          <w:rFonts w:cstheme="minorHAnsi"/>
          <w:b/>
          <w:bCs/>
          <w:sz w:val="22"/>
          <w:szCs w:val="22"/>
        </w:rPr>
        <w:t>Results</w:t>
      </w:r>
    </w:p>
    <w:p w14:paraId="7D9898C2" w14:textId="7526192C" w:rsidR="00744C71" w:rsidRPr="00744C71" w:rsidRDefault="001630D4" w:rsidP="00D82C4B">
      <w:pPr>
        <w:spacing w:line="360" w:lineRule="auto"/>
        <w:rPr>
          <w:rFonts w:cstheme="minorHAnsi"/>
          <w:sz w:val="22"/>
          <w:szCs w:val="22"/>
        </w:rPr>
      </w:pPr>
      <w:r w:rsidRPr="00744C71">
        <w:rPr>
          <w:rFonts w:cstheme="minorHAnsi"/>
          <w:sz w:val="22"/>
          <w:szCs w:val="22"/>
        </w:rPr>
        <w:lastRenderedPageBreak/>
        <w:t xml:space="preserve">The results yielded several relevant international published guidelines, access to unpublished international guideline and pooled local practice guidelines. </w:t>
      </w:r>
    </w:p>
    <w:p w14:paraId="1D3A9B0D" w14:textId="77777777" w:rsidR="00744C71" w:rsidRPr="00D17944" w:rsidRDefault="00744C71" w:rsidP="00D82C4B">
      <w:pPr>
        <w:spacing w:line="360" w:lineRule="auto"/>
        <w:rPr>
          <w:rFonts w:cstheme="minorHAnsi"/>
          <w:b/>
          <w:bCs/>
          <w:sz w:val="22"/>
          <w:szCs w:val="22"/>
        </w:rPr>
      </w:pPr>
    </w:p>
    <w:p w14:paraId="2756D70F" w14:textId="267AB4C7" w:rsidR="00566D06" w:rsidRPr="00D17944" w:rsidRDefault="001630D4" w:rsidP="00D82C4B">
      <w:pPr>
        <w:spacing w:line="360" w:lineRule="auto"/>
        <w:jc w:val="both"/>
        <w:rPr>
          <w:rFonts w:cstheme="minorHAnsi"/>
          <w:b/>
          <w:bCs/>
          <w:color w:val="000000"/>
          <w:sz w:val="22"/>
          <w:szCs w:val="22"/>
          <w:shd w:val="clear" w:color="auto" w:fill="FFFFFF"/>
        </w:rPr>
      </w:pPr>
      <w:r w:rsidRPr="00D17944">
        <w:rPr>
          <w:rFonts w:cstheme="minorHAnsi"/>
          <w:b/>
          <w:bCs/>
          <w:color w:val="000000"/>
          <w:sz w:val="22"/>
          <w:szCs w:val="22"/>
          <w:shd w:val="clear" w:color="auto" w:fill="FFFFFF"/>
        </w:rPr>
        <w:t xml:space="preserve">Existing guidelines </w:t>
      </w:r>
    </w:p>
    <w:p w14:paraId="2F4849A0" w14:textId="54D64372" w:rsidR="00056ABA" w:rsidRPr="00056ABA" w:rsidRDefault="001630D4" w:rsidP="00D82C4B">
      <w:pPr>
        <w:pStyle w:val="ListParagraph"/>
        <w:numPr>
          <w:ilvl w:val="0"/>
          <w:numId w:val="24"/>
        </w:numPr>
        <w:spacing w:line="360" w:lineRule="auto"/>
        <w:jc w:val="both"/>
        <w:rPr>
          <w:rFonts w:cstheme="minorHAnsi"/>
          <w:color w:val="000000"/>
          <w:sz w:val="22"/>
          <w:szCs w:val="22"/>
          <w:shd w:val="clear" w:color="auto" w:fill="FFFFFF"/>
        </w:rPr>
      </w:pPr>
      <w:r>
        <w:rPr>
          <w:rFonts w:cstheme="minorHAnsi"/>
          <w:color w:val="000000"/>
          <w:sz w:val="22"/>
          <w:szCs w:val="22"/>
          <w:shd w:val="clear" w:color="auto" w:fill="FFFFFF"/>
        </w:rPr>
        <w:t>IPNA clinical practice recommendations for the diagnosis and management of children with steroid-resistant nephrotic syndrome, 2020</w:t>
      </w:r>
      <w:r w:rsidR="009E641A">
        <w:rPr>
          <w:rFonts w:cstheme="minorHAnsi"/>
          <w:color w:val="000000"/>
          <w:sz w:val="22"/>
          <w:szCs w:val="22"/>
          <w:shd w:val="clear" w:color="auto" w:fill="FFFFFF"/>
        </w:rPr>
        <w:t xml:space="preserve"> </w:t>
      </w:r>
      <w:r w:rsidR="009E641A">
        <w:rPr>
          <w:rFonts w:cstheme="minorHAnsi"/>
          <w:color w:val="000000"/>
          <w:sz w:val="22"/>
          <w:szCs w:val="22"/>
          <w:shd w:val="clear" w:color="auto" w:fill="FFFFFF"/>
        </w:rPr>
        <w:fldChar w:fldCharType="begin"/>
      </w:r>
      <w:r w:rsidR="00642970">
        <w:rPr>
          <w:rFonts w:cstheme="minorHAnsi"/>
          <w:color w:val="000000"/>
          <w:sz w:val="22"/>
          <w:szCs w:val="22"/>
          <w:shd w:val="clear" w:color="auto" w:fill="FFFFFF"/>
        </w:rPr>
        <w:instrText xml:space="preserve"> ADDIN ZOTERO_ITEM CSL_CITATION {"citationID":"ZGzp92Nn","properties":{"formattedCitation":"(3)","plainCitation":"(3)","noteIndex":0},"citationItems":[{"id":5,"uris":["http://zotero.org/users/local/lvPLY4Gu/items/N8V5SKMZ"],"itemData":{"id":5,"type":"article-journal","abstract":"Idiopathic nephrotic syndrome newly affects 1-3 per 100,000 children per year. Approximately 85% of cases show complete remission of proteinuria following glucocorticoid treatment. Patients who do not achieve complete remission within 4-6 weeks of glucocorticoid treatment have steroid-resistant nephrotic syndrome (SRNS). In 10-30% of steroid-resistant patients, mutations in podocyte-associated genes can be detected, whereas an undefined circulating factor of immune origin is assumed in the remaining ones. Diagnosis and management of SRNS is a great challenge due to its heterogeneous etiology, frequent lack of remission by further immunosuppressive treatment, and severe complications including the development of end-stage kidney disease and recurrence after renal transplantation. A team of experts including pediatric nephrologists and renal geneticists from the International Pediatric Nephrology Association (IPNA), a renal pathologist, and an adult nephrologist have now developed comprehensive clinical practice recommendations on the diagnosis and management of SRNS in children. The team performed a systematic literature review on 9 clinically relevant PICO (Patient or Population covered, Intervention, Comparator, Outcome) questions, formulated recommendations and formally graded them at a consensus meeting, with input from patient representatives and a dietician acting as external advisors and a voting panel of pediatric nephrologists. Research recommendations are also given.","container-title":"Pediatric Nephrology (Berlin, Germany)","DOI":"10.1007/s00467-020-04519-1","ISSN":"1432-198X","issue":"8","journalAbbreviation":"Pediatr Nephrol","language":"eng","note":"PMID: 32382828\nPMCID: PMC7316686","page":"1529-1561","source":"PubMed","title":"IPNA clinical practice recommendations for the diagnosis and management of children with steroid-resistant nephrotic syndrome","volume":"35","author":[{"family":"Trautmann","given":"Agnes"},{"family":"Vivarelli","given":"Marina"},{"family":"Samuel","given":"Susan"},{"family":"Gipson","given":"Debbie"},{"family":"Sinha","given":"Aditi"},{"family":"Schaefer","given":"Franz"},{"family":"Hui","given":"Ng Kar"},{"family":"Boyer","given":"Olivia"},{"family":"Saleem","given":"Moin A."},{"family":"Feltran","given":"Luciana"},{"family":"Müller-Deile","given":"Janina"},{"family":"Becker","given":"Jan Ulrich"},{"family":"Cano","given":"Francisco"},{"family":"Xu","given":"Hong"},{"family":"Lim","given":"Yam Ngo"},{"family":"Smoyer","given":"William"},{"family":"Anochie","given":"Ifeoma"},{"family":"Nakanishi","given":"Koichi"},{"family":"Hodson","given":"Elisabeth"},{"family":"Haffner","given":"Dieter"},{"literal":"International Pediatric Nephrology Association"}],"issued":{"date-parts":[["2020",8]]}}}],"schema":"https://github.com/citation-style-language/schema/raw/master/csl-citation.json"} </w:instrText>
      </w:r>
      <w:r w:rsidR="009E641A">
        <w:rPr>
          <w:rFonts w:cstheme="minorHAnsi"/>
          <w:color w:val="000000"/>
          <w:sz w:val="22"/>
          <w:szCs w:val="22"/>
          <w:shd w:val="clear" w:color="auto" w:fill="FFFFFF"/>
        </w:rPr>
        <w:fldChar w:fldCharType="separate"/>
      </w:r>
      <w:r w:rsidR="00642970">
        <w:rPr>
          <w:rFonts w:cstheme="minorHAnsi"/>
          <w:noProof/>
          <w:color w:val="000000"/>
          <w:sz w:val="22"/>
          <w:szCs w:val="22"/>
          <w:shd w:val="clear" w:color="auto" w:fill="FFFFFF"/>
        </w:rPr>
        <w:t>(3)</w:t>
      </w:r>
      <w:r w:rsidR="009E641A">
        <w:rPr>
          <w:rFonts w:cstheme="minorHAnsi"/>
          <w:color w:val="000000"/>
          <w:sz w:val="22"/>
          <w:szCs w:val="22"/>
          <w:shd w:val="clear" w:color="auto" w:fill="FFFFFF"/>
        </w:rPr>
        <w:fldChar w:fldCharType="end"/>
      </w:r>
      <w:r>
        <w:rPr>
          <w:rFonts w:cstheme="minorHAnsi"/>
          <w:color w:val="000000"/>
          <w:sz w:val="22"/>
          <w:szCs w:val="22"/>
          <w:shd w:val="clear" w:color="auto" w:fill="FFFFFF"/>
        </w:rPr>
        <w:t xml:space="preserve">. </w:t>
      </w:r>
    </w:p>
    <w:p w14:paraId="5CE3D852" w14:textId="2F8A0D63" w:rsidR="00522BD0" w:rsidRPr="00D17944" w:rsidRDefault="001630D4" w:rsidP="00D82C4B">
      <w:pPr>
        <w:pStyle w:val="ListParagraph"/>
        <w:numPr>
          <w:ilvl w:val="0"/>
          <w:numId w:val="24"/>
        </w:numPr>
        <w:spacing w:line="360" w:lineRule="auto"/>
        <w:jc w:val="both"/>
        <w:rPr>
          <w:rFonts w:cstheme="minorHAnsi"/>
          <w:color w:val="000000"/>
          <w:sz w:val="22"/>
          <w:szCs w:val="22"/>
          <w:shd w:val="clear" w:color="auto" w:fill="FFFFFF"/>
        </w:rPr>
      </w:pPr>
      <w:bookmarkStart w:id="3" w:name="_Hlk185844667"/>
      <w:r w:rsidRPr="00D17944">
        <w:rPr>
          <w:rFonts w:cstheme="minorHAnsi"/>
          <w:sz w:val="22"/>
          <w:szCs w:val="22"/>
        </w:rPr>
        <w:t>IPNA clinical practice recommendations for the diagnosis and management of children with steroid</w:t>
      </w:r>
      <w:r w:rsidRPr="00D17944">
        <w:rPr>
          <w:rFonts w:cstheme="minorHAnsi"/>
          <w:sz w:val="22"/>
          <w:szCs w:val="22"/>
        </w:rPr>
        <w:noBreakHyphen/>
        <w:t>sensitive nephrotic syndrome</w:t>
      </w:r>
      <w:bookmarkEnd w:id="3"/>
      <w:r w:rsidRPr="00D17944">
        <w:rPr>
          <w:rFonts w:cstheme="minorHAnsi"/>
          <w:sz w:val="22"/>
          <w:szCs w:val="22"/>
        </w:rPr>
        <w:t xml:space="preserve">, 2023 </w:t>
      </w:r>
      <w:r w:rsidR="00C0034C">
        <w:rPr>
          <w:rFonts w:cstheme="minorHAnsi"/>
          <w:sz w:val="22"/>
          <w:szCs w:val="22"/>
        </w:rPr>
        <w:fldChar w:fldCharType="begin"/>
      </w:r>
      <w:r w:rsidR="00642970">
        <w:rPr>
          <w:rFonts w:cstheme="minorHAnsi"/>
          <w:sz w:val="22"/>
          <w:szCs w:val="22"/>
        </w:rPr>
        <w:instrText xml:space="preserve"> ADDIN ZOTERO_ITEM CSL_CITATION {"citationID":"9ctvfbGz","properties":{"formattedCitation":"(4)","plainCitation":"(4)","noteIndex":0},"citationItems":[{"id":8,"uris":["http://zotero.org/users/local/lvPLY4Gu/items/LPZFJLIB"],"itemData":{"id":8,"type":"article-journal","abstract":"Idiopathic nephrotic syndrome is the most frequent pediatric glomerular disease, affecting from 1.15 to 16.9 per 100,000 children per year globally. It is characterized by massive proteinuria, hypoalbuminemia, and/or concomitant edema. Approximately 85-90% of patients attain complete remission of proteinuria within 4-6 weeks of treatment with glucocorticoids, and therefore, have steroid-sensitive nephrotic syndrome (SSNS). Among those patients who are steroid sensitive, 70-80% will have at least one relapse during follow-up, and up to 50% of these patients will experience frequent relapses or become dependent on glucocorticoids to maintain remission. The dose and duration of steroid treatment to prolong time between relapses remains a subject of much debate, and patients continue to experience a high prevalence of steroid-related morbidity. Various steroid-sparing immunosuppressive drugs have been used in clinical practice; however, there is marked practice variation in the selection of these drugs and timing of their introduction during the course of the disease. Therefore, international evidence-based clinical practice recommendations (CPRs) are needed to guide clinical practice and reduce practice variation. The International Pediatric Nephrology Association (IPNA) convened a team of experts including pediatric nephrologists, an adult nephrologist, and a patient representative to develop comprehensive CPRs on the diagnosis and management of SSNS in children. After performing a systematic literature review on 12 clinically relevant PICO (Patient or Population covered, Intervention, Comparator, Outcome) questions, recommendations were formulated and formally graded at several virtual consensus meetings. New definitions for treatment outcomes to help guide change of therapy and recommendations for important research questions are given.","container-title":"Pediatric Nephrology (Berlin, Germany)","DOI":"10.1007/s00467-022-05739-3","ISSN":"1432-198X","issue":"3","journalAbbreviation":"Pediatr Nephrol","language":"eng","note":"PMID: 36269406\nPMCID: PMC9589698","page":"877-919","source":"PubMed","title":"IPNA clinical practice recommendations for the diagnosis and management of children with steroid-sensitive nephrotic syndrome","volume":"38","author":[{"family":"Trautmann","given":"Agnes"},{"family":"Boyer","given":"Olivia"},{"family":"Hodson","given":"Elisabeth"},{"family":"Bagga","given":"Arvind"},{"family":"Gipson","given":"Debbie S."},{"family":"Samuel","given":"Susan"},{"family":"Wetzels","given":"Jack"},{"family":"Alhasan","given":"Khalid"},{"family":"Banerjee","given":"Sushmita"},{"family":"Bhimma","given":"Rajendra"},{"family":"Bonilla-Felix","given":"Melvin"},{"family":"Cano","given":"Francisco"},{"family":"Christian","given":"Martin"},{"family":"Hahn","given":"Deirdre"},{"family":"Kang","given":"Hee Gyung"},{"family":"Nakanishi","given":"Koichi"},{"family":"Safouh","given":"Hesham"},{"family":"Trachtman","given":"Howard"},{"family":"Xu","given":"Hong"},{"family":"Cook","given":"Wendy"},{"family":"Vivarelli","given":"Marina"},{"family":"Haffner","given":"Dieter"},{"literal":"International Pediatric Nephrology Association"}],"issued":{"date-parts":[["2023",3]]}}}],"schema":"https://github.com/citation-style-language/schema/raw/master/csl-citation.json"} </w:instrText>
      </w:r>
      <w:r w:rsidR="00C0034C">
        <w:rPr>
          <w:rFonts w:cstheme="minorHAnsi"/>
          <w:sz w:val="22"/>
          <w:szCs w:val="22"/>
        </w:rPr>
        <w:fldChar w:fldCharType="separate"/>
      </w:r>
      <w:r w:rsidR="00642970">
        <w:rPr>
          <w:rFonts w:cstheme="minorHAnsi"/>
          <w:noProof/>
          <w:sz w:val="22"/>
          <w:szCs w:val="22"/>
        </w:rPr>
        <w:t>(4)</w:t>
      </w:r>
      <w:r w:rsidR="00C0034C">
        <w:rPr>
          <w:rFonts w:cstheme="minorHAnsi"/>
          <w:sz w:val="22"/>
          <w:szCs w:val="22"/>
        </w:rPr>
        <w:fldChar w:fldCharType="end"/>
      </w:r>
      <w:r w:rsidR="009E641A">
        <w:rPr>
          <w:rFonts w:cstheme="minorHAnsi"/>
          <w:sz w:val="22"/>
          <w:szCs w:val="22"/>
        </w:rPr>
        <w:t>.</w:t>
      </w:r>
      <w:r w:rsidRPr="00D17944">
        <w:rPr>
          <w:rFonts w:cstheme="minorHAnsi"/>
          <w:sz w:val="22"/>
          <w:szCs w:val="22"/>
        </w:rPr>
        <w:t xml:space="preserve"> </w:t>
      </w:r>
    </w:p>
    <w:p w14:paraId="46534387" w14:textId="0CF19B1A" w:rsidR="004F31FF" w:rsidRPr="00D17944" w:rsidRDefault="001630D4" w:rsidP="00D82C4B">
      <w:pPr>
        <w:pStyle w:val="ListParagraph"/>
        <w:numPr>
          <w:ilvl w:val="0"/>
          <w:numId w:val="24"/>
        </w:numPr>
        <w:spacing w:line="360" w:lineRule="auto"/>
        <w:jc w:val="both"/>
        <w:rPr>
          <w:rFonts w:cstheme="minorHAnsi"/>
          <w:color w:val="000000"/>
          <w:sz w:val="22"/>
          <w:szCs w:val="22"/>
          <w:shd w:val="clear" w:color="auto" w:fill="FFFFFF"/>
        </w:rPr>
      </w:pPr>
      <w:r w:rsidRPr="00D17944">
        <w:rPr>
          <w:rFonts w:cstheme="minorHAnsi"/>
          <w:sz w:val="22"/>
          <w:szCs w:val="22"/>
        </w:rPr>
        <w:t>KDIGO 2021 Clinical Practice Guideline for the management of Glomerular Diseases, 2021</w:t>
      </w:r>
      <w:r w:rsidR="00C0034C">
        <w:rPr>
          <w:rFonts w:cstheme="minorHAnsi"/>
          <w:sz w:val="22"/>
          <w:szCs w:val="22"/>
        </w:rPr>
        <w:t xml:space="preserve"> </w:t>
      </w:r>
      <w:r w:rsidR="00C0034C">
        <w:rPr>
          <w:rFonts w:cstheme="minorHAnsi"/>
          <w:sz w:val="22"/>
          <w:szCs w:val="22"/>
        </w:rPr>
        <w:fldChar w:fldCharType="begin"/>
      </w:r>
      <w:r w:rsidR="00642970">
        <w:rPr>
          <w:rFonts w:cstheme="minorHAnsi"/>
          <w:sz w:val="22"/>
          <w:szCs w:val="22"/>
        </w:rPr>
        <w:instrText xml:space="preserve"> ADDIN ZOTERO_ITEM CSL_CITATION {"citationID":"b7YQJJxR","properties":{"formattedCitation":"(5)","plainCitation":"(5)","noteIndex":0},"citationItems":[{"id":11,"uris":["http://zotero.org/users/local/lvPLY4Gu/items/PZVAFVT2"],"itemData":{"id":11,"type":"article-journal","container-title":"Kidney International","DOI":"10.1016/j.kint.2021.05.021","ISSN":"1523-1755","issue":"4S","journalAbbreviation":"Kidney Int","language":"eng","note":"PMID: 34556256","page":"S1-S276","source":"PubMed","title":"KDIGO 2021 Clinical Practice Guideline for the Management of Glomerular Diseases","volume":"100","author":[{"literal":"Kidney Disease: Improving Global Outcomes (KDIGO) Glomerular Diseases Work Group"}],"issued":{"date-parts":[["2021",10]]}}}],"schema":"https://github.com/citation-style-language/schema/raw/master/csl-citation.json"} </w:instrText>
      </w:r>
      <w:r w:rsidR="00C0034C">
        <w:rPr>
          <w:rFonts w:cstheme="minorHAnsi"/>
          <w:sz w:val="22"/>
          <w:szCs w:val="22"/>
        </w:rPr>
        <w:fldChar w:fldCharType="separate"/>
      </w:r>
      <w:r w:rsidR="00642970">
        <w:rPr>
          <w:rFonts w:cstheme="minorHAnsi"/>
          <w:noProof/>
          <w:sz w:val="22"/>
          <w:szCs w:val="22"/>
        </w:rPr>
        <w:t>(5)</w:t>
      </w:r>
      <w:r w:rsidR="00C0034C">
        <w:rPr>
          <w:rFonts w:cstheme="minorHAnsi"/>
          <w:sz w:val="22"/>
          <w:szCs w:val="22"/>
        </w:rPr>
        <w:fldChar w:fldCharType="end"/>
      </w:r>
    </w:p>
    <w:p w14:paraId="4089F4B2" w14:textId="4C76233B" w:rsidR="004F31FF" w:rsidRPr="00D17944" w:rsidRDefault="001630D4" w:rsidP="00D82C4B">
      <w:pPr>
        <w:pStyle w:val="ListParagraph"/>
        <w:numPr>
          <w:ilvl w:val="0"/>
          <w:numId w:val="24"/>
        </w:numPr>
        <w:spacing w:line="360" w:lineRule="auto"/>
        <w:jc w:val="both"/>
        <w:rPr>
          <w:rFonts w:cstheme="minorHAnsi"/>
          <w:color w:val="000000"/>
          <w:sz w:val="22"/>
          <w:szCs w:val="22"/>
          <w:shd w:val="clear" w:color="auto" w:fill="FFFFFF"/>
        </w:rPr>
      </w:pPr>
      <w:r w:rsidRPr="00D17944">
        <w:rPr>
          <w:rFonts w:cstheme="minorHAnsi"/>
          <w:sz w:val="22"/>
          <w:szCs w:val="22"/>
        </w:rPr>
        <w:t>KDIGO 2024 Clinical Practice Guideline for the management of Lupus Nephritis, 2024</w:t>
      </w:r>
      <w:r w:rsidR="00C0034C">
        <w:rPr>
          <w:rFonts w:cstheme="minorHAnsi"/>
          <w:sz w:val="22"/>
          <w:szCs w:val="22"/>
        </w:rPr>
        <w:t xml:space="preserve"> </w:t>
      </w:r>
      <w:r w:rsidR="00C0034C">
        <w:rPr>
          <w:rFonts w:cstheme="minorHAnsi"/>
          <w:sz w:val="22"/>
          <w:szCs w:val="22"/>
        </w:rPr>
        <w:fldChar w:fldCharType="begin"/>
      </w:r>
      <w:r w:rsidR="00642970">
        <w:rPr>
          <w:rFonts w:cstheme="minorHAnsi"/>
          <w:sz w:val="22"/>
          <w:szCs w:val="22"/>
        </w:rPr>
        <w:instrText xml:space="preserve"> ADDIN ZOTERO_ITEM CSL_CITATION {"citationID":"xCs9zGJ5","properties":{"formattedCitation":"(6)","plainCitation":"(6)","noteIndex":0},"citationItems":[{"id":13,"uris":["http://zotero.org/users/local/lvPLY4Gu/items/47U9PVRE"],"itemData":{"id":13,"type":"article-journal","container-title":"Kidney International","DOI":"10.1016/j.kint.2023.09.002","ISSN":"1523-1755","issue":"1S","journalAbbreviation":"Kidney Int","language":"eng","note":"PMID: 38182286","page":"S1-S69","source":"PubMed","title":"KDIGO 2024 Clinical Practice Guideline for the management of LUPUS NEPHRITIS","volume":"105","author":[{"literal":"Kidney Disease: Improving Global Outcomes (KDIGO) Lupus Nephritis Work Group"}],"issued":{"date-parts":[["2024",1]]}}}],"schema":"https://github.com/citation-style-language/schema/raw/master/csl-citation.json"} </w:instrText>
      </w:r>
      <w:r w:rsidR="00C0034C">
        <w:rPr>
          <w:rFonts w:cstheme="minorHAnsi"/>
          <w:sz w:val="22"/>
          <w:szCs w:val="22"/>
        </w:rPr>
        <w:fldChar w:fldCharType="separate"/>
      </w:r>
      <w:r w:rsidR="00642970">
        <w:rPr>
          <w:rFonts w:cstheme="minorHAnsi"/>
          <w:noProof/>
          <w:sz w:val="22"/>
          <w:szCs w:val="22"/>
        </w:rPr>
        <w:t>(6)</w:t>
      </w:r>
      <w:r w:rsidR="00C0034C">
        <w:rPr>
          <w:rFonts w:cstheme="minorHAnsi"/>
          <w:sz w:val="22"/>
          <w:szCs w:val="22"/>
        </w:rPr>
        <w:fldChar w:fldCharType="end"/>
      </w:r>
      <w:r w:rsidR="00C0034C">
        <w:rPr>
          <w:rFonts w:cstheme="minorHAnsi"/>
          <w:sz w:val="22"/>
          <w:szCs w:val="22"/>
        </w:rPr>
        <w:t>.</w:t>
      </w:r>
    </w:p>
    <w:p w14:paraId="3D2FB1C2" w14:textId="7DFF5318" w:rsidR="00362F9E" w:rsidRPr="00362F9E" w:rsidRDefault="001630D4" w:rsidP="00D82C4B">
      <w:pPr>
        <w:pStyle w:val="ListParagraph"/>
        <w:numPr>
          <w:ilvl w:val="0"/>
          <w:numId w:val="24"/>
        </w:numPr>
        <w:spacing w:line="360" w:lineRule="auto"/>
        <w:jc w:val="both"/>
        <w:rPr>
          <w:rFonts w:cstheme="minorHAnsi"/>
          <w:color w:val="000000"/>
          <w:sz w:val="22"/>
          <w:szCs w:val="22"/>
          <w:shd w:val="clear" w:color="auto" w:fill="FFFFFF"/>
        </w:rPr>
      </w:pPr>
      <w:r w:rsidRPr="00D17944">
        <w:rPr>
          <w:rFonts w:cstheme="minorHAnsi"/>
          <w:sz w:val="22"/>
          <w:szCs w:val="22"/>
        </w:rPr>
        <w:t>The KDIGO 2024 Clinical Practice Guideline for Antineutrophilic Cytoplasmic Antibody (ANCA)-associated Vasculitis, 2024</w:t>
      </w:r>
      <w:r w:rsidR="00C0034C">
        <w:rPr>
          <w:rFonts w:cstheme="minorHAnsi"/>
          <w:sz w:val="22"/>
          <w:szCs w:val="22"/>
        </w:rPr>
        <w:t xml:space="preserve"> </w:t>
      </w:r>
      <w:r w:rsidR="00C0034C">
        <w:rPr>
          <w:rFonts w:cstheme="minorHAnsi"/>
          <w:sz w:val="22"/>
          <w:szCs w:val="22"/>
        </w:rPr>
        <w:fldChar w:fldCharType="begin"/>
      </w:r>
      <w:r w:rsidR="00642970">
        <w:rPr>
          <w:rFonts w:cstheme="minorHAnsi"/>
          <w:sz w:val="22"/>
          <w:szCs w:val="22"/>
        </w:rPr>
        <w:instrText xml:space="preserve"> ADDIN ZOTERO_ITEM CSL_CITATION {"citationID":"6jK5rRnW","properties":{"formattedCitation":"(7)","plainCitation":"(7)","noteIndex":0},"citationItems":[{"id":16,"uris":["http://zotero.org/users/local/lvPLY4Gu/items/DTPHXXPQ"],"itemData":{"id":16,"type":"article-journal","container-title":"Kidney International","DOI":"10.1016/j.kint.2023.10.008","ISSN":"1523-1755","issue":"3S","journalAbbreviation":"Kidney Int","language":"eng","note":"PMID: 38388102","page":"S71-S116","source":"PubMed","title":"KDIGO 2024 Clinical Practice Guideline for the Management of Antineutrophil Cytoplasmic Antibody (ANCA)-Associated Vasculitis","volume":"105","author":[{"literal":"Kidney Disease: Improving Global Outcomes (KDIGO) ANCA Vasculitis Work Group"}],"issued":{"date-parts":[["2024",3]]}}}],"schema":"https://github.com/citation-style-language/schema/raw/master/csl-citation.json"} </w:instrText>
      </w:r>
      <w:r w:rsidR="00C0034C">
        <w:rPr>
          <w:rFonts w:cstheme="minorHAnsi"/>
          <w:sz w:val="22"/>
          <w:szCs w:val="22"/>
        </w:rPr>
        <w:fldChar w:fldCharType="separate"/>
      </w:r>
      <w:r w:rsidR="00642970">
        <w:rPr>
          <w:rFonts w:cstheme="minorHAnsi"/>
          <w:noProof/>
          <w:sz w:val="22"/>
          <w:szCs w:val="22"/>
        </w:rPr>
        <w:t>(7)</w:t>
      </w:r>
      <w:r w:rsidR="00C0034C">
        <w:rPr>
          <w:rFonts w:cstheme="minorHAnsi"/>
          <w:sz w:val="22"/>
          <w:szCs w:val="22"/>
        </w:rPr>
        <w:fldChar w:fldCharType="end"/>
      </w:r>
      <w:r w:rsidR="00C0034C">
        <w:rPr>
          <w:rFonts w:cstheme="minorHAnsi"/>
          <w:sz w:val="22"/>
          <w:szCs w:val="22"/>
        </w:rPr>
        <w:t>.</w:t>
      </w:r>
    </w:p>
    <w:p w14:paraId="20F7C47A" w14:textId="4F40C367" w:rsidR="00522BD0" w:rsidRPr="00C0034C" w:rsidRDefault="001630D4" w:rsidP="00D82C4B">
      <w:pPr>
        <w:pStyle w:val="ListParagraph"/>
        <w:numPr>
          <w:ilvl w:val="0"/>
          <w:numId w:val="24"/>
        </w:numPr>
        <w:spacing w:line="360" w:lineRule="auto"/>
        <w:jc w:val="both"/>
        <w:rPr>
          <w:rFonts w:cstheme="minorHAnsi"/>
          <w:color w:val="000000"/>
          <w:sz w:val="22"/>
          <w:szCs w:val="22"/>
          <w:shd w:val="clear" w:color="auto" w:fill="FFFFFF"/>
        </w:rPr>
      </w:pPr>
      <w:r w:rsidRPr="00E827B1">
        <w:rPr>
          <w:rFonts w:cs="Segoe UI"/>
          <w:color w:val="212121"/>
          <w:sz w:val="22"/>
          <w:szCs w:val="22"/>
          <w:shd w:val="clear" w:color="auto" w:fill="FFFFFF"/>
        </w:rPr>
        <w:t xml:space="preserve">Chung SA, </w:t>
      </w:r>
      <w:r>
        <w:rPr>
          <w:rFonts w:cs="Segoe UI"/>
          <w:color w:val="212121"/>
          <w:sz w:val="22"/>
          <w:szCs w:val="22"/>
          <w:shd w:val="clear" w:color="auto" w:fill="FFFFFF"/>
        </w:rPr>
        <w:t>et al</w:t>
      </w:r>
      <w:r w:rsidRPr="00E827B1">
        <w:rPr>
          <w:rFonts w:cs="Segoe UI"/>
          <w:color w:val="212121"/>
          <w:sz w:val="22"/>
          <w:szCs w:val="22"/>
          <w:shd w:val="clear" w:color="auto" w:fill="FFFFFF"/>
        </w:rPr>
        <w:t xml:space="preserve">. 2021 American College of Rheumatology/Vasculitis Foundation Guideline for the Management of Antineutrophil Cytoplasmic Antibody-Associated Vasculitis. Arthritis </w:t>
      </w:r>
      <w:proofErr w:type="spellStart"/>
      <w:r w:rsidRPr="00E827B1">
        <w:rPr>
          <w:rFonts w:cs="Segoe UI"/>
          <w:color w:val="212121"/>
          <w:sz w:val="22"/>
          <w:szCs w:val="22"/>
          <w:shd w:val="clear" w:color="auto" w:fill="FFFFFF"/>
        </w:rPr>
        <w:t>Rheumatol</w:t>
      </w:r>
      <w:proofErr w:type="spellEnd"/>
      <w:r w:rsidRPr="00E827B1">
        <w:rPr>
          <w:rFonts w:cs="Segoe UI"/>
          <w:color w:val="212121"/>
          <w:sz w:val="22"/>
          <w:szCs w:val="22"/>
          <w:shd w:val="clear" w:color="auto" w:fill="FFFFFF"/>
        </w:rPr>
        <w:t>. 2021 Aug;73(8):1366-1383</w:t>
      </w:r>
      <w:r w:rsidR="00C0034C">
        <w:rPr>
          <w:rFonts w:cs="Segoe UI"/>
          <w:color w:val="212121"/>
          <w:sz w:val="22"/>
          <w:szCs w:val="22"/>
          <w:shd w:val="clear" w:color="auto" w:fill="FFFFFF"/>
        </w:rPr>
        <w:t xml:space="preserve"> </w:t>
      </w:r>
      <w:r w:rsidR="00C0034C">
        <w:rPr>
          <w:rFonts w:cs="Segoe UI"/>
          <w:color w:val="212121"/>
          <w:sz w:val="22"/>
          <w:szCs w:val="22"/>
          <w:shd w:val="clear" w:color="auto" w:fill="FFFFFF"/>
        </w:rPr>
        <w:fldChar w:fldCharType="begin"/>
      </w:r>
      <w:r w:rsidR="00642970">
        <w:rPr>
          <w:rFonts w:cs="Segoe UI"/>
          <w:color w:val="212121"/>
          <w:sz w:val="22"/>
          <w:szCs w:val="22"/>
          <w:shd w:val="clear" w:color="auto" w:fill="FFFFFF"/>
        </w:rPr>
        <w:instrText xml:space="preserve"> ADDIN ZOTERO_ITEM CSL_CITATION {"citationID":"QkZzq7uW","properties":{"formattedCitation":"(8)","plainCitation":"(8)","noteIndex":0},"citationItems":[{"id":19,"uris":["http://zotero.org/users/local/lvPLY4Gu/items/MH3UPFQJ"],"itemData":{"id":19,"type":"article-journal","abstract":"OBJECTIVE: To provide evidence-based recommendations and expert guidance for the management of antineutrophil cytoplasmic antibody-associated vasculitis (AAV), including granulomatosis with polyangiitis (GPA), microscopic polyangiitis (MPA), and eosinophilic granulomatosis with polyangiitis (EGPA).\nMETHODS: Clinical questions regarding the treatment and management of AAV were developed in the population, intervention, comparator, and outcome (PICO) format (47 for GPA/MPA, 34 for EGPA). Systematic literature reviews were conducted for each PICO question. The Grading of Recommendations Assessment, Development and Evaluation methodology was used to assess the quality of evidence and formulate recommendations. Each recommendation required ≥70% consensus among the Voting Panel.\nRESULTS: We present 26 recommendations and 5 ungraded position statements for GPA/MPA, and 15 recommendations and 5 ungraded position statements for EGPA. This guideline provides recommendations for remission induction and maintenance therapy as well as adjunctive treatment strategies in GPA, MPA, and EGPA. These recommendations include the use of rituximab for remission induction and maintenance in severe GPA and MPA and the use of mepolizumab in nonsevere EGPA. All recommendations are conditional due in part to the lack of multiple randomized controlled trials and/or low-quality evidence supporting the recommendations.\nCONCLUSION: This guideline presents the first recommendations endorsed by the American College of Rheumatology and the Vasculitis Foundation for the management of AAV and provides guidance to health care professionals on how to treat these diseases.","container-title":"Arthritis &amp; Rheumatology (Hoboken, N.J.)","DOI":"10.1002/art.41773","ISSN":"2326-5205","issue":"8","journalAbbreviation":"Arthritis Rheumatol","language":"eng","note":"PMID: 34235894","page":"1366-1383","source":"PubMed","title":"2021 American College of Rheumatology/Vasculitis Foundation Guideline for the Management of Antineutrophil Cytoplasmic Antibody-Associated Vasculitis","volume":"73","author":[{"family":"Chung","given":"Sharon A."},{"family":"Langford","given":"Carol A."},{"family":"Maz","given":"Mehrdad"},{"family":"Abril","given":"Andy"},{"family":"Gorelik","given":"Mark"},{"family":"Guyatt","given":"Gordon"},{"family":"Archer","given":"Amy M."},{"family":"Conn","given":"Doyt L."},{"family":"Full","given":"Kathy A."},{"family":"Grayson","given":"Peter C."},{"family":"Ibarra","given":"Maria F."},{"family":"Imundo","given":"Lisa F."},{"family":"Kim","given":"Susan"},{"family":"Merkel","given":"Peter A."},{"family":"Rhee","given":"Rennie L."},{"family":"Seo","given":"Philip"},{"family":"Stone","given":"John H."},{"family":"Sule","given":"Sangeeta"},{"family":"Sundel","given":"Robert P."},{"family":"Vitobaldi","given":"Omar I."},{"family":"Warner","given":"Ann"},{"family":"Byram","given":"Kevin"},{"family":"Dua","given":"Anisha B."},{"family":"Husainat","given":"Nedaa"},{"family":"James","given":"Karen E."},{"family":"Kalot","given":"Mohamad A."},{"family":"Lin","given":"Yih Chang"},{"family":"Springer","given":"Jason M."},{"family":"Turgunbaev","given":"Marat"},{"family":"Villa-Forte","given":"Alexandra"},{"family":"Turner","given":"Amy S."},{"family":"Mustafa","given":"Reem A."}],"issued":{"date-parts":[["2021",8]]}}}],"schema":"https://github.com/citation-style-language/schema/raw/master/csl-citation.json"} </w:instrText>
      </w:r>
      <w:r w:rsidR="00C0034C">
        <w:rPr>
          <w:rFonts w:cs="Segoe UI"/>
          <w:color w:val="212121"/>
          <w:sz w:val="22"/>
          <w:szCs w:val="22"/>
          <w:shd w:val="clear" w:color="auto" w:fill="FFFFFF"/>
        </w:rPr>
        <w:fldChar w:fldCharType="separate"/>
      </w:r>
      <w:r w:rsidR="00642970">
        <w:rPr>
          <w:rFonts w:cs="Segoe UI"/>
          <w:noProof/>
          <w:color w:val="212121"/>
          <w:sz w:val="22"/>
          <w:szCs w:val="22"/>
          <w:shd w:val="clear" w:color="auto" w:fill="FFFFFF"/>
        </w:rPr>
        <w:t>(8)</w:t>
      </w:r>
      <w:r w:rsidR="00C0034C">
        <w:rPr>
          <w:rFonts w:cs="Segoe UI"/>
          <w:color w:val="212121"/>
          <w:sz w:val="22"/>
          <w:szCs w:val="22"/>
          <w:shd w:val="clear" w:color="auto" w:fill="FFFFFF"/>
        </w:rPr>
        <w:fldChar w:fldCharType="end"/>
      </w:r>
      <w:r w:rsidR="00C0034C">
        <w:rPr>
          <w:rFonts w:cs="Segoe UI"/>
          <w:color w:val="212121"/>
          <w:sz w:val="22"/>
          <w:szCs w:val="22"/>
          <w:shd w:val="clear" w:color="auto" w:fill="FFFFFF"/>
        </w:rPr>
        <w:t>.</w:t>
      </w:r>
    </w:p>
    <w:p w14:paraId="5809B25E" w14:textId="339DD433" w:rsidR="00566D06" w:rsidRPr="00D17944" w:rsidRDefault="001630D4" w:rsidP="00D82C4B">
      <w:pPr>
        <w:pStyle w:val="ListParagraph"/>
        <w:numPr>
          <w:ilvl w:val="0"/>
          <w:numId w:val="25"/>
        </w:numPr>
        <w:spacing w:line="360" w:lineRule="auto"/>
        <w:jc w:val="both"/>
        <w:rPr>
          <w:rFonts w:cstheme="minorHAnsi"/>
          <w:color w:val="000000"/>
          <w:sz w:val="22"/>
          <w:szCs w:val="22"/>
          <w:shd w:val="clear" w:color="auto" w:fill="FFFFFF"/>
        </w:rPr>
      </w:pPr>
      <w:r w:rsidRPr="00D17944">
        <w:rPr>
          <w:rFonts w:cstheme="minorHAnsi"/>
          <w:color w:val="000000"/>
          <w:sz w:val="22"/>
          <w:szCs w:val="22"/>
        </w:rPr>
        <w:t>IPNA Clinical Practice Recommendations for the Diagnosis and Management of Children with IgA Nephropathy and IgA Vasculitis Nephritis</w:t>
      </w:r>
      <w:r w:rsidR="00C0034C">
        <w:rPr>
          <w:rFonts w:cstheme="minorHAnsi"/>
          <w:color w:val="000000"/>
          <w:sz w:val="22"/>
          <w:szCs w:val="22"/>
        </w:rPr>
        <w:t xml:space="preserve"> </w:t>
      </w:r>
      <w:r w:rsidR="00C0034C">
        <w:rPr>
          <w:rFonts w:cstheme="minorHAnsi"/>
          <w:color w:val="000000"/>
          <w:sz w:val="22"/>
          <w:szCs w:val="22"/>
        </w:rPr>
        <w:fldChar w:fldCharType="begin"/>
      </w:r>
      <w:r w:rsidR="00642970">
        <w:rPr>
          <w:rFonts w:cstheme="minorHAnsi"/>
          <w:color w:val="000000"/>
          <w:sz w:val="22"/>
          <w:szCs w:val="22"/>
        </w:rPr>
        <w:instrText xml:space="preserve"> ADDIN ZOTERO_ITEM CSL_CITATION {"citationID":"4z00FHF9","properties":{"formattedCitation":"(9)","plainCitation":"(9)","noteIndex":0},"citationItems":[{"id":21,"uris":["http://zotero.org/users/local/lvPLY4Gu/items/UUZER4UI"],"itemData":{"id":21,"type":"article-journal","abstract":"IgA nephropathy and IgA vasculitis with nephritis, albeit rare, represent two relatively frequent glomerular conditions in childhood. Compared to adults, pediatric IgA nephropathy has a more acute presentation, most frequently with synpharyngitic macrohematuria and histologically with more intense inflammation and less intense chronic damage. Management of these conditions is controversial and supported by little high-quality evidence. The paucity of evidence is due to the disease heterogeneity, its inter-ethnic variability, and the difficulty of extrapolating data from adult studies due to the peculiarities of the condition in children. IgA vasculitis with nephritis is a kidney manifestation of a systemic disorder, typical of the pediatric age, in which both the diagnosis of kidney involvement and its management are poorly defined, and an interdisciplinary approach is crucial. Both conditions can have a profound and long-lasting impact on kidney function and the global health of affected children. The International Pediatric Nephrology Association has therefore convened a diverse international group of experts from different disciplines to provide guidance on the recommended management of these conditions in children and to establish common definitions and define priorities for future high-quality, evidence-based collaborative studies for the benefit of children.","container-title":"Pediatric Nephrology (Berlin, Germany)","DOI":"10.1007/s00467-024-06502-6","ISSN":"1432-198X","journalAbbreviation":"Pediatr Nephrol","language":"eng","note":"PMID: 39331079","source":"PubMed","title":"IPNA clinical practice recommendations for the diagnosis and management of children with IgA nephropathy and IgA vasculitis nephritis","author":[{"family":"Vivarelli","given":"Marina"},{"family":"Samuel","given":"Susan"},{"family":"Coppo","given":"Rosanna"},{"family":"Barratt","given":"Jonathan"},{"family":"Bonilla-Felix","given":"Melvin"},{"family":"Haffner","given":"Dieter"},{"family":"Gibson","given":"Keisha"},{"family":"Haas","given":"Mark"},{"family":"Abdel-Hafez","given":"Maher Ahmed"},{"family":"Adragna","given":"Marta"},{"family":"Brogan","given":"Paul"},{"family":"Kim","given":"Siah"},{"family":"Liu","given":"Isaac"},{"family":"Liu","given":"Zhi-Hong"},{"family":"Mantan","given":"Mukta"},{"family":"Shima","given":"Yuko"},{"family":"Shimuzu","given":"Masaki"},{"family":"Shen","given":"Qian"},{"family":"Trimarchi","given":"Hernan"},{"family":"Hahn","given":"Deirdre"},{"family":"Hodson","given":"Elisabeth"},{"family":"Pfister","given":"Ken"},{"family":"Alladin","given":"Areefa"},{"family":"Boyer","given":"Olivia"},{"family":"Nakanishi","given":"Koichi"},{"literal":"International Pediatric Nephrology Association"}],"issued":{"date-parts":[["2024",9,27]]}}}],"schema":"https://github.com/citation-style-language/schema/raw/master/csl-citation.json"} </w:instrText>
      </w:r>
      <w:r w:rsidR="00C0034C">
        <w:rPr>
          <w:rFonts w:cstheme="minorHAnsi"/>
          <w:color w:val="000000"/>
          <w:sz w:val="22"/>
          <w:szCs w:val="22"/>
        </w:rPr>
        <w:fldChar w:fldCharType="separate"/>
      </w:r>
      <w:r w:rsidR="00642970">
        <w:rPr>
          <w:rFonts w:cstheme="minorHAnsi"/>
          <w:noProof/>
          <w:color w:val="000000"/>
          <w:sz w:val="22"/>
          <w:szCs w:val="22"/>
        </w:rPr>
        <w:t>(9)</w:t>
      </w:r>
      <w:r w:rsidR="00C0034C">
        <w:rPr>
          <w:rFonts w:cstheme="minorHAnsi"/>
          <w:color w:val="000000"/>
          <w:sz w:val="22"/>
          <w:szCs w:val="22"/>
        </w:rPr>
        <w:fldChar w:fldCharType="end"/>
      </w:r>
      <w:r w:rsidR="00C0034C">
        <w:rPr>
          <w:rFonts w:cstheme="minorHAnsi"/>
          <w:color w:val="000000"/>
          <w:sz w:val="22"/>
          <w:szCs w:val="22"/>
        </w:rPr>
        <w:t>.</w:t>
      </w:r>
    </w:p>
    <w:p w14:paraId="67A70DB6" w14:textId="77777777" w:rsidR="00BC5C25" w:rsidRPr="00D17944" w:rsidRDefault="00BC5C25" w:rsidP="00D82C4B">
      <w:pPr>
        <w:spacing w:line="360" w:lineRule="auto"/>
        <w:jc w:val="both"/>
        <w:rPr>
          <w:rFonts w:cstheme="minorHAnsi"/>
          <w:b/>
          <w:bCs/>
          <w:color w:val="000000"/>
          <w:sz w:val="22"/>
          <w:szCs w:val="22"/>
          <w:shd w:val="clear" w:color="auto" w:fill="FFFFFF"/>
        </w:rPr>
      </w:pPr>
    </w:p>
    <w:p w14:paraId="435B2C46" w14:textId="28611549" w:rsidR="00566D06" w:rsidRPr="00D17944" w:rsidRDefault="001630D4" w:rsidP="00D82C4B">
      <w:pPr>
        <w:spacing w:line="360" w:lineRule="auto"/>
        <w:jc w:val="both"/>
        <w:rPr>
          <w:rFonts w:cstheme="minorHAnsi"/>
          <w:b/>
          <w:bCs/>
          <w:color w:val="000000"/>
          <w:sz w:val="22"/>
          <w:szCs w:val="22"/>
          <w:shd w:val="clear" w:color="auto" w:fill="FFFFFF"/>
        </w:rPr>
      </w:pPr>
      <w:r w:rsidRPr="00D17944">
        <w:rPr>
          <w:rFonts w:cstheme="minorHAnsi"/>
          <w:b/>
          <w:bCs/>
          <w:color w:val="000000"/>
          <w:sz w:val="22"/>
          <w:szCs w:val="22"/>
          <w:shd w:val="clear" w:color="auto" w:fill="FFFFFF"/>
        </w:rPr>
        <w:t xml:space="preserve">Local guidelines </w:t>
      </w:r>
      <w:r w:rsidR="00C0034C">
        <w:rPr>
          <w:rFonts w:cstheme="minorHAnsi"/>
          <w:b/>
          <w:bCs/>
          <w:color w:val="000000"/>
          <w:sz w:val="22"/>
          <w:szCs w:val="22"/>
          <w:shd w:val="clear" w:color="auto" w:fill="FFFFFF"/>
        </w:rPr>
        <w:t>(unpublished)</w:t>
      </w:r>
    </w:p>
    <w:p w14:paraId="51830950" w14:textId="44BABE9B" w:rsidR="00BC5C25" w:rsidRPr="00D17944" w:rsidRDefault="001630D4" w:rsidP="00D82C4B">
      <w:pPr>
        <w:pStyle w:val="ListParagraph"/>
        <w:numPr>
          <w:ilvl w:val="0"/>
          <w:numId w:val="25"/>
        </w:numPr>
        <w:spacing w:line="360" w:lineRule="auto"/>
        <w:jc w:val="both"/>
        <w:rPr>
          <w:rFonts w:cstheme="minorHAnsi"/>
          <w:color w:val="000000"/>
          <w:sz w:val="22"/>
          <w:szCs w:val="22"/>
          <w:shd w:val="clear" w:color="auto" w:fill="FFFFFF"/>
        </w:rPr>
      </w:pPr>
      <w:r w:rsidRPr="00D17944">
        <w:rPr>
          <w:rFonts w:cstheme="minorHAnsi"/>
          <w:color w:val="000000"/>
          <w:sz w:val="22"/>
          <w:szCs w:val="22"/>
          <w:shd w:val="clear" w:color="auto" w:fill="FFFFFF"/>
        </w:rPr>
        <w:t xml:space="preserve">NHS Greater Glasgow and Clyde. Guideline on the classification and management of glomerulonephritis in general paediatrics. </w:t>
      </w:r>
    </w:p>
    <w:p w14:paraId="0C0AC210" w14:textId="77777777" w:rsidR="00BC5C25" w:rsidRPr="00D17944" w:rsidRDefault="001630D4" w:rsidP="00D82C4B">
      <w:pPr>
        <w:pStyle w:val="ListParagraph"/>
        <w:numPr>
          <w:ilvl w:val="0"/>
          <w:numId w:val="25"/>
        </w:numPr>
        <w:spacing w:line="360" w:lineRule="auto"/>
        <w:jc w:val="both"/>
        <w:rPr>
          <w:rFonts w:cstheme="minorHAnsi"/>
          <w:color w:val="000000"/>
          <w:sz w:val="22"/>
          <w:szCs w:val="22"/>
          <w:shd w:val="clear" w:color="auto" w:fill="FFFFFF"/>
        </w:rPr>
      </w:pPr>
      <w:r w:rsidRPr="00D17944">
        <w:rPr>
          <w:rFonts w:cstheme="minorHAnsi"/>
          <w:color w:val="000000"/>
          <w:sz w:val="22"/>
          <w:szCs w:val="22"/>
          <w:shd w:val="clear" w:color="auto" w:fill="FFFFFF"/>
        </w:rPr>
        <w:t>UK Kidney Association commentary on the KDIGO 2021 clinical practice guideline for the management of glomerular diseases, 2023</w:t>
      </w:r>
    </w:p>
    <w:p w14:paraId="5F33DEBB" w14:textId="116FE0AB" w:rsidR="00BC5C25" w:rsidRPr="00D17944" w:rsidRDefault="001630D4" w:rsidP="00D82C4B">
      <w:pPr>
        <w:pStyle w:val="ListParagraph"/>
        <w:numPr>
          <w:ilvl w:val="0"/>
          <w:numId w:val="25"/>
        </w:numPr>
        <w:spacing w:line="360" w:lineRule="auto"/>
        <w:jc w:val="both"/>
        <w:rPr>
          <w:rFonts w:cstheme="minorHAnsi"/>
          <w:color w:val="000000"/>
          <w:sz w:val="22"/>
          <w:szCs w:val="22"/>
          <w:shd w:val="clear" w:color="auto" w:fill="FFFFFF"/>
        </w:rPr>
      </w:pPr>
      <w:r w:rsidRPr="00D17944">
        <w:rPr>
          <w:rFonts w:cstheme="minorHAnsi"/>
          <w:color w:val="000000"/>
          <w:sz w:val="22"/>
          <w:szCs w:val="22"/>
          <w:shd w:val="clear" w:color="auto" w:fill="FFFFFF"/>
        </w:rPr>
        <w:t xml:space="preserve">Leeds Children’s Hospital. Regional Guideline for the management of idiopathic nephrotic syndrome in childhood, 2022 </w:t>
      </w:r>
    </w:p>
    <w:p w14:paraId="75DA3E74" w14:textId="642731B1" w:rsidR="00BC5C25" w:rsidRPr="00D17944" w:rsidRDefault="001630D4" w:rsidP="00D82C4B">
      <w:pPr>
        <w:pStyle w:val="ListParagraph"/>
        <w:numPr>
          <w:ilvl w:val="0"/>
          <w:numId w:val="25"/>
        </w:numPr>
        <w:spacing w:line="360" w:lineRule="auto"/>
        <w:jc w:val="both"/>
        <w:rPr>
          <w:rFonts w:cstheme="minorHAnsi"/>
          <w:color w:val="000000"/>
          <w:sz w:val="22"/>
          <w:szCs w:val="22"/>
          <w:shd w:val="clear" w:color="auto" w:fill="FFFFFF"/>
        </w:rPr>
      </w:pPr>
      <w:r w:rsidRPr="00D17944">
        <w:rPr>
          <w:rFonts w:cstheme="minorHAnsi"/>
          <w:color w:val="000000"/>
          <w:sz w:val="22"/>
          <w:szCs w:val="22"/>
          <w:shd w:val="clear" w:color="auto" w:fill="FFFFFF"/>
        </w:rPr>
        <w:t>The Newcastle upon Tyne Hospitals NHS Foundation Trust. Management of childhood Nephrotic syndrome in children, 2022</w:t>
      </w:r>
    </w:p>
    <w:p w14:paraId="66FB1BE4" w14:textId="096D2E1A" w:rsidR="00055DA9" w:rsidRPr="00D17944" w:rsidRDefault="001630D4" w:rsidP="00D82C4B">
      <w:pPr>
        <w:pStyle w:val="ListParagraph"/>
        <w:numPr>
          <w:ilvl w:val="0"/>
          <w:numId w:val="25"/>
        </w:numPr>
        <w:spacing w:line="360" w:lineRule="auto"/>
        <w:jc w:val="both"/>
        <w:rPr>
          <w:rFonts w:cstheme="minorHAnsi"/>
          <w:color w:val="000000"/>
          <w:sz w:val="22"/>
          <w:szCs w:val="22"/>
          <w:shd w:val="clear" w:color="auto" w:fill="FFFFFF"/>
        </w:rPr>
      </w:pPr>
      <w:r w:rsidRPr="00D17944">
        <w:rPr>
          <w:rFonts w:cstheme="minorHAnsi"/>
          <w:color w:val="000000"/>
          <w:sz w:val="22"/>
          <w:szCs w:val="22"/>
          <w:shd w:val="clear" w:color="auto" w:fill="FFFFFF"/>
        </w:rPr>
        <w:t>The Newcastle upon Tyne Hospitals NHS Foundation Trust. Cyclophosphamide therapy for Paediatric Rheumatology and Renal patients, 2013.</w:t>
      </w:r>
    </w:p>
    <w:p w14:paraId="132E950E" w14:textId="5D6EE082" w:rsidR="00055DA9" w:rsidRPr="00D17944" w:rsidRDefault="001630D4" w:rsidP="00D82C4B">
      <w:pPr>
        <w:pStyle w:val="ListParagraph"/>
        <w:numPr>
          <w:ilvl w:val="0"/>
          <w:numId w:val="25"/>
        </w:numPr>
        <w:spacing w:line="360" w:lineRule="auto"/>
        <w:jc w:val="both"/>
        <w:rPr>
          <w:rFonts w:cstheme="minorHAnsi"/>
          <w:color w:val="000000"/>
          <w:sz w:val="22"/>
          <w:szCs w:val="22"/>
          <w:shd w:val="clear" w:color="auto" w:fill="FFFFFF"/>
        </w:rPr>
      </w:pPr>
      <w:r w:rsidRPr="00D17944">
        <w:rPr>
          <w:rFonts w:cstheme="minorHAnsi"/>
          <w:color w:val="000000"/>
          <w:sz w:val="22"/>
          <w:szCs w:val="22"/>
          <w:shd w:val="clear" w:color="auto" w:fill="FFFFFF"/>
        </w:rPr>
        <w:t>Bristol Royal Hospital for Children. Clinical guideline management of vasculitis in children, 2019.</w:t>
      </w:r>
    </w:p>
    <w:p w14:paraId="065B8A52" w14:textId="77777777" w:rsidR="00566D06" w:rsidRPr="00D17944" w:rsidRDefault="00566D06" w:rsidP="00D82C4B">
      <w:pPr>
        <w:spacing w:line="360" w:lineRule="auto"/>
        <w:jc w:val="both"/>
        <w:rPr>
          <w:rFonts w:cstheme="minorHAnsi"/>
          <w:color w:val="000000"/>
          <w:sz w:val="22"/>
          <w:szCs w:val="22"/>
          <w:shd w:val="clear" w:color="auto" w:fill="FFFFFF"/>
        </w:rPr>
      </w:pPr>
    </w:p>
    <w:p w14:paraId="7AFFDCBA" w14:textId="4FD96AEE" w:rsidR="00566D06" w:rsidRPr="00D17944" w:rsidRDefault="001630D4" w:rsidP="00D82C4B">
      <w:pPr>
        <w:spacing w:line="360" w:lineRule="auto"/>
        <w:jc w:val="both"/>
        <w:rPr>
          <w:rFonts w:cstheme="minorHAnsi"/>
          <w:b/>
          <w:bCs/>
          <w:color w:val="000000"/>
          <w:sz w:val="22"/>
          <w:szCs w:val="22"/>
          <w:shd w:val="clear" w:color="auto" w:fill="FFFFFF"/>
        </w:rPr>
      </w:pPr>
      <w:r w:rsidRPr="00D17944">
        <w:rPr>
          <w:rFonts w:cstheme="minorHAnsi"/>
          <w:b/>
          <w:bCs/>
          <w:color w:val="000000"/>
          <w:sz w:val="22"/>
          <w:szCs w:val="22"/>
          <w:shd w:val="clear" w:color="auto" w:fill="FFFFFF"/>
        </w:rPr>
        <w:t>Literature search</w:t>
      </w:r>
    </w:p>
    <w:p w14:paraId="78F124CF" w14:textId="6550489F" w:rsidR="005B39AB" w:rsidRPr="00181BAF" w:rsidRDefault="001630D4" w:rsidP="00D82C4B">
      <w:pPr>
        <w:spacing w:line="360" w:lineRule="auto"/>
        <w:jc w:val="both"/>
        <w:rPr>
          <w:rFonts w:cstheme="minorHAnsi"/>
          <w:color w:val="000000"/>
          <w:sz w:val="22"/>
          <w:szCs w:val="22"/>
          <w:shd w:val="clear" w:color="auto" w:fill="FFFFFF"/>
        </w:rPr>
      </w:pPr>
      <w:r w:rsidRPr="00D17944">
        <w:rPr>
          <w:rFonts w:cstheme="minorHAnsi"/>
          <w:color w:val="000000"/>
          <w:sz w:val="22"/>
          <w:szCs w:val="22"/>
          <w:shd w:val="clear" w:color="auto" w:fill="FFFFFF"/>
        </w:rPr>
        <w:t xml:space="preserve">The literature search </w:t>
      </w:r>
      <w:r w:rsidRPr="00D13A9C">
        <w:rPr>
          <w:rFonts w:cstheme="minorHAnsi"/>
          <w:color w:val="000000"/>
          <w:sz w:val="22"/>
          <w:szCs w:val="22"/>
          <w:shd w:val="clear" w:color="auto" w:fill="FFFFFF"/>
        </w:rPr>
        <w:t xml:space="preserve">discovered </w:t>
      </w:r>
      <w:r w:rsidR="00D13A9C" w:rsidRPr="00D13A9C">
        <w:rPr>
          <w:rFonts w:cstheme="minorHAnsi"/>
          <w:color w:val="000000"/>
          <w:sz w:val="22"/>
          <w:szCs w:val="22"/>
          <w:shd w:val="clear" w:color="auto" w:fill="FFFFFF"/>
        </w:rPr>
        <w:t>104</w:t>
      </w:r>
      <w:r w:rsidRPr="00D13A9C">
        <w:rPr>
          <w:rFonts w:cstheme="minorHAnsi"/>
          <w:color w:val="000000"/>
          <w:sz w:val="22"/>
          <w:szCs w:val="22"/>
          <w:shd w:val="clear" w:color="auto" w:fill="FFFFFF"/>
        </w:rPr>
        <w:t xml:space="preserve"> papers for</w:t>
      </w:r>
      <w:r w:rsidR="00A9532B">
        <w:rPr>
          <w:rFonts w:cstheme="minorHAnsi"/>
          <w:color w:val="000000"/>
          <w:sz w:val="22"/>
          <w:szCs w:val="22"/>
          <w:shd w:val="clear" w:color="auto" w:fill="FFFFFF"/>
        </w:rPr>
        <w:t xml:space="preserve"> consideration of</w:t>
      </w:r>
      <w:r w:rsidRPr="00D17944">
        <w:rPr>
          <w:rFonts w:cstheme="minorHAnsi"/>
          <w:color w:val="000000"/>
          <w:sz w:val="22"/>
          <w:szCs w:val="22"/>
          <w:shd w:val="clear" w:color="auto" w:fill="FFFFFF"/>
        </w:rPr>
        <w:t xml:space="preserve"> inclusion. This included </w:t>
      </w:r>
      <w:r w:rsidR="00362F9E">
        <w:rPr>
          <w:rFonts w:cstheme="minorHAnsi"/>
          <w:color w:val="000000"/>
          <w:sz w:val="22"/>
          <w:szCs w:val="22"/>
          <w:shd w:val="clear" w:color="auto" w:fill="FFFFFF"/>
        </w:rPr>
        <w:t>28</w:t>
      </w:r>
      <w:r>
        <w:rPr>
          <w:rFonts w:cstheme="minorHAnsi"/>
          <w:color w:val="000000"/>
          <w:sz w:val="22"/>
          <w:szCs w:val="22"/>
          <w:shd w:val="clear" w:color="auto" w:fill="FFFFFF"/>
        </w:rPr>
        <w:t xml:space="preserve"> papers on </w:t>
      </w:r>
      <w:r w:rsidR="00165C92">
        <w:rPr>
          <w:rFonts w:cstheme="minorHAnsi"/>
          <w:color w:val="000000"/>
          <w:sz w:val="22"/>
          <w:szCs w:val="22"/>
          <w:shd w:val="clear" w:color="auto" w:fill="FFFFFF"/>
        </w:rPr>
        <w:t>I</w:t>
      </w:r>
      <w:r>
        <w:rPr>
          <w:rFonts w:cstheme="minorHAnsi"/>
          <w:color w:val="000000"/>
          <w:sz w:val="22"/>
          <w:szCs w:val="22"/>
          <w:shd w:val="clear" w:color="auto" w:fill="FFFFFF"/>
        </w:rPr>
        <w:t>NS with 2</w:t>
      </w:r>
      <w:r w:rsidR="00C42E25">
        <w:rPr>
          <w:rFonts w:cstheme="minorHAnsi"/>
          <w:color w:val="000000"/>
          <w:sz w:val="22"/>
          <w:szCs w:val="22"/>
          <w:shd w:val="clear" w:color="auto" w:fill="FFFFFF"/>
        </w:rPr>
        <w:t>6</w:t>
      </w:r>
      <w:r w:rsidRPr="00D17944">
        <w:rPr>
          <w:rFonts w:cstheme="minorHAnsi"/>
          <w:color w:val="000000"/>
          <w:sz w:val="22"/>
          <w:szCs w:val="22"/>
          <w:shd w:val="clear" w:color="auto" w:fill="FFFFFF"/>
        </w:rPr>
        <w:t xml:space="preserve"> papers </w:t>
      </w:r>
      <w:r>
        <w:rPr>
          <w:rFonts w:cstheme="minorHAnsi"/>
          <w:color w:val="000000"/>
          <w:sz w:val="22"/>
          <w:szCs w:val="22"/>
          <w:shd w:val="clear" w:color="auto" w:fill="FFFFFF"/>
        </w:rPr>
        <w:t xml:space="preserve">focused </w:t>
      </w:r>
      <w:r w:rsidRPr="00D17944">
        <w:rPr>
          <w:rFonts w:cstheme="minorHAnsi"/>
          <w:color w:val="000000"/>
          <w:sz w:val="22"/>
          <w:szCs w:val="22"/>
          <w:shd w:val="clear" w:color="auto" w:fill="FFFFFF"/>
        </w:rPr>
        <w:t>on steroid sensitive nephrotic syndrome</w:t>
      </w:r>
      <w:r w:rsidR="00C42E25">
        <w:rPr>
          <w:rFonts w:cstheme="minorHAnsi"/>
          <w:color w:val="000000"/>
          <w:sz w:val="22"/>
          <w:szCs w:val="22"/>
          <w:shd w:val="clear" w:color="auto" w:fill="FFFFFF"/>
        </w:rPr>
        <w:t xml:space="preserve"> </w:t>
      </w:r>
      <w:r w:rsidR="00C42E25">
        <w:rPr>
          <w:rFonts w:cstheme="minorHAnsi"/>
          <w:color w:val="000000"/>
          <w:sz w:val="22"/>
          <w:szCs w:val="22"/>
          <w:shd w:val="clear" w:color="auto" w:fill="FFFFFF"/>
        </w:rPr>
        <w:fldChar w:fldCharType="begin"/>
      </w:r>
      <w:r w:rsidR="00642970">
        <w:rPr>
          <w:rFonts w:cstheme="minorHAnsi"/>
          <w:color w:val="000000"/>
          <w:sz w:val="22"/>
          <w:szCs w:val="22"/>
          <w:shd w:val="clear" w:color="auto" w:fill="FFFFFF"/>
        </w:rPr>
        <w:instrText xml:space="preserve"> ADDIN ZOTERO_ITEM CSL_CITATION {"citationID":"3pFSRlBn","properties":{"formattedCitation":"(10\\uc0\\u8211{}33)","plainCitation":"(10–33)","noteIndex":0},"citationItems":[{"id":26,"uris":["http://zotero.org/users/local/lvPLY4Gu/items/K5R9B83G"],"itemData":{"id":26,"type":"article-journal","abstract":"Present evidence regarding the efficacy and safety of levamisole in childhood nephrotic syndrome (NS), particularly the steroid-sensitive NS (SSNS), is limited. We searched relevant databases such as PubMed/MEDLINE, Embase, Google Scholar, and Cochrane CENTRAL till June 30, 2020. We included 12 studies for evidence synthesis (5 were clinical trials that included 326 children). The proportion of children without relapses at 6-12 months was higher in the levamisole group as compared to steroids (relative risk [RR]: 5.9 [95% Confidence interval (CI): 0.13-264.8], I2 = 85%). Levamisole as compared to the control increased the proportion of children without relapses at 6-12 months (RR: 3.55 [95% CI: 2.19-5.75], I2 = 0%). The GRADE evidence was of \"very-low certainty\" except for the comparison of levamisole with control, the latter being of \"moderate certainty.\" To conclude, levamisole given to children with SSNS is beneficial in preventing relapses and achieving remission as compared to placebo or low-dose steroids. Good-quality trials are needed to provide a robust evidence in this regard. PROSPERO Registration number: CRD42018086247.","container-title":"Indian Journal of Pharmacology","DOI":"10.4103/ijp.ijp_673_21","ISSN":"1998-3751","issue":"1","journalAbbreviation":"Indian J Pharmacol","language":"eng","note":"PMID: 36960520\nPMCID: PMC10204898","page":"43-52","source":"PubMed","title":"Efficacy and safety of levamisole in childhood nephrotic syndrome: A meta-analysis","title-short":"Efficacy and safety of levamisole in childhood nephrotic syndrome","volume":"55","author":[{"family":"Bhatt","given":"Girish Chandra"},{"family":"Patel","given":"Bhupeshwari"},{"family":"Das","given":"Rashmi Ranjan"},{"family":"Malik","given":"Shikha"},{"family":"Bitzan","given":"Martin"},{"family":"Mishra","given":"Nihar Ranjan"}],"issued":{"date-parts":[["2023"]]}}},{"id":28,"uris":["http://zotero.org/users/local/lvPLY4Gu/items/9ZZUPIN7"],"itemData":{"id":28,"type":"article-journal","abstract":"BACKGROUND: Long-term outcomes after multiple courses of rituximab among children with frequently relapsing, steroid-dependent nephrotic syndrome (FRSDNS) are unknown.\nMETHODS: A retrospective cohort study at 16 pediatric nephrology centers from ten countries in Asia, Europe, and North America included children with FRSDNS who received two or more courses of rituximab. Primary outcomes were relapse-free survival and adverse events.\nRESULTS: A total of 346 children (age, 9.8 years; IQR, 6.6-13.5 years; 73% boys) received 1149 courses of rituximab. A total of 145, 83, 50, 28, 22, and 18 children received two, three, four, five, six, and seven or more courses, respectively. Median (IQR) follow-up was 5.9 (4.3-7.7) years. Relapse-free survival differed by treatment courses (clustered log-rank test P&lt;0.001). Compared with the first course (10.0 months; 95% CI, 9.0 to 10.7 months), relapse-free period and relapse risk progressively improved after subsequent courses (12.0-16.0 months; HRadj, 0.03-0.13; 95% CI, 0.01 to 0.18; P&lt;0.001). The duration of B-cell depletion remained similar with repeated treatments (6.1 months; 95% CI, 6.0 to 6.3 months). Adverse events were mostly mild; the most common adverse events were hypogammaglobulinemia (50.9%), infection (4.5%), and neutropenia (3.7%). Side effects did not increase with more treatment courses nor a higher cumulative dose. Only 78 of the 353 episodes of hypogammaglobulinemia were clinically significant. Younger age at presentation (2.8 versus 3.3 years; P=0.05), age at first rituximab treatment (8.0 versus 10.0 years; P=0.01), and history of steroid resistance (28% versus 18%; P=0.01) were associated with significant hypogammaglobulinemia. All 53 infective episodes resolved, except for one patient with hepatitis B infection and another with EBV infection. There were 42 episodes of neutropenia, associated with history of steroid resistance (30% versus 20%; P=0.04). Upon last follow-up, 332 children (96%) had normal kidney function.\nCONCLUSIONS: Children receiving repeated courses of rituximab for FRSDNS experience an improving clinical response. Side effects appear acceptable, but significant complications can occur. These findings support repeated rituximab use in FRSDNS.","container-title":"Journal of the American Society of Nephrology: JASN","DOI":"10.1681/ASN.2021111472","ISSN":"1533-3450","issue":"6","journalAbbreviation":"J Am Soc Nephrol","language":"eng","note":"PMID: 35354600\nPMCID: PMC9161790","page":"1193-1207","source":"PubMed","title":"Long-Term Efficacy and Safety of Repeated Rituximab to Maintain Remission in Idiopathic Childhood Nephrotic Syndrome: An International Study","title-short":"Long-Term Efficacy and Safety of Repeated Rituximab to Maintain Remission in Idiopathic Childhood Nephrotic Syndrome","volume":"33","author":[{"family":"Chan","given":"Eugene Yu-Hin"},{"family":"Yu","given":"Ellen L. M."},{"family":"Angeletti","given":"Andrea"},{"family":"Arslan","given":"Zainab"},{"family":"Basu","given":"Biswanath"},{"family":"Boyer","given":"Olivia"},{"family":"Chan","given":"Chang-Yien"},{"family":"Colucci","given":"Manuela"},{"family":"Dorval","given":"Guillaume"},{"family":"Dossier","given":"Claire"},{"family":"Drovandi","given":"Stefania"},{"family":"Ghiggeri","given":"Gian Marco"},{"family":"Gipson","given":"Debbie S."},{"family":"Hamada","given":"Riku"},{"family":"Hogan","given":"Julien"},{"family":"Ishikura","given":"Kenji"},{"family":"Kamei","given":"Koichi"},{"family":"Kemper","given":"Markus J."},{"family":"Ma","given":"Alison Lap-Tak"},{"family":"Parekh","given":"Rulan S."},{"family":"Radhakrishnan","given":"Seetha"},{"family":"Saini","given":"Priya"},{"family":"Shen","given":"Qian"},{"family":"Sinha","given":"Rajiv"},{"family":"Subun","given":"Chantida"},{"family":"Teo","given":"Sharon"},{"family":"Vivarelli","given":"Marina"},{"family":"Webb","given":"Hazel"},{"family":"Xu","given":"Hong"},{"family":"Yap","given":"Hui Kim"},{"family":"Tullus","given":"Kjell"}],"issued":{"date-parts":[["2022",6]]}}},{"id":30,"uris":["http://zotero.org/users/local/lvPLY4Gu/items/K9VY8H65"],"itemData":{"id":30,"type":"article-journal","abstract":"RATIONALE &amp; OBJECTIVE: Adolescent- and adult-onset minimal change disease (MCD) may have a clinical course distinct from childhood-onset disease. We characterized the course of children and adults with MCD in the Cure Glomerulonephropathy Network (CureGN) and assessed predictors of rituximab response.\nSTUDY DESIGN: Prospective, multicenter, observational study.\nSTUDY PARTICIPANTS: CureGN participants with proven MCD on biopsy.\nEXPOSURE: Age at disease onset, initiation of renin-angiotensin-aldosterone system (RAAS) blockade, and immunosuppression including rituximab during the study period.\nOUTCOME: Relapse and remission, change in estimated glomerular filtration rate (eGFR), and kidney failure.\nANALYTICAL APPROACH: Remission and relapse probabilities were estimated using Kaplan-Meier curves and gap time recurrent event models. Linear regression models were used for the outcome of change in eGFR. Cox proportional hazards models were used to estimate the association between rituximab administration and remission.\nRESULTS: The study included 304 childhood- (≤12 years old), 49 adolescent- (13-17 years old), and 201 adult- (≥18 years) onset participants with 2.7-3.2 years of follow-up after enrollment. Children had a longer time to biopsy (238 vs 23 and 36 days in adolescent- and adult-onset participants, respectively; P&lt;0.001) and were more likely to have received therapy before biopsy. Children were more likely to be treated with immunosuppression but not RAAS blockade. The rate of relapse was higher in childhood- versus adult-onset participants (HR, 1.69 [95% CI, 1.29-2.21]). The probability of remission was also higher in childhood-onset disease (HR, 1.33 [95%CI, 1.02-1.72]). In all groups eGFR loss was minimal. Children were more likely to remit after rituximab than those with adolescent- or adult-onset disease (adjusted HR, 2.1; P=0.003). Across all groups, glucocorticoid sensitivity was associated with a greater likelihood of achieving complete remission after rituximab (adjusted HR, 2.62; P=0.002).\nLIMITATIONS: CureGN was limited to biopsy-proven disease. Comparisons of childhood to nonchildhood cases of MCD may be subject to selection bias, given that childhood cases who undergo a biopsy may be limited to patients who are least responsive to initial therapy.\nCONCLUSIONS: Among patients with MCD who underwent kidney biopsy, there were differences in the course (relapse and remission) of childhood-onset compared with adolescent- and adult-onset disease, as well as rituximab response.\nPLAIN-LANGUAGE SUMMARY: Minimal change disease is a biopsy diagnosis for nephrotic syndrome. It is diagnosed in childhood, adolescence, or adulthood. Patients and clinicians often have questions about what to expect in the disease course and how to plan therapies. We analyzed a group of patients followed longitudinally as part of the Cure Glomerulonephropathy Network (CureGN) and describe the differences in disease (relapse and remission) based on the age of onset. We also analyzed rituximab response. We found that those with childhood-onset disease had a higher rate of relapse but also have a higher probability of reaching remission when compared with adolescent- or adult-onset disease. Children and all steroid-responsive patients are more likely to achieve remission after rituximab.","container-title":"American Journal of Kidney Diseases: The Official Journal of the National Kidney Foundation","DOI":"10.1053/j.ajkd.2022.11.012","ISSN":"1523-6838","issue":"6","journalAbbreviation":"Am J Kidney Dis","language":"eng","note":"PMID: 36608921\nPMCID: PMC10200745","page":"695-706.e1","source":"PubMed","title":"Age of Onset and Disease Course in Biopsy-Proven Minimal Change Disease: An Analysis From the Cure Glomerulonephropathy Network","title-short":"Age of Onset and Disease Course in Biopsy-Proven Minimal Change Disease","volume":"81","author":[{"family":"Chen","given":"Dhruti P."},{"family":"Helmuth","given":"Margaret E."},{"family":"Smith","given":"Abigail R."},{"family":"Canetta","given":"Pietro A."},{"family":"Ayoub","given":"Isabelle"},{"family":"Mucha","given":"Krzysztof"},{"family":"Kallash","given":"Mahmoud"},{"family":"Kopp","given":"Jeffrey B."},{"family":"Gbadegesin","given":"Rasheed"},{"family":"Gillespie","given":"Brenda W."},{"family":"Greenbaum","given":"Larry A."},{"family":"Parekh","given":"Rulan S."},{"family":"Hunley","given":"Tracy E."},{"family":"Sperati","given":"C. John"},{"family":"Selewski","given":"David T."},{"family":"Kidd","given":"Jason"},{"family":"Chishti","given":"Aftab"},{"family":"Reidy","given":"Kimberly"},{"family":"Mottl","given":"Amy K."},{"family":"Gipson","given":"Debbie S."},{"family":"Srivastava","given":"Tarak"},{"family":"Twombley","given":"Katherine E."},{"literal":"CureGN Consortium"}],"issued":{"date-parts":[["2023",6]]}}},{"id":32,"uris":["http://zotero.org/users/local/lvPLY4Gu/items/QN5F2Z93"],"itemData":{"id":32,"type":"article-journal","abstract":"IMPORTANCE: In children with corticosteroid-sensitive nephrotic syndrome, many relapses are triggered by upper respiratory tract infections. Four small studies found that administration of daily low-dose prednisolone for 5 to 7 days at the time of an upper respiratory tract infection reduced the risk of relapse, but the generalizability of their findings is limited by location of the studies and selection of study population.\nOBJECTIVE: To investigate the use of daily low-dose prednisolone for the treatment of upper respiratory tract infection-related relapses.\nDESIGN, SETTING, AND PARTICIPANTS: This double-blind, placebo-controlled randomized clinical trial (Prednisolone in Nephrotic Syndrome [PREDNOS] 2) evaluated 365 children with relapsing steroid-sensitive nephrotic syndrome with and without background immunosuppressive treatment at 122 pediatric departments in the UK from February 1, 2013, to January 31, 2020. Data from the modified intention-to-treat population were analyzed from July 1, 2020, to December 31, 2020.\nINTERVENTIONS: At the start of an upper respiratory tract infection, children received 6 days of prednisolone, 15 mg/m2 daily, or matching placebo preparation. Those already taking alternate-day prednisolone rounded their daily dose using trial medication to the equivalent of 15 mg/m2 daily or their alternate-day dose, whichever was greater.\nMAIN OUTCOMES AND MEASURES: The primary outcome was the incidence of first upper respiratory tract infection-related relapse. Secondary outcomes included overall rate of relapse, changes in background immunosuppressive treatment, cumulative dose of prednisolone, rates of serious adverse events, incidence of corticosteroid adverse effects, and quality of life.\nRESULTS: The modified intention-to-treat analysis population comprised 271 children (mean [SD] age, 7.6 [3.5] years; 174 [64.2%] male), with 134 in the prednisolone arm and 137 in the placebo arm. The number of patients experiencing an upper respiratory tract infection-related relapse was 56 of 131 (42.7%) in the prednisolone arm and 58 of 131 (44.3%) in the placebo arm (adjusted risk difference, -0.02; 95% CI, -0.14 to 0.10; P = .70). No evidence was found that the treatment effect differed according to background immunosuppressive treatment. No significant differences were found in secondary outcomes between the treatment arms. A post hoc subgroup analysis assessing the primary outcome in 54 children of South Asian ethnicity (risk ratio, 0.66; 95% CI, 0.40-1.10) vs 208 children of other ethnicity (risk ratio, 1.11; 95% CI, 0.81-1.54) found no difference in efficacy of intervention in those of South Asian ethnicity (test for interaction P = .09).\nCONCLUSIONS AND RELEVANCE: The results of PREDNOS 2 suggest that administering 6 days of daily low-dose prednisolone at the time of an upper respiratory tract infection does not reduce the risk of relapse of nephrotic syndrome in children in the UK. Further work is needed to investigate interethnic differences in treatment response.\nTRIAL REGISTRATION: isrctn.org Identifier: ISRCTN10900733; EudraCT 2012-003476-39.","container-title":"JAMA pediatrics","DOI":"10.1001/jamapediatrics.2021.5189","ISSN":"2168-6211","issue":"3","journalAbbreviation":"JAMA Pediatr","language":"eng","note":"PMID: 34928294\nPMCID: PMC8689426","page":"236-243","source":"PubMed","title":"Evaluation of Daily Low-Dose Prednisolone During Upper Respiratory Tract Infection to Prevent Relapse in Children With Relapsing Steroid-Sensitive Nephrotic Syndrome: The PREDNOS 2 Randomized Clinical Trial","title-short":"Evaluation of Daily Low-Dose Prednisolone During Upper Respiratory Tract Infection to Prevent Relapse in Children With Relapsing Steroid-Sensitive Nephrotic Syndrome","volume":"176","author":[{"family":"Christian","given":"Martin T."},{"family":"Webb","given":"Nicholas J. A."},{"family":"Mehta","given":"Samir"},{"family":"Woolley","given":"Rebecca L."},{"family":"Afentou","given":"Nafsika"},{"family":"Frew","given":"Emma"},{"family":"Brettell","given":"Elizabeth A."},{"family":"Khan","given":"Adam R."},{"family":"Milford","given":"David V."},{"family":"Bockenhauer","given":"Detlef"},{"family":"Saleem","given":"Moin A."},{"family":"Hall","given":"Angela S."},{"family":"Koziell","given":"Ania"},{"family":"Maxwell","given":"Heather"},{"family":"Hegde","given":"Shivaram"},{"family":"Prajapati","given":"Hitesh"},{"family":"Gilbert","given":"Rodney D."},{"family":"Jones","given":"Caroline"},{"family":"McKeever","given":"Karl"},{"family":"Cook","given":"Wendy"},{"family":"Ives","given":"Natalie"}],"issued":{"date-parts":[["2022",3,1]]}}},{"id":35,"uris":["http://zotero.org/users/local/lvPLY4Gu/items/3FJQFW3T"],"itemData":{"id":35,"type":"article-journal","abstract":"Introduction:Nephrotic syndrome is one of the most extensively studied pediatric diseases for a nephrologist. Treatment for patients suffering from it has greatly improved the prognosis and reduced the mortality rate to 3% or less. Steroid medication is the first line, but non-steroid immunosuppressive drugs are useful in limiting steroid side effects and maintaining long-term remission. Objective: The aim of the study is to choose the best treatment for each patient in order to minimize long-term effects of corticosteroid therapy, taking into account the child's age, gender and other factors to optimize the quality of life. Materials and methods:Materials and methods: This is a retrospective study of pediatric patients older than one year and younger than 18 years of age diagnosed with idiopathic corticosteroid nephrotic syndrome. Study participants were treated in the Department of Pediatric Nephrology of \"M. S. Curie\" Emergency Clinical Hospital for Children, Bucharest, Romania, between January 2013 and December 2020. Thirty-seven subjects with steroid-dependent nephrotic syndrome from a total of 125 patients diagnosed with nephrotic syndrome were included in the present study. All study participants underwent clinical examination and laboratory tests and were regularly monitored. Results and discussion: Long-term corticosteroid therapy can lead to unwanted complications such as hypertension, short stature, behavior disturbances, or osteopenia. To minimize certain side effects, a second line steroid-sparing agents can be used due to their ability to induce complete remission and maintain it in patients with steroid-dependent nephrotic syndrome. Conclusion: Our study describes the most frequent side effects encountered in the Department of Nephrology in patients with steroid-dependent nephrotic syndrome. The purpose was to emphasize that pediatric patients' quality of life depends on limiting long-term corticosteroid treatment and preventing adverse reactions or complications.","container-title":"Maedica","DOI":"10.26574/maedica.2022.17.2.285","ISSN":"1841-9038","issue":"2","journalAbbreviation":"Maedica (Bucur)","language":"eng","note":"PMID: 36032609\nPMCID: PMC9375867","page":"285-290","source":"PubMed","title":"Treatment-Associated Side Effects in Patients with Steroid-Dependent Nephrotic Syndrome","volume":"17","author":[{"family":"Croitoru","given":"Anca"},{"family":"Balgradean","given":"Mihaela"}],"issued":{"date-parts":[["2022",6]]}}},{"id":37,"uris":["http://zotero.org/users/local/lvPLY4Gu/items/EP3LA8D8"],"itemData":{"id":37,"type":"article-journal","abstract":"BACKGROUND: B-cell depletion with rituximab induces sustained remission in children with steroid-dependent or frequently relapsing nephrotic syndrome. However, most patients relapse after B-cell recovery, and some patients do not achieve B-cell depletion. Obinutuzumab is a second-generation anti-CD20 antibody designed to overcome such situations in B-cell malignancies and was recently reported to be safe and effective in other autoimmune diseases affecting the kidneys.\nMETHODS: We retrospectively report 41 children with steroid-dependent or frequently relapsing nephrotic syndrome treated with a single low-dose infusion of obinutuzumab at Robert-Debre Hospital between April 2018 and December 2020. Participants were treated because of rituximab resistance or relapse after rituximab and received a single infusion of 300 mg/1.73 m 2 obinutuzumab with cessation of oral immunosuppressors within 2 months.\nRESULTS: B-cell depletion was achieved in all participants and lasted a median of 8.3 months (interquartile range, 6.4-11.1), a duration exceeding that for last rituximab treatment. At 12 and 24 months, 92% (38/41) and 68% (28/41) of patients, respectively, were in sustained remission. Mild infusion reactions occurred in five participants (12%) and neutropenia in nine (21%). No significant decrease in IgG level was reported during treatment, and whereas IgM levels decreased in 34 patients (83%), they were normal at last follow-up in 32 (78%).\nCONCLUSIONS: These results identified low-dose obinituzumab as a promising treatment option in children with steroid-dependent or frequently relapsing nephrotic syndrome, including those resistant to rituximab. The tolerance profile of obinutuzumab was similar to that of rituximab, but hemogram and immunoglobulin levels should be monitored.","container-title":"Clinical journal of the American Society of Nephrology: CJASN","DOI":"10.2215/CJN.0000000000000288","ISSN":"1555-905X","issue":"12","journalAbbreviation":"Clin J Am Soc Nephrol","language":"eng","note":"PMID: 37678236\nPMCID: PMC10723910","page":"1555-1562","source":"PubMed","title":"Obinutuzumab in Frequently Relapsing and Steroid-Dependent Nephrotic Syndrome in Children","volume":"18","author":[{"family":"Dossier","given":"Claire"},{"family":"Bonneric","given":"Stéphanie"},{"family":"Baudouin","given":"Véronique"},{"family":"Kwon","given":"Thérésa"},{"family":"Prim","given":"Benjamin"},{"family":"Cambier","given":"Alexandra"},{"family":"Couderc","given":"Anne"},{"family":"Moreau","given":"Christelle"},{"family":"Deschenes","given":"Georges"},{"family":"Hogan","given":"Julien"}],"issued":{"date-parts":[["2023",12,1]]}}},{"id":39,"uris":["http://zotero.org/users/local/lvPLY4Gu/items/ABHGJ7IW"],"itemData":{"id":39,"type":"article-journal","abstract":"BACKGROUND: Corticosteroids have had a central role in the treatment of nephrotic syndrome. The management of these patients who become dependent to steroids is complex, involving different immunosuppressive drugs patterns. The monoclonal antibody anti CD20, Rituximab, is likely to have beneficial effects in cases of steroid-dependent nephrotic syndrome patients with no easy resolution, even when we cannot make a statement about the specific role in the impact. We bring our personal experience in pediatric patients treated with this medication during the last years, to provide a thorough overview and useful information about the role of Rituximab in this pathology.\nMETHODS: Retrospective study in patients with steroid-dependent idiopathic nephrotic syndrome controlled in the division of Pediatric Nephrology of a Spanish tertiary hospital in those patients who had received at least one treatment cycle of Rituximab, at any moment along the evolution of the disease.\nRESULTS: The study involved 8 patients. All of them previously received immunosuppressive therapy. The Rituximab were administered as an intravenous infusion, in a dose of 375 mg/m2, and all doses were administered in a period during which the disease was in remission. The depletion of lymphocytes B (CD19, 0%) were confirmed after the first dose of Rituximab except for one, with a lymphocyte count of 1%. The period of depletion lasts 10,3 months (median; range 6,5-16 months), and only one of the patients registered a relapse of the disease in this period. A reduction of relapses suffered by patients has been shown after the treatment began (3,6 relapses/year in the previous year to the start of the treatment versus 0,1 relapses/year during the first year post-rituximab). The relapse-free survival in the first year reached 83,3% in patients who suffered more than one relapse (75% of patients), and without a relapse after the treatment began in 2 cases. One or more drugs could be removed in 87,5% of patients after the first cycle of rituximab. After the rituximab treatment, we reached a 96,5% decrease in the corticosteroids doses administered (28,5 mg/m2/day during the 3 months pre-treatment versus 1 mg/m2/day in the last 3 months of patient monitoring). Not a significant observed adverse effect attributed to the drug after the post-rituximab monitoring period (median 46,5 months, range 5-97 months).\nCONCLUSION: The favorable results reported after rituximab treatment in our patients seems to confirm the effectiveness of this drug in the steroid-dependent nephrotic syndrome, making that therapeutic option into consideration and legitimating the use of the drug in complex cases involving pediatric patients. Even so, it seems recommendable to design pertinent studies to clarify, among others, the optimum regimen of the treatment (dose, interval and cycles), clinical repercussion and potential adverse effects in long terms.","container-title":"Anales De Pediatria","DOI":"10.1016/j.anpede.2020.12.019","ISSN":"2341-2879","issue":"2","journalAbbreviation":"An Pediatr (Engl Ed)","language":"eng","note":"PMID: 35144901","page":"83-90","source":"PubMed","title":"Rituximab treatment in pediatric patients with steroid-dependent nephrotic syndrome: A tertiary hospital","title-short":"Rituximab treatment in pediatric patients with steroid-dependent nephrotic syndrome","volume":"96","author":[{"family":"Guzmán Morais","given":"Beatriz"},{"family":"Ordóñez Álvarez","given":"Flor Ángel"},{"family":"Santos Rodríguez","given":"Fernando"},{"family":"Martín Ramos","given":"Silvia"},{"family":"Fernández Novo","given":"Gema"}],"issued":{"date-parts":[["2022",2]]}}},{"id":41,"uris":["http://zotero.org/users/local/lvPLY4Gu/items/CUFL48RY"],"itemData":{"id":41,"type":"article-journal","abstract":"BACKGROUND: Rituximab is the standard therapy for childhood-onset complicated frequently relapsing or steroid-dependent nephrotic syndrome (FRNS/SDNS). However, most patients redevelop FRNS/SDNS after peripheral B cell recovery.\nMETHODS: We conducted a multicenter, randomized, double-blind, placebo-controlled trial to examine whether mycophenolate mofetil (MMF) administration after rituximab can prevent treatment failure (FRNS, SDNS, steroid resistance, or use of immunosuppressive agents or rituximab). In total, 39 patients (per group) were treated with rituximab, followed by either MMF or placebo until day 505 (treatment period). The primary outcome was time to treatment failure (TTF) throughout the treatment and follow-up periods (until day 505 for the last enrolled patient).\nRESULTS: TTFs were clinically but not statistically significantly longer among patients given MMF after rituximab than among patients receiving rituximab monotherapy (median, 784.0 versus 472.5 days, hazard ratio [HR], 0.59; 95% confidence interval [95% CI], 0.34 to 1.05, log-rank test: P=0.07). Because most patients in the MMF group presented with treatment failure after MMF discontinuation, we performed a post-hoc analysis limited to the treatment period and found that MMF after rituximab prolonged the TTF and decreased the risk of treatment failure by 80% (HR, 0.20; 95% CI, 0.08 to 0.50). Moreover, MMF after rituximab reduced the relapse rate and daily steroid dose during the treatment period by 74% and 57%, respectively. The frequency and severity of adverse events were similar in both groups.\nCONCLUSIONS: Administration of MMF after rituximab may sufficiently prevent the development of treatment failure and is well tolerated, although the relapse-preventing effect disappears after MMF discontinuation.","container-title":"Journal of the American Society of Nephrology: JASN","DOI":"10.1681/ASN.2021050643","ISSN":"1533-3450","issue":"2","journalAbbreviation":"J Am Soc Nephrol","language":"eng","note":"PMID: 34880074\nPMCID: PMC8819987","page":"401-419","source":"PubMed","title":"Mycophenolate Mofetil after Rituximab for Childhood-Onset Complicated Frequently-Relapsing or Steroid-Dependent Nephrotic Syndrome","volume":"33","author":[{"family":"Iijima","given":"Kazumoto"},{"family":"Sako","given":"Mayumi"},{"family":"Oba","given":"Mari"},{"family":"Tanaka","given":"Seiji"},{"family":"Hamada","given":"Riku"},{"family":"Sakai","given":"Tomoyuki"},{"family":"Ohwada","given":"Yoko"},{"family":"Ninchoji","given":"Takeshi"},{"family":"Yamamura","given":"Tomohiko"},{"family":"Machida","given":"Hiroyuki"},{"family":"Shima","given":"Yuko"},{"family":"Tanaka","given":"Ryojiro"},{"family":"Kaito","given":"Hiroshi"},{"family":"Araki","given":"Yoshinori"},{"family":"Morohashi","given":"Tamaki"},{"family":"Kumagai","given":"Naonori"},{"family":"Gotoh","given":"Yoshimitsu"},{"family":"Ikezumi","given":"Yohei"},{"family":"Kubota","given":"Takuo"},{"family":"Kamei","given":"Koichi"},{"family":"Fujita","given":"Naoya"},{"family":"Ohtsuka","given":"Yasufumi"},{"family":"Okamoto","given":"Takayuki"},{"family":"Yamada","given":"Takeshi"},{"family":"Tanaka","given":"Eriko"},{"family":"Shimizu","given":"Masaki"},{"family":"Horinochi","given":"Tomoko"},{"family":"Konishi","given":"Akihide"},{"family":"Omori","given":"Takashi"},{"family":"Nakanishi","given":"Koichi"},{"family":"Ishikura","given":"Kenji"},{"family":"Ito","given":"Shuichi"},{"family":"Nakamura","given":"Hidefumi"},{"family":"Nozu","given":"Kandai"},{"literal":"Japanese Study Group of Kidney Disease in Children"}],"issued":{"date-parts":[["2022",2]]}}},{"id":43,"uris":["http://zotero.org/users/local/lvPLY4Gu/items/F6Q8AAMR"],"itemData":{"id":43,"type":"article-journal","abstract":"BACKGROUND: Hypogammaglobulinemia is a major adverse effect from rituximab. However, the association between rituximab-induced hypogammaglobulinemia and infection frequency is unknown.\nMETHODS: Patients who received rituximab for complicated nephrotic syndrome between February 2006 and October 2020 were enrolled in this retrospective observational study. Infections requiring antibacterial or antiviral agents or hospitalization were identified, and the characteristics of infections were compared according to infection type.\nRESULTS: One hundred and forty patients were enrolled. Fifty infection events were detected in 36 patients, 45 infection events in 32 patients required hospitalization, and 1 severe infection event required intensive care unit admission. In eight patients who developed severe hypogammaglobulinemia (serum IgG level &lt; 200 mg/dL) for more than 1 year after rituximab treatment, eight infections occurred in six patients; six of these infections did not occur during the period of severe hypogammaglobulinemia. Febrile neutropenia accounted for 54.2% (13/24) of all infections among the patients with hypogammaglobulinemia. The incidence of infections was 0.028 (95% confidence interval = 0.017-0.448), 0.071 (95% [CI] = 0.041-0.114), and 0.096 (95% [CI] = 0.019-0.282) patient-years in patients with normal serum IgG levels and those with mild and severe hypogammaglobulinemia, respectively. Immunoglobulin replacement therapy was not administered to any patients except for the treatment of infection.\nCONCLUSIONS: Our results showed no statistically significant association between hypogammaglobulinemia severity and infection rate. In addition, the frequency of infection was relatively low even in patients with severe hypogammaglobulinemia, suggesting that immunoglobulin replacement therapy may not be necessary for rituximab-treated patients with severe hypogammaglobulinemia. A higher resolution version of the Graphical abstract is available as Supplementary information.","container-title":"Pediatric Nephrology (Berlin, Germany)","DOI":"10.1007/s00467-022-05652-9","ISSN":"1432-198X","issue":"2","journalAbbreviation":"Pediatr Nephrol","language":"eng","note":"PMID: 35748947","page":"451-460","source":"PubMed","title":"The association between hypogammaglobulinemia severity and infection risk in rituximab-treated patients with childhood-onset idiopathic nephrotic syndrome","volume":"38","author":[{"family":"Inoki","given":"Yuta"},{"family":"Nishi","given":"Kentaro"},{"family":"Sato","given":"Mai"},{"family":"Ogura","given":"Masao"},{"family":"Kamei","given":"Koichi"}],"issued":{"date-parts":[["2023",2]]}}},{"id":45,"uris":["http://zotero.org/users/local/lvPLY4Gu/items/WATQ93ZD"],"itemData":{"id":45,"type":"article-journal","abstract":"BACKGROUND: Nephrotic syndrome is a clinical syndrome defined by massive proteinuria (greater than 40 mg/m2/hour) responsible for hypoalbuminemia (less than 30 g/L) resulting in oedema and hyperlipidaemia. Objective of the study was to compare the frequency of relapse rate with short and long duration steroid therapy in Nephrotic syndrome. It was a Quasiexperimental control group design, conducted at the Department of Paediatric Nephrology, The Children's Hospital and Institute of Child Health, Lahore. Duration of study: One year.\nMETHODS: The data of 150 patients with steroid sensitive nephrotic syndrome was included with clinical presentation and diagnostic investigations. The children were randomly divided into long and short duration steroid treatment groups. Outcome was determined in terms of relapse rate after achieving remission with both treatment strategies. Independent sample t test was applied to compare the outcome in both groups with p≤0.05 considered as significant. Data was stratified for all the effect modifiers like age and gender and poststratification chi square test was applied to see the effect on the outcome, taking p≤0.05 as significant.\nRESULTS: The relapse rate of the disease was 0.8±0.72 per year in short-duration group and 1.28±0.61 per year in subjects receiving long-duration steroids, and difference between the two groups was found to be statistically significant (p&lt;0.001). The relapse rate was less in the short duration therapy group as compared to the long duration therapy 62.7% (n=47) patients in group A had one or more relapses of the disease within one year of follow up in contrast to 94.7% (n=71) children in group B (p&lt;0.001).\nCONCLUSIONS: Patients receiving short duration steroid therapy showed a lower relapse rate as compared to those who were administered long term steroids.","container-title":"Journal of Ayub Medical College, Abbottabad: JAMC","DOI":"10.55519/JAMC-02-9324","ISSN":"1819-2718","issue":"2","journalAbbreviation":"J Ayub Med Coll Abbottabad","language":"eng","note":"PMID: 35576290","page":"300-303","source":"PubMed","title":"Outcome Of Short And Long Duration Steroid Therapy In Childhood Nephrotic Syndrome In Terms Of Frequency Of Relapse Rate","volume":"34","author":[{"family":"Jamshaid","given":"Abdul Ahad"},{"family":"Akhtar","given":"Naureen"},{"family":"Adnan","given":"Aneeqa"},{"family":"Perveen","given":"Shahida"},{"family":"Chaudhry","given":"Adeela"},{"family":"Fatima","given":"Tehreem"}],"issued":{"date-parts":[["2022"]]}}},{"id":47,"uris":["http://zotero.org/users/local/lvPLY4Gu/items/8PUW9WQT"],"itemData":{"id":47,"type":"article-journal","abstract":"BACKGROUND: Early morning single-dose prednisolone has a hypothetical advantage of less hypothalamic-pituitary-adrenal (HPA) axis suppression, but lack of robust evidence has resulted in variation in practice, with divided-dose prednisolone still commonly used. We conducted this open-label randomized control trial to compare HPA axis suppression between single-dose or divided-dose prednisolone among children with first episode of nephrotic syndrome.\nMETHODS: Sixty children with first episode of nephrotic syndrome were randomized (1:1) to receive prednisolone (2 mg/kg per day), either as single or two divided doses for 6 weeks, followed by single alternative daily dose of 1.5 mg/kg for 6 weeks. The Short Synacthen Test was conducted at 6 weeks, with HPA suppression defined as postadrenocorticotropic hormone cortisol &lt;18 µ mg/dl.\nRESULTS: Four children (single=1 and divided dose=3) did not attend the Short Synacthen Test and were hence excluded from analysis. Remission was induced in all, and no relapse postremission was noted during the 6+6 weeks of steroid therapy. After 6 weeks of daily steroids, HPA suppression was greater in divided (100%) versus single dose (83%) ( P = 0.02). Time to remission and final relapse rates were similar, but for those children who relapsed within 6 months of follow-up period, time to first relapse was shorter for divided dose (median 28 versus 131 days) P = 0.002.\nCONCLUSIONS: Among children with first episode of nephrotic syndrome, single-dose and/or divided-dose prednisolone were equally effective in inducing remission with similar relapse rates, but single dose had less HPA suppression and longer time to first relapse.\nCLINICAL TRIAL REGISTRY NAME AND REGISTRATION NUMBER: CTRI/2021/11/037940.\nPODCAST: This article contains a podcast at https://dts.podtrac.com/redirect.mp3/www.asn-online.org/media/podcast/CJASN/2023_10_09_CJN0000000000000216.mp3.","container-title":"Clinical journal of the American Society of Nephrology: CJASN","DOI":"10.2215/CJN.0000000000000216","ISSN":"1555-905X","issue":"10","journalAbbreviation":"Clin J Am Soc Nephrol","language":"eng","note":"PMID: 37335578\nPMCID: PMC10578634","page":"1294-1299","source":"PubMed","title":"Single- versus Divided-Dose Prednisolone for the First Episode of Nephrotic Syndrome in Children: An Open-Label RCT","title-short":"Single- versus Divided-Dose Prednisolone for the First Episode of Nephrotic Syndrome in Children","volume":"18","author":[{"family":"Khan","given":"Tania"},{"family":"Akhtar","given":"Shakil"},{"family":"Mukherjee","given":"Devdeep"},{"family":"Basu","given":"Surupa"},{"family":"Tse","given":"Yincent"},{"family":"Sinha","given":"Rajiv"}],"issued":{"date-parts":[["2023",10,1]]}}},{"id":49,"uris":["http://zotero.org/users/local/lvPLY4Gu/items/UNIYHJLA"],"itemData":{"id":49,"type":"article-journal","abstract":"BACKGROUND: Optimal steroid treatment at onset of idiopathic nephrotic syndrome is still debated. The aim of this study was to analyze the clinical outcome at 24 months of follow-up in patients admitted to our unit for the first episode of steroid-sensitive nephrotic syndrome comparing two different steroid regimens.\nMETHODS: We collected data on patients treated from 1992 to 2007 with prednisone according to the International Study on Kidney Diseases in Children 8-week regimen and since 2008 according to the Arbeitsgemeinschaft fur Padiatrische Nephrologie 12-week regimen. The primary outcome was to evaluate cumulative prednisone dosage at 12 and 24 months of follow-up in the two groups. As secondary outcomes, we considered mean relapse rate per patient; number of children without relapses at 6, 12, and 24 months; and number of patients who developed frequent relapses and steroid-dependent disease.\nRESULTS: Data were collected on 127 patients. Sixty-one subjects received the 8-week regimen and 66 the 12-week regimen. The mean cumulative prednisone dose at 12 and 24 months was not different, and the rate of patients without relapses was lower at 6 and 12 months in patients treated with the 8-week course, while no difference was observed at 24 months.\nCONCLUSIONS: Despite the limitations of a retrospective study with limited follow-up, our data indicate that switching treatment from a shorter to a longer scheme did not improve the clinical outcome at 24 months of observation. A higher resolution version of the Graphical abstract is available as Supplementary information.","container-title":"Pediatric Nephrology (Berlin, Germany)","DOI":"10.1007/s00467-022-05824-7","ISSN":"1432-198X","issue":"7","journalAbbreviation":"Pediatr Nephrol","language":"eng","note":"PMID: 36434353","page":"2101-2106","source":"PubMed","title":"Treatment of idiopathic nephrotic syndrome at onset: a comparison between 8- and 12-week regimens in everyday clinical practice","title-short":"Treatment of idiopathic nephrotic syndrome at onset","volume":"38","author":[{"family":"Lucchetti","given":"Laura"},{"family":"Gatto","given":"Antonio"},{"family":"Gianviti","given":"Alessandra"},{"family":"Vivarelli","given":"Marina"},{"family":"Emma","given":"Francesco"},{"family":"Massella","given":"Laura"}],"issued":{"date-parts":[["2023",7]]}}},{"id":51,"uris":["http://zotero.org/users/local/lvPLY4Gu/items/T58P38PM"],"itemData":{"id":51,"type":"article-journal","abstract":"INTRODUCTION: There may be a role of reducing the total steroid doses for the treatment of relapses of nephrotic syndrome in children with milder and more stable disease. The primary objective of this study was to compare the effectiveness of a low-dose prednisolone regimen with standard therapy for the treatment of relapses in steroid-sensitive nephrotic syndrome (SSNS) at the end of treatment, the secondary objectives being time to remission and sustained remission after 3 months.\nMETHODS: This randomized controlled trial included a total of 40 children (20 in each group) with SSNS (presently infrequently relapsing course) and with a relapse. Both groups received prednisolone at a dose of 2 mg/kg/day until remission; subsequently, the patients in the study group received 1 mg/kg, and the control group participants received 1.5 mg/kg prednisolone on alternate days for 4 weeks. The patients were followed up till 3 months after stopping the therapy.\nRESULTS: The median (IQR) age of children enrolled was 7.5 (range: 5-9.65) years, and the age at onset of nephrotic syndrome was 4 (range: 2.3-5.5) years. The median time to achieve remission was 9 days (comparable in low dose vs. standard therapy group; P = 0.14). All patients were in remission at the end of therapy; 85% of patients were in the low-dose group and 90% in the standard therapy group after 1 month (P = 0.32). At the end of 3 months, 60% continued to be in remission in the low-dose group and 65% with standard therapy (P = 0.37). Hazard ratios for relapse at the end of 1, 2, and 3 months were 1.05, 1.08, and 1.13, respectively. Patients who were infrequently relapsing (79%) from the onset of nephrotic syndrome had higher remission rates at the end of 3 months (80% in the low-dose group vs. 76.9% in the standard therapy group). Hazard ratios for relapse in these patients at the end of 1, 2, and 3 months were 1.01, 1.03, and 1.08, respectively.\nCONCLUSIONS: Lower doses of prednisolone can be used for the treatment of relapse of steroid sensitive nephrotic syndrome, with an infrequently relapsing course.","container-title":"Indian Journal of Nephrology","DOI":"10.4103/ijn.ijn_463_21","ISSN":"0971-4065","issue":"6","journalAbbreviation":"Indian J Nephrol","language":"eng","note":"PMID: 36704589\nPMCID: PMC9872916","page":"588-594","source":"PubMed","title":"Effectiveness of a Low Dose Prednisolone Regimen for Treatment of Relapses in Children with Steroid Sensitive Nephrotic Syndrome","volume":"32","author":[{"family":"Mantan","given":"Mukta"},{"family":"Kansal","given":"Aparajita"},{"family":"Swarnim","given":"Swarnim"}],"issued":{"date-parts":[["2022"]]}}},{"id":54,"uris":["http://zotero.org/users/local/lvPLY4Gu/items/FKC3FM2X"],"itemData":{"id":54,"type":"article-journal","abstract":"BACKGROUND: Rituximab and tacrolimus are therapies reserved for patients with frequently relapsing or steroid-dependent nephrotic syndrome who have failed conventional steroid-sparing agents. Given their toxicities, demonstrating non-inferiority of rituximab to tacrolimus may enable choice between these medications.\nMETHODS: This investigator-initiated, single-center, open-label, pilot randomized controlled trial examined the non-inferiority of two doses of intravenous (IV) rituximab given one-week apart to oral therapy with tacrolimus (1:1 allocation), in maintaining sustained remission over 12 months follow-up, in patients with difficult-to-treat steroid-sensitive nephrotic syndrome, defined as frequently relapsing or steroid-dependent disease that had failed ≥ 2 steroid-sparing strategies. Secondary outcomes included frequency of relapses, proportion with frequent relapses, time to relapse and frequent relapses, and adverse events (CTRI/2018/11/016342).\nRESULTS: Baseline characteristics were comparable for 41 patients randomized to receive rituximab (n = 21) or tacrolimus (n = 20). While 55% of patients in each limb were in sustained remission at 1 year, non-inferiority of rituximab to tacrolimus was not demonstrated (mean difference 0%; 95% CI - 30.8%, 30.8%; non-inferiority limit - 20%; P = 0.50). Frequent relapses were more common in patients administered rituximab compared to tacrolimus (risk difference 30%, 95% CI 7.0, 53.0, P = 0.023). Both groups showed similar reductions in relapse rates and prednisolone use. Common adverse events were infusion-related with rituximab and gastrointestinal symptoms with tacrolimus.\nCONCLUSIONS: Therapy with rituximab was not shown to be non-inferior to 12-months treatment with tacrolimus in maintaining remission in patients with difficult-to-treat steroid-sensitive nephrotic syndrome. Frequent relapses were more common with rituximab. While effective, both agents require close monitoring for adverse events. A higher resolution version of the Graphical abstract is available as Supplementary information.","container-title":"Pediatric Nephrology (Berlin, Germany)","DOI":"10.1007/s00467-022-05475-8","ISSN":"1432-198X","issue":"12","journalAbbreviation":"Pediatr Nephrol","language":"eng","note":"PMID: 35286456\nPMCID: PMC8919684","page":"3117-3126","source":"PubMed","title":"Efficacy of rituximab versus tacrolimus in difficult-to-treat steroid-sensitive nephrotic syndrome: an open-label pilot randomized controlled trial","title-short":"Efficacy of rituximab versus tacrolimus in difficult-to-treat steroid-sensitive nephrotic syndrome","volume":"37","author":[{"family":"Mathew","given":"Georgie"},{"family":"Sinha","given":"Aditi"},{"family":"Ahmed","given":"Aijaz"},{"family":"Grewal","given":"Neetu"},{"family":"Khandelwal","given":"Priyanka"},{"family":"Hari","given":"Pankaj"},{"family":"Bagga","given":"Arvind"}],"issued":{"date-parts":[["2022",12]]}}},{"id":57,"uris":["http://zotero.org/users/local/lvPLY4Gu/items/8KFUJDLR"],"itemData":{"id":57,"type":"article-journal","abstract":"INTRODUCTION: Frequent relapses and steroid dependence are common treatment challenges of steroid-sensitive nephrotic syndrome (SSNS) in children. Acute respiratory infection (ARI) is the most frequently reported trigger of relapse. Given the role of zinc supplementation in preventing ARI, some studies show that this targeted intervention may reduce relapses in childhood SSNS.\nAIM: This systematic review aimed to determine if oral zinc supplementation can significantly reduce relapses in this disease.\nMETHODS: We searched the PubMed and Google Scholar electronic databases for interventional and observational analytical studies without limiting their year or language of publication. We selected studies with primary data that met our inclusion criteria, screened their titles and abstracts, and removed duplicates. We used a preconceived structured form to extract data items from selected studies and conducted a quality assessment of randomized controlled trials (RCTs) and non-randomized studies with the Cochrane collaboration tool and the Newcastle Ottawa Scale, respectively. We qualitatively synthesized the extracted data to validate the review's objective.\nRESULTS: Eight full-text articles were selected, comprising four RCTs and four observational analytical studies. Two of the RCTs had a high risk of bias in three parameters of the Cochrane collaboration tool, while three non-randomized studies had low methodological quality. A total of 621 pediatric patients with SSNS were investigated in the eight studies: six participants dropped out in one study. Three RCTs indicate that zinc supplementation may lead to sustained remission or reduction in relapse rate. Similarly, three observational analytical studies suggest a significant relationship between reduced serum zinc levels and disease severity.\nCONCLUSION: Despite the association of zinc deficiency with increased morbidity in SSNS and the reduction of relapse rates with zinc supplementation, there is no robust evidence to recommend its use as a therapeutic adjunct. We recommend more adequately-powered RCTs to strengthen the current evidence.","container-title":"International Journal of Nephrology and Renovascular Disease","DOI":"10.2147/IJNRD.S403699","ISSN":"1178-7058","journalAbbreviation":"Int J Nephrol Renovasc Dis","language":"eng","note":"PMID: 37101939\nPMCID: PMC10124555","page":"143-153","source":"PubMed","title":"Can Oral Zinc Supplementation Reduce Relapses in Childhood Steroid-Sensitive Nephrotic Syndrome? A Systematic Review","title-short":"Can Oral Zinc Supplementation Reduce Relapses in Childhood Steroid-Sensitive Nephrotic Syndrome?","volume":"16","author":[{"family":"Mbanefo","given":"Ngozi R."},{"family":"Uwaezuoke","given":"Samuel N."},{"family":"Eneh","given":"Chizoma I."},{"family":"Odimegwu","given":"Chioma L."},{"family":"Chikani","given":"Ugo N."},{"family":"Muoneke","given":"Uzoamaka V."},{"family":"Nwolisa","given":"Charles E."},{"family":"Odo","given":"Kenneth E."},{"family":"Ogbuka","given":"Francis N."},{"family":"Akwue","given":"Anthony T."}],"issued":{"date-parts":[["2023"]]}}},{"id":60,"uris":["http://zotero.org/users/local/lvPLY4Gu/items/3I9WWT45"],"itemData":{"id":60,"type":"article-journal","abstract":"Idiopathic nephrotic syndrome (INS) is the most common cause of NS in children. It is characterized by the existence of edema, proteinuria, and hypoalbuminemia, as well as repeated relapses. The etiology remains unknown, but new evidence for its pathogenesis relates to the dysfunction of T-regulatory (T-reg) cells, which could be caused by dysbiosis of the gut microbiota. Our study aimed to investigate the effect of prebiotics and probiotics as adjuvant therapies for children with relapsing INS. The study was designed as a prospective open-label randomized clinical trial involving 30 children diagnosed with relapsing INS. The children were randomly divided into two groups. Group 1 was treated with prednisone only, and Group 2 was treated with prebiotics and probiotics in addition to prednisone. Fresh stool samples were collected from the children. Lactobacillus species were isolated and identified by conventional microbiological methods. The total number of Lactobacillus species was counted for each stool sample. The population of T-reg cells in the peripheral blood mononuclear cells was analyzed using flow cytometry. Children treated with prebiotics and probiotics in addition to steroids showed a significant increase in T-reg cells (CD4+/CD25+/FOXp3+) in the peripheral blood and a higher count of Lactobacillus species in their stool alongside a significant decrease in the rate of relapses in this group compared with Group 1. Treatment with prebiotics and probiotics signi-ficantly increased T-reg cells and decreased the rate of relapse in INS.","container-title":"Saudi Journal of Kidney Diseases and Transplantation: An Official Publication of the Saudi Center for Organ Transplantation, Saudi Arabia","DOI":"10.4103/1319-2442.384189","ISSN":"1319-2442","issue":"Supplement","journalAbbreviation":"Saudi J Kidney Dis Transpl","language":"eng","note":"PMID: 37675747","page":"S169-S178","source":"PubMed","title":"The Role of Prebiotics and Probiotics as an Adjuvant Therapy in Children with Idiopathic Relapsing Nephrotic Syndrome: A Prospective Open-label Clinical Trial","title-short":"The Role of Prebiotics and Probiotics as an Adjuvant Therapy in Children with Idiopathic Relapsing Nephrotic Syndrome","volume":"33","author":[{"family":"Mohammed","given":"Rehab Ahmed"},{"family":"Hussein","given":"Sherin Khamis"},{"family":"Gaber","given":"Sylvana Nady"},{"family":"Ahmed","given":"null"},{"family":"Abonaga","given":"Fatma"},{"family":"Abdelfattah","given":"Walaa"},{"family":"Said","given":"Eman Sayed"},{"family":"Boushra","given":"Amy Fakhry"}],"issued":{"date-parts":[["2022",8]]}}},{"id":62,"uris":["http://zotero.org/users/local/lvPLY4Gu/items/NQZYGD4F"],"itemData":{"id":62,"type":"article-journal","abstract":"BACKGROUND: Children with frequently relapsing (FR) or steroid dependent (SD) nephrotic syndrome (NS) often develop side effects of corticosteroids. Various steroid-sparing agents are in practice, but only a few studies exist so far which have compared the safety and efficacy of these two commonly used agents.\nMETHODS: We did a retrospective medical records review of children with FRNS or SDNS who had levamisole or mycophenolate mofetil (MMF) as a steroid-sparing agent with a minimum follow-up period of 12 months. The aim was to compare the course of our patients on MMF and levamisole. Our primary objective was to determine the number of children in sustained remission and those with the infrequently relapsing course on levamisole and MMF and, the median time to relapse in months in the two groups. The secondary objective was to compare time to first relapse and number of relapses in FRNS and SDNS group children on MMF and levamisole.\nRESULTS: A total of 88 children (34% female) with diagnosis FR/SDNS (44 each) were included in the study. Thirty-nine patients took levamisole, while 49 received MMF therapy. The median age of presentation at the relapsing course was 4.2 years. The proportion of children with sustained remission or infrequent relapsing (IFR) course on MMF was 73.6%, compared to 48.71% on levamisole (p-value .015). In addition, the median time to first relapse was 12 months (24, 1.5) and 4.5 months (24, 1) on respective medications.\nCONCLUSION: Clinical outcome was superior in the MMF group than levamisole, especially in SDNS patients, and also MMF was more efficacious in maintaining sustained remission.","container-title":"Nephrology (Carlton, Vic.)","DOI":"10.1111/nep.14067","ISSN":"1440-1797","issue":"9","journalAbbreviation":"Nephrology (Carlton)","language":"eng","note":"PMID: 35619554","page":"758-762","source":"PubMed","title":"Clinical efficacy of mycophenolate mofetil versus levamisole therapy in frequently relapsing and steroid dependent childhood nephrotic syndrome - A retrospective comparative analysis","volume":"27","author":[{"family":"Sharma","given":"Sonia"},{"family":"Kalra","given":"Suprita"},{"family":"Shukla","given":"Shubham"},{"family":"Sharma","given":"Peeyush"}],"issued":{"date-parts":[["2022",9]]}}},{"id":64,"uris":["http://zotero.org/users/local/lvPLY4Gu/items/66H3QDAT"],"itemData":{"id":64,"type":"article-journal","abstract":"BACKGROUND: Effectiveness of rituximab in pediatric idiopathic nephrotic syndrome suggests that B cells play a pathogenic role. We tested safety and efficacy of the B-cell-modulating agent belimumab in frequently relapsing nephrotic syndrome (FRNS).\nMETHODS: An open-label, prospective, single-arm pilot study (EUDRACT 2017-003839-11) was designed to treat 10 children with FRNS with i.v. belimumab for 12 months. Prednisone was tapered/stopped. Safety, number of relapses, cumulative prednisone dose and B-cell subset \"levels\" are referred to both B cell subset and immunoglobulin.\nRESULTS: Five patients were enrolled, and four reached the primary 6-month endpoint. Of these, two completed the 12-month endpoint. Three patients experienced ≥2 relapses while on belimumab, requiring additional immunosuppression. Compared to the 6 months before belimumab treatment, the mean number of relapses (1.4 vs. 2, p=0.21) and the mean cumulative prednisone dose (1.86 vs. 2.62 g/m2, p=0.17) were not significantly reduced during the 6 months on belimumab. This study was terminated by the steering committee after the interim evaluation because belimumab failed to show clear benefits to counterbalance the inconvenience of monthly i.v. infusion. During follow-up, total and mature-naïve B cells decreased, while no change in memory B-cells was observed. Serum immunoglobulins remained stable. No infusion reaction was observed.\nCONCLUSIONS: Short-term treatment with belimumab in pediatric FRNS was well tolerated. The number of patients was too small to draw conclusions on efficacy. Nonetheless, we did not observe clear improvements. The burden of monthly in-hospital i.v. infusions outweighed potential benefits. Persistence of circulating memory B cells supports their pathogenic role in the disease. A higher resolution version of the Graphical abstract is available as Supplementary information.","container-title":"Pediatric Nephrology (Berlin, Germany)","DOI":"10.1007/s00467-021-05175-9","ISSN":"1432-198X","issue":"2","journalAbbreviation":"Pediatr Nephrol","language":"eng","note":"PMID: 34383126","page":"377-383","source":"PubMed","title":"Belimumab for the treatment of children with frequently relapsing nephrotic syndrome: the BELNEPH study","title-short":"Belimumab for the treatment of children with frequently relapsing nephrotic syndrome","volume":"37","author":[{"family":"Vivarelli","given":"Marina"},{"family":"Colucci","given":"Manuela"},{"family":"Gargiulo","given":"Antonio"},{"family":"Bettini","given":"Chiara"},{"family":"Lo Russo","given":"Anna"},{"family":"Emma","given":"Francesco"}],"issued":{"date-parts":[["2022",2]]}}},{"id":66,"uris":["http://zotero.org/users/local/lvPLY4Gu/items/D4N4LFA6"],"itemData":{"id":66,"type":"article-journal","abstract":"INTRODUCTION: Frequently-relapsing/steroid-dependent nephrotic syndrome (FRSDNS) leads to steroid toxicity impairing quality of life (QOL), thus prompting the use of steroid-sparing drugs.\nMETHODS: 51 FRSDNS children not previously treated with steroid-sparing agents were randomized to receive rituximab, cyclophosphamide, or tacrolimus. Clinical findings and QOL were evaluated before and after treatment.\nRESULTS: The mean relapse rate in all groups declined six months after treatment, however, 1-year relapse-free survival rate, number of relapses, and cumulative prednisolone dosage were lower with rituximab than with tacrolimus and cyclophosphamide. Cyclophosphamide group had twice frequency of infections compared to the other groups. At 1 year after treatment, total scores showed greater improvement with rituximab.\nCONCLUSIONS: As first-line steroid-sparing agent, rituximab is more effective and safer than cyclophosphamide and tacrolimus in FRSDNS, and improve QOL.","container-title":"Archives of medical science: AMS","DOI":"10.5114/aoms/145587","ISSN":"1734-1922","issue":"1","journalAbbreviation":"Arch Med Sci","language":"eng","note":"PMID: 35154548\nPMCID: PMC8826811","page":"275-278","source":"PubMed","title":"Comparison of rituximab, cyclophosphamide, and tacrolimus as first steroid-sparing agents for complicated relapsing/steroid-dependent nephrotic syndrome in children: an evaluation of the health-related quality of life","title-short":"Comparison of rituximab, cyclophosphamide, and tacrolimus as first steroid-sparing agents for complicated relapsing/steroid-dependent nephrotic syndrome in children","volume":"18","author":[{"family":"Wang","given":"Li"},{"family":"Zhu","given":"Jialiang"},{"family":"Xia","given":"Mingyun"},{"family":"Hua","given":"Ran"},{"family":"Deng","given":"Fang"}],"issued":{"date-parts":[["2022"]]}}},{"id":69,"uris":["http://zotero.org/users/local/lvPLY4Gu/items/I3HE5M4T"],"itemData":{"id":69,"type":"article-journal","abstract":"BACKGROUND: Current first-line anti-proteinuric treatments do not produce a satisfactory therapeutic effect in a considerable number of patients with nephrotic syndrome (NS). Interest in adrenocorticotropic hormone (ACTH) for the treatment of NS has recently been revived. The present study investigated the efficacy and safety of ACTH treatment in children with frequent relapsing NS (FRNS), steroid-dependent NS (SDNS), and steroid-resistant NS (SRNS).\nMETHOD: The ACTH treatment group was comprised of NS patients receiving ACTH treatment. Patients with serum cortisol concentrations &lt;85.3 nmol/L and who had not received ACTH treatment previously were enrolled in the control group from January 2018 to January 2021. The maintenance dose of prednisone, the number of disease recurrences, the time of first disease relapse, immunosuppressant use, serum cortisol levels, and adverse events were recorded in both groups.\nRESULTS: Fifty-one patients were included in the ACTH group, and twenty-one patients were enrolled in the control group. Concurrent treatment with one or more immunosuppressive and/or cytotoxic treatments occurred in 92.2% and 85.7% of patients in the ACTH and control groups, respectively, throughout the study period. A greater reduction in the prednisone maintenance dose was observed in the ACTH group compared with the control group after 1 year of follow up (0.603 ± 0.445 mg/kg vs. 0.267 ± 0.500 mg/kg, p = 0.006). During the one-year study period, fewer participants experienced one or more disease relapses in the ACTH group (45.1%) compared to the control group (76.2%, odds ratio = 3.896, p = 0.016). The number of disease recurrences per patient in the ACTH group was less than that in the control group (median difference = -1, p = 0.006). The mean length of remission was 8.902 m and 7.905 m in the ACTH group and control group, respectively. A log-rank test showed a longer relapse free survival for patients in the ACTH group (p = 0.046), but the Breslow test showed no significant difference between groups (p = 0.104). Ten patients in the ACTH group successfully discontinued all drug therapies. No patients in the control group were able to discontinue drug therapy as of February 2022.\nCONCLUSION: ACTH, combined with multiple drugs, is effective at reducing the prednisone maintenance dose and may effectively prevent disease relapses in childhood NS.","container-title":"Frontiers in Pediatrics","DOI":"10.3389/fped.2023.1044075","ISSN":"2296-2360","journalAbbreviation":"Front Pediatr","language":"eng","note":"PMID: 36969288\nPMCID: PMC10036038","page":"1044075","source":"PubMed","title":"Real-word adrenocorticotropic hormone treatment for childhood-onset nephrotic syndrome","volume":"11","author":[{"family":"Wang","given":"Ying"},{"family":"Dang","given":"Xiqiang"},{"family":"Wu","given":"Xiaochuan"},{"family":"Li","given":"Yongzhen"},{"family":"He","given":"Qingnan"},{"family":"Li","given":"Xiaoyan"}],"issued":{"date-parts":[["2023"]]}}},{"id":72,"uris":["http://zotero.org/users/local/lvPLY4Gu/items/PIB2R6LK"],"itemData":{"id":72,"type":"article-journal","abstract":"Nephrotic syndrome is the commonest glomerular disease in childhood. It usually follows a relapsing and remitting course. Corticosteroids are the mainstay of treatment for both the first episode and subsequent relapses. This study was conducted at a single centre to compare the clinical response to a single dose vs. split dose of prednisolone in the treatment of relapses of childhood nephrotic syndrome. Children between the ages of 1 and 14 years admitted with a relapse of idiopathic steroid sensitive nephrotic syndrome from August 2019 to February 2020 were considered for recruitment. A block randomization method based on age was used for allocation. Patients randomised to group A received oral prednisolone at 60 mg/m2 as a single morning dose, while those randomised to group B received the same total dose as two divided doses, of which 2/3 was given in the morning and the rest in the evening. Treatment was continued until remission was achieved following which all patients were switched to alternate day prednisolone. An independent sample t test was used to compare the two groups. One hundred and four episodes of relapse occurring in 96 children were included of which 49 were treated with prednisolone as a split dose and 55 were treated with a single dose of prednisolone. The mean duration to achieve remission for the split-dose group was 8.02 days (SD 1.58) while it was 9.74 days (SD 3.72) for the single-dose group. This difference was statistically highly significant (t(102) = 3.004; p = 0.001; CI 0.58 to 2.86). There was no difference in the adverse events profile of the two groups.  Conclusion: The use of prednisolone as a split dose results in a shorter duration to achieve remission when compared to a single morning dose, resulting in a lower cumulative dose of prednisolone to achieve remission. What is Known: • Corticosteroids are the mainstay of treatment for childhood nephrotic syndrome. • Corticosteroids are given as a single dose in the morning to minimise adrenocortical suppression. What is New: • A more rapid attainment of remission can be achieved with a split dose of corticosteroids.","container-title":"European Journal of Pediatrics","DOI":"10.1007/s00431-023-04804-9","ISSN":"1432-1076","issue":"4","journalAbbreviation":"Eur J Pediatr","language":"eng","note":"PMID: 36757496","page":"1741-1747","source":"PubMed","title":"Single vs split dose of prednisolone in the treatment of relapses of childhood nephrotic syndrome","volume":"182","author":[{"family":"Weerasooriya","given":"W. a. L. K."},{"family":"Abeyagunawardena","given":"A. S."},{"family":"Thalgahagoda","given":"R. S."}],"issued":{"date-parts":[["2023",4]]}}},{"id":75,"uris":["http://zotero.org/users/local/lvPLY4Gu/items/DMD98NAD"],"itemData":{"id":75,"type":"article-journal","abstract":"OBJECTIVES: To study the efficacy and safety of repeated application of rituximab (RTX) at a low dose (200 mg/m2) versus the recommended dose (375 mg/m2) for remission maintenance in frequently relapsing nephrotic syndrome (FRNS) or steroid-dependent nephrotic syndrome (SDNS).\nMETHODS: A randomized controlled trial was conducted for 29 children with FRNS/SDNS who received systemic treatment in the Department of Nephrology, Anhui Provincial Children's Hospital, from September 2020 to December 2021. These children were divided into a recommended dose group (n=14) and a low dose group (n=15) using a random number table. The two groups were compared in terms of general characteristics, changes in CD19 expression after RTX treatment, number of relapses, glucocorticoid dose, adverse reactions of RTX, and hospital costs.\nRESULTS: After RTX treatment, both the low dose group and the recommended dose group achieved B-lymphocyte depletion and had significant reductions in the number of relapses and glucocorticoid dose (P&lt;0.05). The low dose group had a comparable clinical effect to the recommended dose group after RTX treatment (P&gt;0.05), and the low dose group had a significant reduction in hospital costs for the second, third, and fourth times of hospitalization (P&lt;0.05). There were no serious adverse reactions in either group during RTX treatment and late follow-up, and there was no significant difference in adverse reactions between the two groups (P&gt;0.05).\nCONCLUSIONS: Repeated RTX treatment at a low dose has comparable clinical efficacy and safety to that at the recommended dose and can significantly reduce the number of FRNS/SDNS relapses and the amount of glucocorticoids used, with little adverse effect throughout the treatment cycle. Therefore, it holds promise for clinical application.","container-title":"Zhongguo Dang Dai Er Ke Za Zhi = Chinese Journal of Contemporary Pediatrics","DOI":"10.7499/j.issn.1008-8830.2301026","ISSN":"1008-8830","issue":"6","journalAbbreviation":"Zhongguo Dang Dai Er Ke Za Zhi","language":"chi","note":"PMID: 37382130\nPMCID: PMC10321428","page":"606-611","source":"PubMed","title":"[Efficacy and safety of low-dose rituximab in treatment of pediatric nephrotic syndrome: a prospective randomized controlled trial]","title-short":"[Efficacy and safety of low-dose rituximab in treatment of pediatric nephrotic syndrome","volume":"25","author":[{"family":"Zhu","given":"Ying"},{"family":"Wu","given":"Ling"},{"family":"Wang","given":"Yun"},{"family":"Zhu","given":"Ya-Feng"},{"family":"Peng","given":"Yin"},{"family":"Fang","given":"Shao-Han"},{"family":"Zhang","given":"Luo-Dan"},{"family":"Deng","given":"Fang"}],"issued":{"date-parts":[["2023",6,15]]}}},{"id":77,"uris":["http://zotero.org/users/local/lvPLY4Gu/items/7VQVQ8GX"],"itemData":{"id":77,"type":"article-journal","abstract":"RATIONALE &amp; OBJECTIVE: Prednisone protocols for children with idiopathic nephrotic syndrome (INS) are generally similar in dose and duration, despite wide variations in time to response. We assessed the feasibility of a novel clinical treatment protocol characterized by a shorter duration and lower cumulative dose for children with early clinical response.\nSTUDY DESIGN: Nonrandomized pilot clinical trial.\nSETTING &amp; PARTICIPANTS: The study population included 59 children with newly diagnosed INS treated between 2014 and 2019 who responded to treatment within 8 days.\nINTERVENTION: The intervention group (n = 27) was treated with a response-adjusted protocol during which responders received an 8-week course of tapering doses of prednisone. The usual care group (n =32) was treated with the standard protocol (prednisone, 60 mg/m2/24 hours for 6 weeks, followed by 40 mg/m2/48 hours for 4 weeks, followed by a slow taper for a total of 24 weeks).\nOUTCOME: Consent rate, cumulative prednisone dose, the development of frequently relapsing or steroid-dependent nephrotic syndrome (FRNS or SDNS, respectively), relapses per year, treatment with steroid-sparing therapies, and adverse effects of steroid therapy over 3 years of follow-up observation.\nRESULTS: The consent rate was 88%. The mean cumulative steroid dose for the initial treatment was 70 mg/kg and 141 mg/kg (P &lt; 0.001) in the intervention and usual care groups, respectively. None of the patients in the intervention group relapsed while on faster steroid taper down. The occurrence of FRNS and SDNS in the intervention group was not statistically different than in the usual care group, hazard ratios were 0.80 (95% CI, 0.37-1.73) and 0.61 (95% CI, 0.30-1.27), respectively. The proportions of relapse-free patients were similar (P = 0.5), and adverse steroid events did not differ between the groups.\nLIMITATIONS: Lack of randomization and small sample size.\nCONCLUSIONS: These findings demonstrate the feasibility of a shortened duration of steroid dosing for INS when patients demonstrate an initial clinical response to treatment. A larger study is needed to characterize the relative efficacy and toxicity of this novel treatment regimen.\nFUNDING: This study received no funding.\nTRIAL REGISTRATION: Registered at ClinicalTrials.gov with study number NCTO2649413.","container-title":"American Journal of Kidney Diseases: The Official Journal of the National Kidney Foundation","DOI":"10.1053/j.ajkd.2022.04.007","ISSN":"1523-6838","issue":"4","journalAbbreviation":"Am J Kidney Dis","language":"eng","note":"PMID: 35659571","page":"473-482.e1","source":"PubMed","title":"A Clinical Response-Adjusted Steroid Treatment Protocol for Children With Newly Diagnosed Idiopathic Nephrotic Syndrome","volume":"80","author":[{"family":"Zion","given":"Elena"},{"family":"Borovitz","given":"Yael"},{"family":"Alfandary","given":"Hadas"},{"family":"Haskin","given":"Orly"},{"family":"Levi","given":"Shelly"},{"family":"Shoham","given":"Shoval"},{"family":"Davidovits","given":"Miriam"},{"family":"Dagan","given":"Amit"}],"issued":{"date-parts":[["2022",10]]}}},{"id":287,"uris":["http://zotero.org/users/local/lvPLY4Gu/items/3EEYZDFD"],"itemData":{"id":287,"type":"article-journal","abstract":"OBJECTIVES: To study the clinical effect of full-dose prednisone for 4 or 6 weeks in the treatment of children with primary nephrotic syndrome and its effect on recurrence.\nMETHODS: A prospective non-randomized controlled clinical trial was performed on 89 children who were hospitalized and diagnosed with incipient primary nephrotic syndrome from December 2017 to May 2019. The children were given prednisone of 2 mg/(kg·day) (maximum 60 mg) for 4 weeks (4-week group) or 6 weeks (6-week group), followed by 2 mg/(kg·day) (maximum 60 mg) every other day for 4 weeks and then a gradual reduction in dose until drug withdrawal. The children were regularly followed up for 1 year. The two groups were compared in terms of the indices including remission maintenance time and recurrence rate. A Cox regression analysis was used to assess the risk factors for recurrence.\nRESULTS: Within 3 months after prednisone treatment, the 4-week group had a significantly higher recurrence rate than the 6-week group (P&lt;0.05). After 1-year of follow-up, there was no significant difference between the two groups in the recurrence rate, remission maintenance time, and recurrence frequency (P&gt;0.05). The risk of recurrence increased in children with an onset age of ≥6 years or increased 24-hour urinary protein (P&lt;0.05).\nCONCLUSIONS: For the treatment of incipient primary nephrotic syndrome, full-dose prednisone regimen extended from 4 weeks to 6 weeks can reduce recurrence within 3 months. The children with an onset age of ≥6 years or a high level of urinary protein should be taken seriously in clinical practice, and full-dose prednisone treatment for 6 weeks is recommended to reduce the risk of recurrence.","container-title":"Zhongguo Dang Dai Er Ke Za Zhi = Chinese Journal of Contemporary Pediatrics","DOI":"10.7499/j.issn.1008-8830.2203029","ISSN":"1008-8830","issue":"8","journalAbbreviation":"Zhongguo Dang Dai Er Ke Za Zhi","language":"eng, chi","note":"PMID: 36036121\nPMCID: PMC9425869","page":"853-857","source":"PubMed","title":"Clinical effect of different prednisone regimens in the treatment of children with primary nephrotic syndrome and risk factors for recurrence","volume":"24","author":[{"family":"Geng","given":"Hai-Yun"},{"family":"Chen","given":"Chao-Ying"},{"family":"Tu","given":"Juan"},{"family":"Li","given":"Hua-Rong"},{"family":"Du","given":"Pei-Wei"},{"family":"Xia","given":"Hua"},{"family":"Yu","given":"Xiao-Ning"}],"issued":{"date-parts":[["2022",8,15]]}}}],"schema":"https://github.com/citation-style-language/schema/raw/master/csl-citation.json"} </w:instrText>
      </w:r>
      <w:r w:rsidR="00C42E25">
        <w:rPr>
          <w:rFonts w:cstheme="minorHAnsi"/>
          <w:color w:val="000000"/>
          <w:sz w:val="22"/>
          <w:szCs w:val="22"/>
          <w:shd w:val="clear" w:color="auto" w:fill="FFFFFF"/>
        </w:rPr>
        <w:fldChar w:fldCharType="separate"/>
      </w:r>
      <w:r w:rsidR="00642970" w:rsidRPr="00642970">
        <w:rPr>
          <w:rFonts w:ascii="Calibri" w:cs="Calibri"/>
          <w:color w:val="000000"/>
          <w:sz w:val="22"/>
        </w:rPr>
        <w:t>(10–33)</w:t>
      </w:r>
      <w:r w:rsidR="00C42E25">
        <w:rPr>
          <w:rFonts w:cstheme="minorHAnsi"/>
          <w:color w:val="000000"/>
          <w:sz w:val="22"/>
          <w:szCs w:val="22"/>
          <w:shd w:val="clear" w:color="auto" w:fill="FFFFFF"/>
        </w:rPr>
        <w:fldChar w:fldCharType="end"/>
      </w:r>
      <w:r w:rsidRPr="00D17944">
        <w:rPr>
          <w:rFonts w:cstheme="minorHAnsi"/>
          <w:color w:val="000000"/>
          <w:sz w:val="22"/>
          <w:szCs w:val="22"/>
          <w:shd w:val="clear" w:color="auto" w:fill="FFFFFF"/>
        </w:rPr>
        <w:t xml:space="preserve">, </w:t>
      </w:r>
      <w:r w:rsidR="00181BAF">
        <w:rPr>
          <w:rFonts w:cstheme="minorHAnsi"/>
          <w:color w:val="000000"/>
          <w:sz w:val="22"/>
          <w:szCs w:val="22"/>
          <w:shd w:val="clear" w:color="auto" w:fill="FFFFFF"/>
        </w:rPr>
        <w:t xml:space="preserve">and </w:t>
      </w:r>
      <w:r>
        <w:rPr>
          <w:rFonts w:cstheme="minorHAnsi"/>
          <w:color w:val="000000"/>
          <w:sz w:val="22"/>
          <w:szCs w:val="22"/>
          <w:shd w:val="clear" w:color="auto" w:fill="FFFFFF"/>
        </w:rPr>
        <w:t>4</w:t>
      </w:r>
      <w:r w:rsidRPr="00D17944">
        <w:rPr>
          <w:rFonts w:cstheme="minorHAnsi"/>
          <w:color w:val="000000"/>
          <w:sz w:val="22"/>
          <w:szCs w:val="22"/>
          <w:shd w:val="clear" w:color="auto" w:fill="FFFFFF"/>
        </w:rPr>
        <w:t xml:space="preserve"> on steroid resistant nephrotic syndrome</w:t>
      </w:r>
      <w:r w:rsidR="00D60FDD">
        <w:rPr>
          <w:rFonts w:cstheme="minorHAnsi"/>
          <w:color w:val="000000"/>
          <w:sz w:val="22"/>
          <w:szCs w:val="22"/>
          <w:shd w:val="clear" w:color="auto" w:fill="FFFFFF"/>
        </w:rPr>
        <w:t xml:space="preserve"> </w:t>
      </w:r>
      <w:r w:rsidR="00181BAF">
        <w:rPr>
          <w:rFonts w:cstheme="minorHAnsi"/>
          <w:color w:val="000000"/>
          <w:sz w:val="22"/>
          <w:szCs w:val="22"/>
          <w:shd w:val="clear" w:color="auto" w:fill="FFFFFF"/>
        </w:rPr>
        <w:t xml:space="preserve">since </w:t>
      </w:r>
      <w:r w:rsidR="00181BAF">
        <w:rPr>
          <w:rFonts w:cstheme="minorHAnsi"/>
          <w:color w:val="000000"/>
          <w:sz w:val="22"/>
          <w:szCs w:val="22"/>
          <w:shd w:val="clear" w:color="auto" w:fill="FFFFFF"/>
        </w:rPr>
        <w:lastRenderedPageBreak/>
        <w:t xml:space="preserve">the IPNA evidence synthesis </w:t>
      </w:r>
      <w:r w:rsidR="00D60FDD">
        <w:rPr>
          <w:rFonts w:cstheme="minorHAnsi"/>
          <w:color w:val="000000"/>
          <w:sz w:val="22"/>
          <w:szCs w:val="22"/>
          <w:shd w:val="clear" w:color="auto" w:fill="FFFFFF"/>
        </w:rPr>
        <w:fldChar w:fldCharType="begin"/>
      </w:r>
      <w:r w:rsidR="00642970">
        <w:rPr>
          <w:rFonts w:cstheme="minorHAnsi"/>
          <w:color w:val="000000"/>
          <w:sz w:val="22"/>
          <w:szCs w:val="22"/>
          <w:shd w:val="clear" w:color="auto" w:fill="FFFFFF"/>
        </w:rPr>
        <w:instrText xml:space="preserve"> ADDIN ZOTERO_ITEM CSL_CITATION {"citationID":"do0G5QFP","properties":{"formattedCitation":"(34\\uc0\\u8211{}37)","plainCitation":"(34–37)","noteIndex":0},"citationItems":[{"id":79,"uris":["http://zotero.org/users/local/lvPLY4Gu/items/F742EP68"],"itemData":{"id":79,"type":"article-journal","abstract":"OBJECTIVE: The comparative safety and efficacy of maintenance mycophenolate mofetil (MMF) and cyclosporine (CYC) following rituximab (RTX) in children with steroid-resistance nephrotic syndrome are uncertain.\nSTUDY DESIGN AND SETTING: Multicenter randomized controlled trial.\nPATIENTS: Sixty-six children between 2 and 6 years of age with SRNS.\nINTERVENTIONS: Patients were randomized to receive either MMF 1000 mg/m2 /day (n = 32) or CYC 5 mg/kg/day (n = 34) for 12 months following RTX induction therapy (375 mg/m2 ) given as needed for B-cell count.\nMAIN OUTCOMES: Complete remission and adverse events (AEs).\nRESULTS: Complete remission was observed in 26 patients (83.1%) in the MMF group compared with 21 patients (61.7%) in the CYC group (p = 0.02). The median time to remission was shorter in the MMF group than in the CYC group (2.64 vs. 3.4 months; hazard ratio [HR], 0.61; 95% CI, 0.74-0.90, p = 0.03). The median time to first relapse was longer in the MMF group compared with the CYC group (10.8 vs. 8.0 months; HR, 1.12; 95% CI, 1.31-1.54, p = 0.01), and this was significantly correlated with the median time to B-cell recovery in the two groups (8.6 vs. 5.2 months in MMF and CYC, respectively, p = 0.02). The overall incidence of adverse drug events was lower in the MMF group compared with the CYC group (59.3% vs. 76.4%, p = 0.03).\nCONCLUSIONS: MMF-RTX is superior to CYC-RTX in maintaining remission with fewer AEs in children with initial SRNS. Additional high-quality randomized control trials with long-term follow-up are needed to identify the long-term potential complications.","container-title":"Pharmacotherapy","DOI":"10.1002/phar.2721","ISSN":"1875-9114","issue":"9","journalAbbreviation":"Pharmacotherapy","language":"eng","note":"PMID: 35869690","page":"690-696","source":"PubMed","title":"Randomized controlled trial to compare safety and efficacy of mycophenolate vs. cyclosporine after rituximab in children with steroid-resistant nephrotic syndrome","volume":"42","author":[{"family":"Assadi","given":"Farahnak"},{"family":"Mazaheri","given":"Mojgan"},{"family":"Sadeghi-Bodj","given":"Simin"}],"issued":{"date-parts":[["2022",9]]}}},{"id":81,"uris":["http://zotero.org/users/local/lvPLY4Gu/items/BZRPEXUA"],"itemData":{"id":81,"type":"article-journal","abstract":"BACKGROUND: Idiopathic steroid-resistant nephrotic syndrome (iSRNS) is a common problem in pediatric nephrology. About 10%-20% of children with nephrotic syndrome have iSRNS and almost 50 percent progress to end-stage renal disease. Very few studies have tried to study the histopathological spectrum, correlate clinical features, renal biopsy patterns and treatment outcome in children presenting with iSRNS in India. In this study, we compared the histopathologic distribution of different subtypes of glomerular morphologic patterns in iSRNS and the clinical and biochemical parameters at the time of diagnosis and outcome of patients after immunosuppressive therapy.\nMETHODS: It is a retrospective cross-sectional study involving review of records of all children with iSRNS presenting to our pediatric nephrology OPD who underwent renal needle biopsy and followed-up for a period of atleast six months post biopsy. Histopathological subtypes were correlated with clinical features (viz. age of onset, gender, oliguria, microscopic hematuria, hypertension, serum creatinine at presentation, serum total protein, serum albumin, 24 h urine protein, persistent proteinuria after 12 weeks of calcineurin inhibitor therapy, and progress to end stage renal disease (ERSD), if any, outcome.\nRESULT: It was found that minimal change disease (MCD) was overall the most common cause of iSRNS. These patients have a significantly greater incidence of remission with immunosuppression as compared with focal segmental glomerulosclerosis (FSGS) and IgA nephropathy subgroup.\nCONCLUSION: Kidney biopsy is of prognostic value in children with iSRNS. The prognosis of children with SRNS owing to MCD is much better than with other nephropathy.","container-title":"Medical Journal, Armed Forces India","DOI":"10.1016/j.mjafi.2020.11.004","ISSN":"0377-1237","issue":"3","journalAbbreviation":"Med J Armed Forces India","language":"eng","note":"PMID: 35855707\nPMCID: PMC9287659","page":"291-295","source":"PubMed","title":"Clinicopathological spectrum and treatment outcome of idiopathic steroid-resistant nephrotic syndrome in children at a tertiary care center","volume":"78","author":[{"family":"Kashif","given":"A. W."},{"family":"Ranjan","given":"Akhil"},{"family":"Kalra","given":"Suprita"},{"family":"Shravani Uttpal","given":"Datta"},{"family":"Malik","given":"Ajay"}],"issued":{"date-parts":[["2022",7]]}}},{"id":84,"uris":["http://zotero.org/users/local/lvPLY4Gu/items/7YAWF9FP"],"itemData":{"id":84,"type":"article-journal","abstract":"INTRODUCTION: Idiopathic steroid resistant nephrotic syndrome (SRNS) has variable outcomes in children. The primary objective of the present study was to assess the cumulative remission rate and the secondary objectives were to assess factors affecting the remission status, kidney function survival, and adverse effects of medications.\nMETHODS: One hundred fourteen patients with SRNS were included. Calcineurin inhibitor-based treatment protocol along with prednisolone and angiotensin-converting enzyme inhibitor were used, and patients were followed over 5 years.\nRESULTS: Median age was 4.5 years; 53.5% of cases were between 1 to 5 years of age. Sixty-two patients (54.4%) were at initial stage and 52 (45.6%) were at a late SRNS stage. Median eGFRcr was 83.5 mL/min/1.73m2 at presentation. Of the 110 patients, 63 (57.3%) achieved remission [complete remission 30 (27.3%), partial remission 33 (30%)], and 47 (42.7%) had no remission. Kidney function survival was 87.3% and 14 cases (12.7%) had progression to CKD (G3-8, G4-3, G5-1, and G5D-2). Median duration of follow up was 36 months (IQR 24, 60). Age of onset, cyclosporine/tacrolimus, eGFRcr, and histopathology (MCD/FSGS) did not affect remission. Similarly, remission status in addition to age of onset, drug protocol, and histopathology did not significantly affect kidney function during a period of 5 years. Hypertension, cushingoid facies, short stature, cataract, and obesity were observed in 37.7, 29.8, 25.5, 17.5, and 0.7% of cases, respectively.\nCONCLUSION: About half of the cases achieved remission. Age of onset of disease, cyclosporine/tacrolimus use, and histopathological lesion neither affected remission status nor short-term kidney function survival in SRNS.","container-title":"Jornal Brasileiro De Nefrologia","DOI":"10.1590/2175-8239-JBN-2022-0073en","ISSN":"2175-8239","issue":"2","journalAbbreviation":"J Bras Nefrol","language":"eng, por","note":"PMID: 36179014\nPMCID: PMC10627125","page":"199-209","source":"PubMed","title":"Outcomes of children with idiopathic steroid resistant nephrotic syndrome: a single centre observational study","title-short":"Outcomes of children with idiopathic steroid resistant nephrotic syndrome","volume":"45","author":[{"family":"Mishra","given":"Om P."},{"family":"Sidar","given":"Minketan"},{"family":"Batra","given":"Vineeta V."},{"family":"Prasad","given":"Rajniti"},{"family":"Singh","given":"Ankur"},{"family":"Abhinay","given":"Abhishek"},{"family":"Mishra","given":"Akash"},{"family":"Yadav","given":"Ashish K."}],"issued":{"date-parts":[["2023"]]}}},{"id":86,"uris":["http://zotero.org/users/local/lvPLY4Gu/items/CT6BDJQ8"],"itemData":{"id":86,"type":"article-journal","abstract":"BACKGROUND: Only 80% of children with idiopathic nephrotic syndrome respond well to glucocorticoid therapy. Multidrug-resistant nephrotic syndrome (MRNS) is associated with a poor kidney prognosis. Several retrospective studies have identified rituximab as an effective treatment for MRNS; however, prospective studies are required to assess its efficacy and safety.\nMETHODS: We conducted a multicenter, non-blinded, single-arm trial to investigate the efficacy and safety of rituximab in patients with childhood-onset MRNS who were resistant to cyclosporine and more than three courses of steroid pulse therapy. The enrolled patients received four 375 mg/m2 doses of rituximab in combination with baseline cyclosporine and steroid pulse therapy. The primary endpoint was a &gt; 50% reduction in the urinary protein/creatinine ratio from baseline on day 169. Complete and partial remissions were also evaluated.\nRESULTS: Six patients with childhood-onset MRNS were enrolled. All patients were negative for pathogenic variants of podocyte-related genes. On day 169, five patients (83.3%) showed a &gt; 50% reduction in the urinary protein/creatinine ratio, two patients showed partial remission, and two patients showed complete remission. No deaths occurred and severe adverse events occurred in two patients (infection in one patient and acute kidney injury in one patient). Three patients needed treatment for moderate-to-severe infection.\nCONCLUSIONS: The study treatment effectively reduced the urinary protein/creatinine ratio in patients with childhood-onset MRNS. The adverse events in this study were within the expected range; however, attention should be paid to the occurrence of infections.","container-title":"Clinical and Experimental Nephrology","DOI":"10.1007/s10157-023-02431-0","ISSN":"1437-7799","issue":"4","journalAbbreviation":"Clin Exp Nephrol","language":"eng","note":"PMID: 38010466\nPMCID: PMC10955017","page":"337-348","source":"PubMed","title":"Rituximab in combination with cyclosporine and steroid pulse therapy for childhood-onset multidrug-resistant nephrotic syndrome: a multicenter single-arm clinical trial (JSKDC11 trial)","title-short":"Rituximab in combination with cyclosporine and steroid pulse therapy for childhood-onset multidrug-resistant nephrotic syndrome","volume":"28","author":[{"family":"Nozu","given":"Kandai"},{"family":"Sako","given":"Mayumi"},{"family":"Tanaka","given":"Seiji"},{"family":"Kano","given":"Yuji"},{"family":"Ohwada","given":"Yoko"},{"family":"Morohashi","given":"Tamaki"},{"family":"Hamada","given":"Riku"},{"family":"Ohtsuka","given":"Yasufumi"},{"family":"Oka","given":"Masafumi"},{"family":"Kamei","given":"Koichi"},{"family":"Inaba","given":"Aya"},{"family":"Ito","given":"Shuichi"},{"family":"Sakai","given":"Tomoyuki"},{"family":"Kaito","given":"Hiroshi"},{"family":"Shima","given":"Yuko"},{"family":"Ishikura","given":"Kenji"},{"family":"Nakamura","given":"Hidefumi"},{"family":"Nakanishi","given":"Koichi"},{"family":"Horinouchi","given":"Tomoko"},{"family":"Konishi","given":"Akihide"},{"family":"Omori","given":"Takashi"},{"family":"Iijima","given":"Kazumoto"}],"issued":{"date-parts":[["2024",4]]}}}],"schema":"https://github.com/citation-style-language/schema/raw/master/csl-citation.json"} </w:instrText>
      </w:r>
      <w:r w:rsidR="00D60FDD">
        <w:rPr>
          <w:rFonts w:cstheme="minorHAnsi"/>
          <w:color w:val="000000"/>
          <w:sz w:val="22"/>
          <w:szCs w:val="22"/>
          <w:shd w:val="clear" w:color="auto" w:fill="FFFFFF"/>
        </w:rPr>
        <w:fldChar w:fldCharType="separate"/>
      </w:r>
      <w:r w:rsidR="00642970" w:rsidRPr="00642970">
        <w:rPr>
          <w:rFonts w:ascii="Calibri" w:cs="Calibri"/>
          <w:color w:val="000000"/>
          <w:sz w:val="22"/>
        </w:rPr>
        <w:t>(34–37)</w:t>
      </w:r>
      <w:r w:rsidR="00D60FDD">
        <w:rPr>
          <w:rFonts w:cstheme="minorHAnsi"/>
          <w:color w:val="000000"/>
          <w:sz w:val="22"/>
          <w:szCs w:val="22"/>
          <w:shd w:val="clear" w:color="auto" w:fill="FFFFFF"/>
        </w:rPr>
        <w:fldChar w:fldCharType="end"/>
      </w:r>
      <w:r w:rsidR="00362F9E">
        <w:rPr>
          <w:rFonts w:cstheme="minorHAnsi"/>
          <w:color w:val="000000"/>
          <w:sz w:val="22"/>
          <w:szCs w:val="22"/>
          <w:shd w:val="clear" w:color="auto" w:fill="FFFFFF"/>
        </w:rPr>
        <w:t xml:space="preserve">. </w:t>
      </w:r>
      <w:r>
        <w:rPr>
          <w:rFonts w:cstheme="minorHAnsi"/>
          <w:color w:val="000000"/>
          <w:sz w:val="22"/>
          <w:szCs w:val="22"/>
          <w:shd w:val="clear" w:color="auto" w:fill="FFFFFF"/>
        </w:rPr>
        <w:t xml:space="preserve">One paper </w:t>
      </w:r>
      <w:r w:rsidRPr="00FE5D93">
        <w:rPr>
          <w:rFonts w:cstheme="minorHAnsi"/>
          <w:sz w:val="22"/>
          <w:szCs w:val="22"/>
        </w:rPr>
        <w:t xml:space="preserve">Tu, J., et al., </w:t>
      </w:r>
      <w:bookmarkStart w:id="4" w:name="_Hlk185844930"/>
      <w:r w:rsidRPr="00FE5D93">
        <w:rPr>
          <w:rFonts w:cstheme="minorHAnsi"/>
          <w:i/>
          <w:iCs/>
          <w:sz w:val="22"/>
          <w:szCs w:val="22"/>
        </w:rPr>
        <w:t>Clinical assessment of moderate-dose glucocorticoid in the treatment of recurrence of primary nephrotic syndrome in children: a prospective randomized controlled trial</w:t>
      </w:r>
      <w:r w:rsidRPr="00FE5D93">
        <w:rPr>
          <w:rFonts w:cstheme="minorHAnsi"/>
          <w:sz w:val="22"/>
          <w:szCs w:val="22"/>
        </w:rPr>
        <w:t xml:space="preserve"> </w:t>
      </w:r>
      <w:bookmarkEnd w:id="4"/>
      <w:r w:rsidR="00D13A9C">
        <w:rPr>
          <w:rFonts w:cstheme="minorHAnsi"/>
          <w:color w:val="000000"/>
          <w:sz w:val="22"/>
          <w:szCs w:val="22"/>
          <w:shd w:val="clear" w:color="auto" w:fill="FFFFFF"/>
        </w:rPr>
        <w:t xml:space="preserve">was excluded </w:t>
      </w:r>
      <w:r w:rsidR="00C0034C">
        <w:rPr>
          <w:rFonts w:cstheme="minorHAnsi"/>
          <w:color w:val="000000"/>
          <w:sz w:val="22"/>
          <w:szCs w:val="22"/>
          <w:shd w:val="clear" w:color="auto" w:fill="FFFFFF"/>
        </w:rPr>
        <w:t>because it was not available in</w:t>
      </w:r>
      <w:r w:rsidR="00D13A9C">
        <w:rPr>
          <w:rFonts w:cstheme="minorHAnsi"/>
          <w:color w:val="000000"/>
          <w:sz w:val="22"/>
          <w:szCs w:val="22"/>
          <w:shd w:val="clear" w:color="auto" w:fill="FFFFFF"/>
        </w:rPr>
        <w:t xml:space="preserve"> full text in English</w:t>
      </w:r>
      <w:r w:rsidR="00C0034C">
        <w:rPr>
          <w:rFonts w:cstheme="minorHAnsi"/>
          <w:color w:val="000000"/>
          <w:sz w:val="22"/>
          <w:szCs w:val="22"/>
          <w:shd w:val="clear" w:color="auto" w:fill="FFFFFF"/>
        </w:rPr>
        <w:t xml:space="preserve"> </w:t>
      </w:r>
      <w:r w:rsidR="00C0034C">
        <w:rPr>
          <w:rFonts w:cstheme="minorHAnsi"/>
          <w:color w:val="000000"/>
          <w:sz w:val="22"/>
          <w:szCs w:val="22"/>
          <w:shd w:val="clear" w:color="auto" w:fill="FFFFFF"/>
        </w:rPr>
        <w:fldChar w:fldCharType="begin"/>
      </w:r>
      <w:r w:rsidR="00642970">
        <w:rPr>
          <w:rFonts w:cstheme="minorHAnsi"/>
          <w:color w:val="000000"/>
          <w:sz w:val="22"/>
          <w:szCs w:val="22"/>
          <w:shd w:val="clear" w:color="auto" w:fill="FFFFFF"/>
        </w:rPr>
        <w:instrText xml:space="preserve"> ADDIN ZOTERO_ITEM CSL_CITATION {"citationID":"kIDWKZHI","properties":{"formattedCitation":"(38)","plainCitation":"(38)","noteIndex":0},"citationItems":[{"id":24,"uris":["http://zotero.org/users/local/lvPLY4Gu/items/H2QJLNT2"],"itemData":{"id":24,"type":"article-journal","abstract":"OBJECTIVES: To study the clinical effect and adverse drug reactions of different doses of glucocorticoid (GC) in the treatment of children with recurrence of steroid-sensitive nephrotic syndrome (SSNS).\nMETHODS: A total of 67 children who were hospitalized and diagnosed with SSNS recurrence in the Department of Nephrology, Children's Hospital, Capital Institute of Pediatrics, from November 2017 to December 2019 were enrolled. They were randomly divided into a moderate-dose GC group (32 children) and a full-dose GC group (35 children). The two groups were compared in terms of urinary protein clearance, recurrence rate within 6 months, and incidence rate of GC-associated adverse reactions.\nRESULTS: There was no significant difference in the urinary protein clearance rate between the moderate-dose GC and full-dose GC groups (91% vs 94%, P&gt;0.05). There was also no significant difference in the recurrence rate within 6 months between the two groups (41% vs 36%, P&gt;0.05). At 6 months of follow-up, compared with the full-dose GC group, the moderate-dose GC group had a significantly lower cumulative dose of prednisone [(87±18) mg/kg vs (98±16) mg/kg, P=0.039] and a significantly lower proportion of children with an abnormal increase in body weight (6% vs 33%, P=0.045). The logistic regression analysis showed that prednisone dose ≥10 mg/alternate day at enrollment was a risk factor for recurrence within 6 months in children with SSNS (P=0.018).\nCONCLUSIONS: For children with SSNS recurrence, moderate-dose GC has similar effects to full-dose GC in the remission induction rate and the recurrence rate within 6 months, with a lower cumulative dose and fewer GC-associated adverse reactions within 6 months than full-dose GC.","container-title":"Zhongguo Dang Dai Er Ke Za Zhi = Chinese Journal of Contemporary Pediatrics","DOI":"10.7499/j.issn.1008-8830.2111133","ISSN":"1008-8830","issue":"5","journalAbbreviation":"Zhongguo Dang Dai Er Ke Za Zhi","language":"chi","note":"PMID: 35644185\nPMCID: PMC9154369","page":"466-471","source":"PubMed","title":"[Clinical assessment of moderate-dose glucocorticoid in the treatment of recurrence of primary nephrotic syndrome in children: a prospective randomized controlled trial]","title-short":"[Clinical assessment of moderate-dose glucocorticoid in the treatment of recurrence of primary nephrotic syndrome in children","volume":"24","author":[{"family":"Tu","given":"Juan"},{"family":"Chen","given":"Chao-Ying"},{"family":"Geng","given":"Hai-Yun"},{"family":"Li","given":"Hua-Rong"},{"family":"Xia","given":"Hua"},{"family":"Lin","given":"Yuan"},{"family":"Lin","given":"Tian-Tian"},{"family":"Sun","given":"Jin-Shan"}],"issued":{"date-parts":[["2022",5,15]]}}}],"schema":"https://github.com/citation-style-language/schema/raw/master/csl-citation.json"} </w:instrText>
      </w:r>
      <w:r w:rsidR="00C0034C">
        <w:rPr>
          <w:rFonts w:cstheme="minorHAnsi"/>
          <w:color w:val="000000"/>
          <w:sz w:val="22"/>
          <w:szCs w:val="22"/>
          <w:shd w:val="clear" w:color="auto" w:fill="FFFFFF"/>
        </w:rPr>
        <w:fldChar w:fldCharType="separate"/>
      </w:r>
      <w:r w:rsidR="00642970">
        <w:rPr>
          <w:rFonts w:cstheme="minorHAnsi"/>
          <w:noProof/>
          <w:color w:val="000000"/>
          <w:sz w:val="22"/>
          <w:szCs w:val="22"/>
          <w:shd w:val="clear" w:color="auto" w:fill="FFFFFF"/>
        </w:rPr>
        <w:t>(38)</w:t>
      </w:r>
      <w:r w:rsidR="00C0034C">
        <w:rPr>
          <w:rFonts w:cstheme="minorHAnsi"/>
          <w:color w:val="000000"/>
          <w:sz w:val="22"/>
          <w:szCs w:val="22"/>
          <w:shd w:val="clear" w:color="auto" w:fill="FFFFFF"/>
        </w:rPr>
        <w:fldChar w:fldCharType="end"/>
      </w:r>
      <w:r>
        <w:rPr>
          <w:rFonts w:cstheme="minorHAnsi"/>
          <w:color w:val="000000"/>
          <w:sz w:val="22"/>
          <w:szCs w:val="22"/>
          <w:shd w:val="clear" w:color="auto" w:fill="FFFFFF"/>
        </w:rPr>
        <w:t xml:space="preserve">. </w:t>
      </w:r>
    </w:p>
    <w:p w14:paraId="64631411" w14:textId="77777777" w:rsidR="005B39AB" w:rsidRDefault="005B39AB" w:rsidP="00D82C4B">
      <w:pPr>
        <w:spacing w:line="360" w:lineRule="auto"/>
        <w:jc w:val="both"/>
        <w:rPr>
          <w:rFonts w:cstheme="minorHAnsi"/>
          <w:color w:val="000000"/>
          <w:sz w:val="22"/>
          <w:szCs w:val="22"/>
          <w:shd w:val="clear" w:color="auto" w:fill="FFFFFF"/>
        </w:rPr>
      </w:pPr>
    </w:p>
    <w:p w14:paraId="1370D74E" w14:textId="19395FE2" w:rsidR="00F66C3F" w:rsidRPr="00D17944" w:rsidRDefault="00181BAF" w:rsidP="00D82C4B">
      <w:pPr>
        <w:spacing w:line="360" w:lineRule="auto"/>
        <w:jc w:val="both"/>
        <w:rPr>
          <w:rFonts w:cstheme="minorHAnsi"/>
          <w:color w:val="000000"/>
          <w:sz w:val="22"/>
          <w:szCs w:val="22"/>
          <w:shd w:val="clear" w:color="auto" w:fill="FFFFFF"/>
        </w:rPr>
      </w:pPr>
      <w:r>
        <w:rPr>
          <w:rFonts w:cstheme="minorHAnsi"/>
          <w:color w:val="000000"/>
          <w:sz w:val="22"/>
          <w:szCs w:val="22"/>
          <w:shd w:val="clear" w:color="auto" w:fill="FFFFFF"/>
        </w:rPr>
        <w:t>Following</w:t>
      </w:r>
      <w:r w:rsidR="001630D4" w:rsidRPr="00362F9E">
        <w:rPr>
          <w:rFonts w:cstheme="minorHAnsi"/>
          <w:color w:val="000000"/>
          <w:sz w:val="22"/>
          <w:szCs w:val="22"/>
          <w:shd w:val="clear" w:color="auto" w:fill="FFFFFF"/>
        </w:rPr>
        <w:t xml:space="preserve"> the </w:t>
      </w:r>
      <w:r w:rsidR="00C0034C">
        <w:rPr>
          <w:rFonts w:cstheme="minorHAnsi"/>
          <w:color w:val="000000"/>
          <w:sz w:val="22"/>
          <w:szCs w:val="22"/>
          <w:shd w:val="clear" w:color="auto" w:fill="FFFFFF"/>
        </w:rPr>
        <w:t xml:space="preserve">completion of the </w:t>
      </w:r>
      <w:r w:rsidR="001630D4" w:rsidRPr="00362F9E">
        <w:rPr>
          <w:rFonts w:cstheme="minorHAnsi"/>
          <w:color w:val="000000"/>
          <w:sz w:val="22"/>
          <w:szCs w:val="22"/>
          <w:shd w:val="clear" w:color="auto" w:fill="FFFFFF"/>
        </w:rPr>
        <w:t xml:space="preserve">IPNA evidence synthesis, there were 13 </w:t>
      </w:r>
      <w:r>
        <w:rPr>
          <w:rFonts w:cstheme="minorHAnsi"/>
          <w:color w:val="000000"/>
          <w:sz w:val="22"/>
          <w:szCs w:val="22"/>
          <w:shd w:val="clear" w:color="auto" w:fill="FFFFFF"/>
        </w:rPr>
        <w:t xml:space="preserve">further </w:t>
      </w:r>
      <w:r w:rsidR="001630D4" w:rsidRPr="00362F9E">
        <w:rPr>
          <w:rFonts w:cstheme="minorHAnsi"/>
          <w:color w:val="000000"/>
          <w:sz w:val="22"/>
          <w:szCs w:val="22"/>
          <w:shd w:val="clear" w:color="auto" w:fill="FFFFFF"/>
        </w:rPr>
        <w:t xml:space="preserve">papers on IgA related GN this included 8 papers on </w:t>
      </w:r>
      <w:proofErr w:type="spellStart"/>
      <w:r w:rsidR="001630D4" w:rsidRPr="00362F9E">
        <w:rPr>
          <w:rFonts w:cstheme="minorHAnsi"/>
          <w:color w:val="000000"/>
          <w:sz w:val="22"/>
          <w:szCs w:val="22"/>
          <w:shd w:val="clear" w:color="auto" w:fill="FFFFFF"/>
        </w:rPr>
        <w:t>IgAV</w:t>
      </w:r>
      <w:proofErr w:type="spellEnd"/>
      <w:r w:rsidR="001630D4" w:rsidRPr="00362F9E">
        <w:rPr>
          <w:rFonts w:cstheme="minorHAnsi"/>
          <w:color w:val="000000"/>
          <w:sz w:val="22"/>
          <w:szCs w:val="22"/>
          <w:shd w:val="clear" w:color="auto" w:fill="FFFFFF"/>
        </w:rPr>
        <w:t xml:space="preserve"> </w:t>
      </w:r>
      <w:r w:rsidR="000E243B">
        <w:rPr>
          <w:rFonts w:cstheme="minorHAnsi"/>
          <w:color w:val="000000"/>
          <w:sz w:val="22"/>
          <w:szCs w:val="22"/>
          <w:shd w:val="clear" w:color="auto" w:fill="FFFFFF"/>
        </w:rPr>
        <w:fldChar w:fldCharType="begin"/>
      </w:r>
      <w:r w:rsidR="00642970">
        <w:rPr>
          <w:rFonts w:cstheme="minorHAnsi"/>
          <w:color w:val="000000"/>
          <w:sz w:val="22"/>
          <w:szCs w:val="22"/>
          <w:shd w:val="clear" w:color="auto" w:fill="FFFFFF"/>
        </w:rPr>
        <w:instrText xml:space="preserve"> ADDIN ZOTERO_ITEM CSL_CITATION {"citationID":"FzzKwEE8","properties":{"formattedCitation":"(39\\uc0\\u8211{}46)","plainCitation":"(39–46)","noteIndex":0},"citationItems":[{"id":101,"uris":["http://zotero.org/users/local/lvPLY4Gu/items/SL2EEVEJ"],"itemData":{"id":101,"type":"article-journal","abstract":"BACKGROUND: The prognosis of Henoch-Schönlein purpura (HSP), IgA vasculitis, depends on kidney involvement. There is no consensus on the initiation of treatment for HSP nephritis (HSPN). Some centres start treatment before performing a kidney biopsy (KB) while in others, treatment is dictated by the importance of the clinical, biological and histological signs. The aim of this study was to evaluate which of these two approaches is associated with a better kidney outcome at 5-year follow-up.\nMETHODS: This multicentre, retrospective, nonrandomised study included children treated for HSPN between 2006 and 2010 in a French paediatric nephrology unit. One group had an early KB at diagnosis (before starting treatment or in the 15 following days). In the second group, initial treatment was decided without performing a KB.\nRESULTS: Among the 107 children included, 63.5% had an early KB at diagnosis. Follow-up at 5 years was completed in 44 children (28 KB at diagnosis, 16 no KB at diagnosis). Median urine protein/creatinine at 5 years was 2.5 mg/mmol in the early biopsy diagnosis group and 12.5 mg/mmol in the non-biopsy group. An antiproteinuric treatment was given, at 5 years, to 35.7% of the early biopsy at diagnosis children and in 62.5% of the non-biopsied children.\nCONCLUSIONS: Children with early KB at diagnosis seem to have a better renal outcome at 5 years compared to those without an early biopsy at diagnosis or biopsied later. However, this is a small patient cohort and data are missing. Further work is needed to build consensual guidelines on the management of HSPN in children.","container-title":"Pediatric Nephrology (Berlin, Germany)","DOI":"10.1007/s00467-021-05086-9","ISSN":"1432-198X","issue":"1","journalAbbreviation":"Pediatr Nephrol","language":"eng","note":"PMID: 34224002","page":"147-152","source":"PubMed","title":"To biopsy or not to biopsy: Henoch-Schönlein nephritis in children, a 5-year follow-up study","title-short":"To biopsy or not to biopsy","volume":"37","author":[{"family":"Avramescu","given":"Marina"},{"family":"Lahoche","given":"Annie"},{"family":"Hogan","given":"Julien"},{"family":"Salomon","given":"Rémi"},{"family":"Roussey","given":"Gwenaëlle"},{"family":"Bacchetta","given":"Justine"},{"family":"Decramer","given":"Stéphane"},{"family":"Ulinski","given":"Tim"},{"family":"Barbe","given":"Coralie"},{"family":"Pietrement","given":"Christine"}],"issued":{"date-parts":[["2022",1]]}}},{"id":103,"uris":["http://zotero.org/users/local/lvPLY4Gu/items/9873Q4WG"],"itemData":{"id":103,"type":"article-journal","abstract":"BACKGROUND: IgA vasculitis (IgAV) is the most common form of systemic vasculitis in childhood and frequently involves the kidney. A minority of patients with IgA vasculitis nephritis (IgAVN), especially those presenting with heavy proteinuria and/or kidney failure at onset, are at risk of chronic end-stage kidney disease. For deciding upon treatment intensity, knowledge of the short-term clinical course of IgAVN is needed to improve treatment algorithms.\nMETHODS: For this retrospective multicenter study, the medical records of 66 children with biopsy-proven IgAVN were reviewed. Age, gender, medical history and therapeutic interventions were recorded. Laboratory data included serum creatinine, albumin, urinary protein excretion (UPE) and glomerular filtration rate (eGFR). Threshold values were determined for each parameter, full remission was defined as no proteinuria and eGFR &gt; 90 ml/min/1.73m2.\nRESULTS: Median age at onset of IgAVN was 8.9 years. 14.1% of the children presented with nephrotic syndrome, 50% had an eGFR below 90 ml/min/1.73 m2 and 51.5% showed cellular crescents in renal histology. The treatment regimens varied notably. Forty-four patients were treated with immunosuppression; 17 patients with crescents or nephrotic syndrome were treated with corticosteroid (CS) pulse therapy. After 6 months, UPE had decreased from 3.7 to 0.3 g/g creatinine and the proportion of patients with a decreased eGFR had fallen from 50.0% to 35.5%. Thirteen children (26.5%) achieved full remission within 6 months.\nCONCLUSIONS: In most patients with IgAVN proteinuria decreases slowly and kidney function improves, but full remission is reached only in a minority after 6 months. Persistent heavy proteinuria in the first two months rarely developed into long-term proteinuria. Therefore, decisions for more intense treatment should take into account the course of UPE over time. For a comparison of treatment effects, patient numbers were too small. Prospective, randomized controlled trials are necessary to clarify risk factors and the effect of immunosuppressive therapies.","container-title":"BMC pediatrics","DOI":"10.1186/s12887-022-03611-9","ISSN":"1471-2431","issue":"1","journalAbbreviation":"BMC Pediatr","language":"eng","note":"PMID: 36195856\nPMCID: PMC9531371","page":"570","source":"PubMed","title":"Early clinical course of biopsy-proven IgA vasculitis nephritis","volume":"22","author":[{"family":"Butzer","given":"Sarina"},{"family":"Hennies","given":"Imke"},{"family":"Gimpel","given":"Charlotte"},{"family":"Gellermann","given":"Jutta"},{"family":"Schalk","given":"Gesa"},{"family":"König","given":"Sabine"},{"family":"Büscher","given":"Anja K."},{"family":"Lemke","given":"Anja"},{"family":"Pohl","given":"Martin"}],"issued":{"date-parts":[["2022",10,4]]}}},{"id":106,"uris":["http://zotero.org/users/local/lvPLY4Gu/items/ITQI5W9M"],"itemData":{"id":106,"type":"article-journal","abstract":"BACKGROUND: IgA vasculitis (IgAV), previously known as Henoch-Schönlein purpura, is the most common vasculitis of childhood but may also occur in adults. This small vessel vasculitis is characterised by palpable purpura, abdominal pain, arthritis or arthralgia and kidney involvement. This is an update of a review first published in 2009 and updated in 2015.\nOBJECTIVES: To evaluate the benefits and harms of different agents (used singularly or in combination) compared with placebo, no treatment or any other agent for (1) the prevention of severe kidney disease in people with IgAV with or without kidney involvement at onset, (2) the treatment of established severe kidney disease (macroscopic haematuria, proteinuria, nephritic syndrome, nephrotic syndrome with or without acute kidney failure) in IgAV, and (3) the prevention of recurrent episodes of IgAV-associated kidney disease.\nSEARCH METHODS: We searched the Cochrane Kidney and Transplant Register of Studies up to 2 February 2023 through contact with the Information Specialist using search terms relevant to this review. Studies in the Register are identified through searches of CENTRAL, MEDLINE, and EMBASE, conference proceedings, the International Clinical Trials Register (ICTRP) Search Portal and ClinicalTrials.gov.\nSELECTION CRITERIA: Randomised controlled trials (RCTs) comparing interventions used to prevent or treat kidney disease in IgAV compared with placebo, no treatment or other agents were included.\nDATA COLLECTION AND ANALYSIS: Two authors independently determined study eligibility, assessed the risk of bias and extracted data from each study. Statistical analyses were performed using the random-effects model, and the results were expressed as risk ratio (RR) for dichotomous outcomes and mean difference (MD) for continuous outcomes with 95% confidence intervals (CI). Confidence in the evidence was assessed using the Grading of Recommendations Assessment, Development and Evaluation (GRADE) approach.\nMAIN RESULTS: Twenty studies (1963 enrolled participants) were identified; one three-arm study has been assessed as two studies. Nine studies were at low risk of bias for sequence generation (selection bias), and nine studies were at low risk of bias for allocation concealment (selection bias). Blinding of participants and personnel (performance bias) and outcome assessment (detection bias) was at low risk of bias in four and seven studies, respectively. Nine studies reported complete outcome data (attrition bias), while 10 studies reported expected outcomes, so were at low risk of reporting bias. Five studies were at low risk of other bias. Eleven studies evaluated therapy to prevent persistent kidney disease in IgAV with or without kidney involvement at presentation. There was probably no difference in the risk of persistent kidney disease any time after treatment (5 studies, 746 children: RR 0.74, 95% CI 0.42 to 1.32) or at one, three, six and 12 months in children given prednisone for 14 to 28 days at presentation of IgAV compared with placebo or supportive treatment (moderate certainty evidence). There may be no differences in the risk of any persistent kidney disease with antiplatelet therapy (three studies) or heparin (two studies) in children with or without any kidney disease at study entry, although heparin may reduce the risk of proteinuria by three months compared with placebo or no specific treatment (2 studies, 317 children: RR 0.47, 95% CI 0.31 to 0.73). One study comparing montelukast with placebo found no differences in outcomes as assessed by severity scale scores. Nine studies examined the treatment of severe IgAV-associated kidney disease. In two studies (one involving 56 children and the other involving 54 adults), there may be no differences in efficacy outcomes or adverse effects with cyclophosphamide compared with placebo or supportive treatment. In two studies, there may be no differences in the numbers achieving remission of proteinuria with intravenous (IV) cyclophosphamide compared with mycophenolate mofetil (MMF) (65 children evaluated) or tacrolimus (142 children evaluated). In three small studies comparing cyclosporin with methylprednisolone (15 children), MMF with azathioprine (26 children), or MMF with leflunomide (19 children), it is unclear whether the treatment had any effect on the numbers in remission or the degree of proteinuria between treatment groups because of small numbers of included participants. In one study comparing plasmapheresis, cyclophosphamide and methylprednisolone with cyclophosphamide and methylprednisolone, there may be no difference in the numbers achieving remission. One study compared fosinopril with no specific therapy and reported fosinopril reduced the number of participants with proteinuria. No studies were identified that evaluated the efficacy of therapy on kidney disease in participants with recurrent episodes of IgAV.\nAUTHORS' CONCLUSIONS: There are no substantial changes in conclusions from this update compared with the initial review or the previous update despite the addition of five studies. From generally low to moderate certainty evidence, we found that there may be little or no benefit in the use of corticosteroids or antiplatelet agents to prevent persistent kidney disease in children with IgAV in participants with no or minimal kidney involvement at presentation. We did not find any studies which evaluated corticosteroids in children presenting with IgAV and nephritic and/or nephrotic syndrome, although corticosteroids are recommended in such children in guidelines. Though heparin may be effective in reducing proteinuria, this potentially dangerous therapy is not justified to prevent serious kidney disease when few children with IgAV develop severe kidney disease. There may be no benefit of cyclophosphamide compared with no specific treatment or corticosteroids. While there may be no benefit in the efficacy of MMF or tacrolimus compared with IV cyclophosphamide in children or adults with IgAV and severe kidney disease, adverse effects, particularly infections, may be lower in MMF or tacrolimus-treated children. Because of small patient numbers and events leading to imprecision in results, it remains unclear whether cyclosporin, MMF or leflunomide have any role in the treatment of children with IgAV and severe kidney disease. We did not identify any studies which evaluated corticosteroids.","container-title":"The Cochrane Database of Systematic Reviews","DOI":"10.1002/14651858.CD005128.pub4","ISSN":"1469-493X","issue":"2","journalAbbreviation":"Cochrane Database Syst Rev","language":"eng","note":"PMID: 36853224\nPMCID: PMC9972777","page":"CD005128","source":"PubMed","title":"Interventions for preventing and treating kidney disease in IgA vasculitis","volume":"2","author":[{"family":"Hahn","given":"Deirdre"},{"family":"Hodson","given":"Elisabeth M."},{"family":"Craig","given":"Jonathan C."}],"issued":{"date-parts":[["2023",2,28]]}}},{"id":108,"uris":["http://zotero.org/users/local/lvPLY4Gu/items/ZJ52GEHZ"],"itemData":{"id":108,"type":"article-journal","abstract":"BACKGROUND: IgA vasculitis (IgAV) is the most common type of vasculitis in children. There is a lack of consensus for management of significant IgAV nephritis (IgAVN). This study was designed to identify the most used treatment options and describe their efficacy.\nMETHODS: This is a multicenter retrospective study of children age 1-21 years with IgAVN who were managed for at least 6 months by a nephrologist. Subjects with at least microscopic hematuria and proteinuria and/or decreased kidney function were enrolled. Kidney outcome was assessed by eGFR and urine protein/creatinine (UPC) ratios at 2-4 weeks, 3, 6, and 12 months post-diagnosis.\nRESULTS: A total of 128 subjects with median age of 7 years (range 2-18) were included. Of these, 69 subjects had kidney biopsy with crescents detected in 53%. AKI (P = 0.039), nephrosis (P = 0.038), and crescents on biopsy (P = 0.013) were more likely in older patients. Patients with UPC &gt; 1 mg/mg were more likely to get a kidney biopsy (P &lt; 0.001) and to be treated with steroids ± immunosuppressive (IS) agents (P = 0.001). Sixty-six percent of patients were treated with steroids and/or IS agents for variable durations. Anti-metabolite agents were the most common IS agents used with variability in dosing and duration. At 12 months, most subjects had a normal eGFR (79%) (median 123, range 68-207 mL/min/1.73 m2) and no proteinuria (median UPC 0.15, range 0.01-4.02 mg/mg).\nCONCLUSIONS: IS agents are frequently used in managing IgAVN associated with heavy proteinuria, nephrosis, and/or AKI. Prospective studies are needed to determine indications and needed duration of IS therapy. A higher resolution version of the Graphical abstract is available as Supplementary information.","container-title":"Pediatric Nephrology (Berlin, Germany)","DOI":"10.1007/s00467-022-05496-3","ISSN":"1432-198X","issue":"11","journalAbbreviation":"Pediatr Nephrol","language":"eng","note":"PMID: 35233641","page":"2687-2697","source":"PubMed","title":"The scope of treatment of pediatric IgA vasculitis nephritis and its outcome: a Pediatric Nephrology Research Consortium study","title-short":"The scope of treatment of pediatric IgA vasculitis nephritis and its outcome","volume":"37","author":[{"family":"Kallash","given":"Mahmoud"},{"family":"Vogt","given":"Beth A."},{"family":"Zeid","given":"Ahmed"},{"family":"Khin","given":"Ei"},{"family":"Najjar","given":"Mohammed"},{"family":"Aldughiem","given":"Ahmad"},{"family":"Benoit","given":"Elizabeth"},{"family":"Stotter","given":"Brian"},{"family":"Rheault","given":"Michelle"},{"family":"Warejko","given":"Jillian K."},{"family":"Daga","given":"Ankana"}],"issued":{"date-parts":[["2022",11]]}}},{"id":110,"uris":["http://zotero.org/users/local/lvPLY4Gu/items/3PQ2N96C"],"itemData":{"id":110,"type":"article-journal","abstract":"BACKGROUND: IgA vasculitis (IgAV) is the most common vasculitis in children. IgAV long-term prognosis depends on kidney involvement or IgA vasculitis with nephritis (IgAVN). To date, steroid treatment (oral steroids or methylprednisolone pulses) has not proven to be formally efficient. This study aimed to assess the role of steroids on IgAVN outcome.\nMETHODS: All children with IgAVN diagnosed 2000-2019 in 14 French pediatric nephrology units with minimal follow-up of 6 months were retrospectively included. Outcomes of patients treated with steroids were compared with those of a control group of untreated patients matched for age, sex, proteinuria, eGFR, and histological features. The primary endpoint was IgAVN remission defined as urine protein-to-creatinine ratio &lt; 20 mg/mmol without impaired eGFR one year after disease onset.\nRESULTS: A total of 359 patients with IgAVN were included with a median follow-up time of 249 days (range 43-809). One hundred eight (30%) patients received oral steroids alone, 207 (51%) patients received three methylprednisolone pulses followed by oral steroids, and 44 patients (12.5%) did not receive steroids. Thirty-two children treated with oral steroids alone were compared with 32 matched control patients who did not receive steroids. One year after disease onset, IgAVN remission proportion was not different between these two groups: 62% versus 68%, respectively. Ninety-three children treated with oral steroids alone were compared with 93 matched patients treated with three methylprednisolone pulses followed by oral corticosteroids. IgAVN remission proportion was not different between these two groups: 77% versus 73%, respectively.\nCONCLUSION: The benefit of oral steroids alone and methylprednisolone pulses could not be established based on this observational study. Randomized controlled trials are thus required to determine the efficacy of steroids in IgAVN. A higher resolution version of the Graphical abstract is available as Supplementary information.","container-title":"Pediatric Nephrology (Berlin, Germany)","DOI":"10.1007/s00467-023-05981-3","ISSN":"1432-198X","issue":"10","journalAbbreviation":"Pediatr Nephrol","language":"eng","note":"PMID: 37154959","page":"3317-3326","source":"PubMed","title":"Outcome of children with IgA vasculitis with nephritis treated with steroids: a matched controlled study","title-short":"Outcome of children with IgA vasculitis with nephritis treated with steroids","volume":"38","author":[{"family":"Mary","given":"Anne-Lise"},{"family":"Clave","given":"Stéphanie"},{"family":"Rousset-Rouviere","given":"Caroline"},{"family":"Berard","given":"Etienne"},{"family":"Boyer","given":"Olivia"},{"family":"Decramer","given":"Stéphane"},{"family":"Fila","given":"Marc"},{"family":"Guigonis","given":"Vincent"},{"family":"Cloarec","given":"Sylvie"},{"family":"Harambat","given":"Jérôme"},{"family":"Hogan","given":"Julien"},{"family":"Lahoche","given":"Annie"},{"family":"Roussey-Kesler","given":"Gwenaelle"},{"family":"Zaloszyc","given":"Ariane"},{"family":"Ulinski","given":"Tim"},{"family":"Parmentier","given":"Cyrielle"},{"family":"Delbet","given":"Jean-Daniel"}],"issued":{"date-parts":[["2023",10]]}}},{"id":112,"uris":["http://zotero.org/users/local/lvPLY4Gu/items/BVTBNYSJ"],"itemData":{"id":112,"type":"article-journal","abstract":"BACKGROUND: Patients with severe IgA vasculitis with nephritis (IgAVN) typically receive aggressive therapy as an initial approach. We have consistently performed combination therapy including corticosteroids and immunosuppressants as initial therapy for severe IgAVN over a 20-year-plus period, with only minor changes to the treatment protocol. This study seeks to reveal the efficacy of combination therapy for severe IgAVN.\nMETHODS: We retrospectively studied 50 Japanese children diagnosed between 1996 and 2019 with clinicopathologically severe IgAVN who were defined as ISKDC classification grade IIIb-V and/or serum albumin &lt; 2.5 g/dL.\nRESULTS: The median age at the onset of IgAVN was 8.0 years (IQR: 6.0-10.0). At biopsy, 44% of patients had nephrotic syndrome and 14% had kidney dysfunction. All patients were treated with combination therapy after biopsy. Abnormal proteinuria resolved after initial therapy in all 50 patients. However, eight patients (16%) had recurrence of proteinuria. Abnormal proteinuria was again resolved in three of these patients with additional treatment. At the last follow-up (median 59.5 months; IQR, 26.2-84.2), the median urine protein-to-creatine ratio was 0.08 g/gCr (IQR, 0.05-0.15), and only one patient had kidney dysfunction.\nCONCLUSIONS: Combination therapy provided good kidney outcomes for Japanese children with severe IgAVN. Even including recurrent cases, the degree of proteinuria was slight, and kidney function was good at the last follow-up. A higher resolution version of the Graphical abstract is available as Supplementary information.","container-title":"Pediatric Nephrology (Berlin, Germany)","DOI":"10.1007/s00467-023-06052-3","ISSN":"1432-198X","issue":"12","journalAbbreviation":"Pediatr Nephrol","language":"eng","note":"PMID: 37380934","page":"4023-4031","source":"PubMed","title":"Long-term outcome of combination therapy with corticosteroids, mizoribine and RAS inhibitors as initial therapy for severe childhood IgA vasculitis with nephritis","volume":"38","author":[{"family":"Nagai","given":"Sadayuki"},{"family":"Horinouchi","given":"Tomoko"},{"family":"Ninchoji","given":"Takeshi"},{"family":"Ichikawa","given":"Yuta"},{"family":"Tanaka","given":"Yu"},{"family":"Kitakado","given":"Hideaki"},{"family":"Ueda","given":"Chika"},{"family":"Kondo","given":"Atsushi"},{"family":"Aoto","given":"Yuya"},{"family":"Sakakibara","given":"Nana"},{"family":"Kaito","given":"Hiroshi"},{"family":"Tanaka","given":"Ryojiro"},{"family":"Shima","given":"Yuko"},{"family":"Fujimura","given":"Junya"},{"family":"Kamiyoshi","given":"Naohiro"},{"family":"Ishimori","given":"Shingo"},{"family":"Nakanishi","given":"Koichi"},{"family":"Yoshikawa","given":"Norishige"},{"family":"Iijima","given":"Kazumoto"},{"family":"Nozu","given":"Kandai"}],"issued":{"date-parts":[["2023",12]]}}},{"id":114,"uris":["http://zotero.org/users/local/lvPLY4Gu/items/AJ58XJZ9"],"itemData":{"id":114,"type":"article-journal","abstract":"RATIONALE &amp; OBJECTIVE: Individuals with IgA vasculitis nephritis (IGAVN) may develop rapidly progressive glomerulonephritis and/or nephrotic-range proteinuria, which are associated with worse prognosis. We report our experience of treatment of children with IGAVN with nephrotic-range proteinuria.\nSTUDY DESIGN: Case series.\nSETTING &amp; PARTICIPANTS: We retrospectively analyzed all children who presented with IGAVN, cutaneous purpura, and nephrotic-range proteinuria from January 1, 2000 until December 31, 2018.\nOUTCOME: We evaluated time required to achieve remission of proteinuria, resolution of hematuria, and glomerular filtration rate (GFR) at 12 months and last follow-up.\nRESULTS: Twelve patients, 8 boys and 4 girls, mean age 7.5 years (range 4-15) were included in the study. Mean urinary protein to creatinine ratio (UPC) was 12.5 ± 8.7 mg/mg and GFR 90.7 ± 19.1 mL/min/1.73 m2 before initiation of immunosuppression. All patients were treated with steroids and mycophenolate mofetil. Mean UPC declined progressively from 12.5 mg/mg to 4.6, 2.7, 0.3, and 0.2 mg/mg after 1, 3, 6, and 12 months, respectively. All patients achieved remission of proteinuria (UPC &lt;0.3 mg/mg) and normalization of kidney function (GFR 102.2 ± 8.0 mL/min/1.73 m2) at 12 months. Immunosuppression was successfully withdrawn in all patients, and at last follow-up (mean 33.5 months), all patients except one remained in remission. All patients except one that relapsed maintained normal GFR at the last follow-up.\nLIMITATIONS: Retrospective study, single-center experience, no standard immunosuppressive protocol, lack of control group.\nCONCLUSIONS: Remission can be achieved in patients with IGAVN and nephrotic-range proteinuria using mycophenolate mofetil-based immunosuppression. Magnitude of proteinuria is a key laboratory finding that correlates with time to achieve remission. Prolonged follow-up of patients with severe IGAVN is warranted.","container-title":"Kidney Medicine","DOI":"10.1016/j.xkme.2022.100534","ISSN":"2590-0595","issue":"10","journalAbbreviation":"Kidney Med","language":"eng","note":"PMID: 36159165\nPMCID: PMC9490199","page":"100534","source":"PubMed","title":"Mycophenolate Mofetil for Severe IgA Vasculitis Nephropathy in Children: An Observational Study","title-short":"Mycophenolate Mofetil for Severe IgA Vasculitis Nephropathy in Children","volume":"4","author":[{"family":"Samsonov","given":"Dmitry"},{"family":"Zolotnitskaya","given":"Anna"},{"family":"Matloff","given":"Robyn"},{"family":"Pereira","given":"Tanya"},{"family":"Solomon","given":"Sonia"}],"issued":{"date-parts":[["2022",10]]}}},{"id":117,"uris":["http://zotero.org/users/local/lvPLY4Gu/items/28F6DCNN"],"itemData":{"id":117,"type":"article-journal","abstract":"BACKGROUND: IgA vasculitis is the most common vasculitis in children and is often complicated by acute nephritis (IgAVN). Risk of chronic kidney disease (CKD) among children with IgAVN remains unknown. This study aimed to describe the clinical management and kidney outcomes in a large cohort of children with IgAVN.\nMETHODS: This observational cohort study used the PEDSnet database to identify children diagnosed with IgAV between January 1, 2009, and February 29, 2020. Demographic and clinical characteristics were compared among children with and without kidney involvement. For children followed by nephrology, clinical course, and management patterns were described. Patients were divided into four categories based on treatment: observation, renin-angiotensin-aldosterone system (RAAS) blockade, corticosteroids, and other immunosuppression, and outcomes were compared among these groups.\nRESULTS: A total of 6802 children had a diagnosis of IgAV, of whom 1139 (16.7%) were followed by nephrology for at least 2 visits over a median follow-up period of 1.7 years [0.4,4.2]. Conservative management was the most predominant practice pattern, consisting of observation in 57% and RAAS blockade in 6%. Steroid monotherapy was used in 29% and other immunosuppression regimens in 8%. Children receiving immunosuppression had higher rates of proteinuria and hypertension compared to those managed with observation (p &lt; 0.001). At the end of follow-up, 2.6 and 0.5% developed CKD and kidney failure, respectively.\nCONCLUSIONS: Kidney outcomes over a limited follow-up period were favorable in a large cohort of children with IgAV. Immunosuppressive medications were used in those with more severe presentations and may have contributed to improved outcomes. A higher resolution version of the Graphical abstract is available as Supplementary information.","container-title":"Pediatric Nephrology (Berlin, Germany)","DOI":"10.1007/s00467-023-06023-8","ISSN":"1432-198X","issue":"11","journalAbbreviation":"Pediatr Nephrol","language":"eng","note":"PMID: 37316676\nPMCID: PMC10514113","page":"3721-3733","source":"PubMed","title":"Clinical course and management of children with IgA vasculitis with nephritis","volume":"38","author":[{"family":"Stone","given":"Hillarey K."},{"family":"Mitsnefes","given":"Mark"},{"family":"Dickinson","given":"Kimberley"},{"family":"Burrows","given":"Evanette K."},{"family":"Razzaghi","given":"Hanieh"},{"family":"Luna","given":"Ingrid Y."},{"family":"Gluck","given":"Caroline A."},{"family":"Dixon","given":"Bradley P."},{"family":"Dharnidharka","given":"Vikas R."},{"family":"Smoyer","given":"William E."},{"family":"Somers","given":"Michael J."},{"family":"Flynn","given":"Joseph T."},{"family":"Furth","given":"Susan L."},{"family":"Bailey","given":"Charles"},{"family":"Forrest","given":"Christopher B."},{"family":"Denburg","given":"Michelle"},{"family":"Nehus","given":"Edward"}],"issued":{"date-parts":[["2023",11]]}}}],"schema":"https://github.com/citation-style-language/schema/raw/master/csl-citation.json"} </w:instrText>
      </w:r>
      <w:r w:rsidR="000E243B">
        <w:rPr>
          <w:rFonts w:cstheme="minorHAnsi"/>
          <w:color w:val="000000"/>
          <w:sz w:val="22"/>
          <w:szCs w:val="22"/>
          <w:shd w:val="clear" w:color="auto" w:fill="FFFFFF"/>
        </w:rPr>
        <w:fldChar w:fldCharType="separate"/>
      </w:r>
      <w:r w:rsidR="00642970" w:rsidRPr="00642970">
        <w:rPr>
          <w:rFonts w:ascii="Calibri" w:cs="Calibri"/>
          <w:color w:val="000000"/>
          <w:sz w:val="22"/>
        </w:rPr>
        <w:t>(39–46)</w:t>
      </w:r>
      <w:r w:rsidR="000E243B">
        <w:rPr>
          <w:rFonts w:cstheme="minorHAnsi"/>
          <w:color w:val="000000"/>
          <w:sz w:val="22"/>
          <w:szCs w:val="22"/>
          <w:shd w:val="clear" w:color="auto" w:fill="FFFFFF"/>
        </w:rPr>
        <w:fldChar w:fldCharType="end"/>
      </w:r>
      <w:r w:rsidR="000E243B">
        <w:rPr>
          <w:rFonts w:cstheme="minorHAnsi"/>
          <w:color w:val="000000"/>
          <w:sz w:val="22"/>
          <w:szCs w:val="22"/>
          <w:shd w:val="clear" w:color="auto" w:fill="FFFFFF"/>
        </w:rPr>
        <w:t xml:space="preserve"> </w:t>
      </w:r>
      <w:r w:rsidR="001630D4" w:rsidRPr="00362F9E">
        <w:rPr>
          <w:rFonts w:cstheme="minorHAnsi"/>
          <w:color w:val="000000"/>
          <w:sz w:val="22"/>
          <w:szCs w:val="22"/>
          <w:shd w:val="clear" w:color="auto" w:fill="FFFFFF"/>
        </w:rPr>
        <w:t xml:space="preserve">and 5 papers based on </w:t>
      </w:r>
      <w:proofErr w:type="spellStart"/>
      <w:r w:rsidR="001630D4" w:rsidRPr="00362F9E">
        <w:rPr>
          <w:rFonts w:cstheme="minorHAnsi"/>
          <w:color w:val="000000"/>
          <w:sz w:val="22"/>
          <w:szCs w:val="22"/>
          <w:shd w:val="clear" w:color="auto" w:fill="FFFFFF"/>
        </w:rPr>
        <w:t>IgAN</w:t>
      </w:r>
      <w:proofErr w:type="spellEnd"/>
      <w:r w:rsidR="00D60FDD">
        <w:rPr>
          <w:rFonts w:cstheme="minorHAnsi"/>
          <w:color w:val="000000"/>
          <w:sz w:val="22"/>
          <w:szCs w:val="22"/>
          <w:shd w:val="clear" w:color="auto" w:fill="FFFFFF"/>
        </w:rPr>
        <w:t xml:space="preserve"> </w:t>
      </w:r>
      <w:r w:rsidR="000E243B">
        <w:rPr>
          <w:rFonts w:cstheme="minorHAnsi"/>
          <w:color w:val="000000"/>
          <w:sz w:val="22"/>
          <w:szCs w:val="22"/>
          <w:shd w:val="clear" w:color="auto" w:fill="FFFFFF"/>
        </w:rPr>
        <w:fldChar w:fldCharType="begin"/>
      </w:r>
      <w:r w:rsidR="00642970">
        <w:rPr>
          <w:rFonts w:cstheme="minorHAnsi"/>
          <w:color w:val="000000"/>
          <w:sz w:val="22"/>
          <w:szCs w:val="22"/>
          <w:shd w:val="clear" w:color="auto" w:fill="FFFFFF"/>
        </w:rPr>
        <w:instrText xml:space="preserve"> ADDIN ZOTERO_ITEM CSL_CITATION {"citationID":"XIav0xCo","properties":{"formattedCitation":"(47\\uc0\\u8211{}51)","plainCitation":"(47–51)","noteIndex":0},"citationItems":[{"id":89,"uris":["http://zotero.org/users/local/lvPLY4Gu/items/758MUMLJ"],"itemData":{"id":89,"type":"article-journal","abstract":"BACKGROUND: IgA nephropathy (IgAN) is the most common cause of primary glomerulonephritis. It is a heterogeneous disease with different presentations and high morbidity. Thirty per cent of adults and 20% of children (followed into adulthood) will have a 50% decline in kidney function or develop kidney failure after 10 years.\nOBJECTIVES: To determine the benefits and harms of immunosuppressive therapy for the treatment of IgAN in children.\nSEARCH METHODS: We contacted the Information Specialist and searched the Cochrane Kidney and Transplant Register of Studies up to 03 October 2023 using search terms relevant to this review. Studies in the Register are identified through searches of CENTRAL, MEDLINE, and EMBASE, conference proceedings, the International Clinical Trials Registry Platform (ICTRP) Search Portal, and ClinicalTrials.gov.\nSELECTION CRITERIA: We included randomised controlled trials (RCTs) and non-randomised studies of interventions (NRSIs) investigating the treatment of IgAN in children with immunosuppressive therapies compared to placebo, no treatment, supportive care, standard therapy (Japanese protocol), other immunosuppressive therapies or non-immunosuppressive therapies.\nDATA COLLECTION AND ANALYSIS: Two authors independently extracted data and assessed the risk of bias. Random effects meta-analyses were used to summarise estimates of treatment effects. Treatment effects were expressed as risk ratios (RR) and 95% confidence intervals (CI) for dichotomous outcomes, and the mean difference (MD) and 95% CI for continuous outcomes. The risk of bias was assessed using the Cochrane risk of bias tool for RCTs and the ROBIN-I tool for NRSIs. The certainty of the evidence was assessed using Grading of Recommendations, Assessment, Development, and Evaluations (GRADE).\nMAIN RESULTS: This review included 13 studies with 686 participants. Ten RCTs included 334 children and 191 adults, and three NRSIs included 151 participants, all children. Most participants had mild kidney disease. The risk of bias was unclear for most of the domains relating to allocation concealment, blinding of participants, personnel, and outcome assessment. In children with IgAN, it is uncertain if corticosteroid (steroid) therapy, compared to placebo reduces proteinuria (1 study, 64 children and young adults: RR 0.47, 95% CI 0.13 to 1.72; low certainty evidence) or the decline in estimated glomerular filtration rate (eGFR) (1 study, 64 children and young adults: RR 0.47, 95% CI 0.09 to 2.39; low certainty evidence). It is uncertain if steroids reduce proteinuria compared to supportive care (2 studies, 61 children: RR 0.04, 95% CI -0.83 to 0.72; low certainty evidence). Adverse events associated with steroid therapy were not assessed due to heterogeneity in steroid protocols, including dose and duration, and lack of systematic assessment for adverse events in the included studies. Azathioprine, mycophenolate mofetil, mizoribine, or cyclophosphamide alone or in combination with steroid therapy had uncertain effects on improving proteinuria or preventing eGFR decline in children with IgAN. Fish oil, vitamin E and tonsillectomy had uncertain effects on improving proteinuria or preventing eGFR decline. Effects of other immunosuppressive therapies, secondary outcomes and adverse events were not assessed due to insufficient data.\nAUTHORS' CONCLUSIONS: There is a lack of high-quality evidence to guide the management of IgAN in children. There is no evidence to indicate that steroids, other immunosuppressive therapies, or tonsillectomy, when added to optimal supportive care, prevent a decline in eGFR or proteinuria in children with IgAN. Available studies were few, with small numbers, low-quality evidence, high or uncertain risk of bias, did not systematically assess harms associated with treatment, or report net benefits or harms. Severe cases and atypical presentations of IgAN were not included in the reviewed studies, and our findings cannot be generalised to these situations.","container-title":"The Cochrane Database of Systematic Reviews","DOI":"10.1002/14651858.CD015060.pub2","ISSN":"1469-493X","issue":"6","journalAbbreviation":"Cochrane Database Syst Rev","language":"eng","note":"PMID: 38864363\nPMCID: PMC11167693","page":"CD015060","source":"PubMed","title":"Immunosuppressive therapy for IgA nephropathy in children","volume":"6","author":[{"family":"Alladin","given":"Areefa"},{"family":"Hahn","given":"Deirdre"},{"family":"Hodson","given":"Elisabeth M."},{"family":"Ravani","given":"Pietro"},{"family":"Pfister","given":"Kenneth"},{"family":"Quinn","given":"Robert R."},{"family":"Samuel","given":"Susan M."}],"issued":{"date-parts":[["2024",6,12]]}}},{"id":91,"uris":["http://zotero.org/users/local/lvPLY4Gu/items/FJQ2HVJP"],"itemData":{"id":91,"type":"article-journal","abstract":"BACKGROUND: Patients with immunoglobulin A nephropathy who present with focal mesangial proliferation (focal IgAN) can have a relatively good prognosis, and renin-angiotensin system inhibitor (RAS-i) is commonly used as the initial treatment. However, there are some complicated focal IgAN cases with resistance to RAS-i treatment or nephrotic-range proteinuria. Thus, combination therapy including corticosteroids is often used. This study aimed to evaluate the efficacy of combination therapy for complicated focal IgAN cases by comparing to diffuse mesangial proliferation (diffuse IgAN).\nMETHODS: We conducted a multicenter retrospective study on 88 children who received 2-year combination therapy. The participants were classified based on pathological severity: focal IgAN (n = 26) and diffuse IgAN (n = 62).\nRESULTS: In total, 26 patients with focal IgAN and 52 with diffuse IgAN achieved proteinuria disappearance within 2 years (100 vs. 83.9%, P = 0.03). Moreover, the time to proteinuria disappearance was significantly shorter in the focal IgAN group than in the diffuse IgAN group (2.9 vs. 4.2 months, P &lt; 0.01) and all patients with focal IgAN achieved proteinuria disappearance within 8 months. At the last observation (8.6 vs. 10.4 years, P = 0.13), only patients with diffuse IgAN (n = 12) had greater than stage 2 chronic kidney disease. In terms of irreversible adverse events, one patient exhibited cataracts.\nCONCLUSION: Combination therapy was significantly effective in patients with complicated focal IgAN. Moreover, the long-term prognosis was good, and the duration of combination therapy for complicated focal IgAN can be decreased to reduce adverse events.","container-title":"Clinical and Experimental Nephrology","DOI":"10.1007/s10157-022-02190-4","ISSN":"1437-7799","issue":"6","journalAbbreviation":"Clin Exp Nephrol","language":"eng","note":"PMID: 35138499","page":"561-570","source":"PubMed","title":"Efficacy of combination therapy for childhood complicated focal IgA nephropathy","volume":"26","author":[{"family":"Aoto","given":"Yuya"},{"family":"Ninchoji","given":"Takeshi"},{"family":"Kaito","given":"Hiroshi"},{"family":"Shima","given":"Yuko"},{"family":"Fujimura","given":"Junya"},{"family":"Kamiyoshi","given":"Naohiro"},{"family":"Ishimori","given":"Shingo"},{"family":"Nakanishi","given":"Koichi"},{"family":"Minamikawa","given":"Shogo"},{"family":"Ishiko","given":"Shinya"},{"family":"Sakakibara","given":"Nana"},{"family":"Nagano","given":"China"},{"family":"Horinouchi","given":"Tomoko"},{"family":"Yamamura","given":"Tomohiko"},{"family":"Nagai","given":"Sadayuki"},{"family":"Kondo","given":"Atsushi"},{"family":"Inaguma","given":"Yosuke"},{"family":"Tanaka","given":"Ryojiro"},{"family":"Yoshikawa","given":"Norishige"},{"family":"Iijima","given":"Kazumoto"},{"family":"Nozu","given":"Kandai"}],"issued":{"date-parts":[["2022",6]]}}},{"id":93,"uris":["http://zotero.org/users/local/lvPLY4Gu/items/KAV4IALP"],"itemData":{"id":93,"type":"article-journal","abstract":"BACKGROUND: There is no standard recommendation for IgA nephropathy treatment in children.\nMETHODS: This is a retrospective study. From 2012 to 2020, newly diagnosed primary IgAN followed up for at least 1 year were enrolled. The correlation of MESTC scores and clinical index including proteinuria, gross hematuria and renal dysfunction was analyzed. Treatment and clinical response of 6 month, 1year and 3 year at follow up were also analyzed. Complete renal remission was calculated with Kaplan-Meier analysis.\nRESULTS: The median follow up was 36 months, from 12 months to 87months in 40 IgAN children. Angiotensin-converting enzyme inhibitor (ACEI) was applied to all patients. 30% received ACEI alone; 15% received glucocorticoids; 37.5% received glucocorticoids plus cyclophosphamide, 17.5% received glucocorticoids plus mycophenolate mofetil. Individuals with diffuse mesangial hypercellularity (M1) were more likely to have nephrotic range proteinuria compared to patients with M0 (80% vs. 20%, P &lt; 0.01). Complete renal remission at 6-month, 1-year and 3-year follow up is 50.25%, 70% and 87.5% respectively. Five-year complete renal remission calculated by Kaplan-Meier analysis is 58.4%. Although without significant difference, there is trend of better survival with complete renal remission in group of nephrotic range proteinuria onset. There is no severe adverse effect.\nCONCLUSION: This study supports the use of glucocorticoids plus immunosuppressive in addition to ACEI in IgA nephrology pediatric patients with proteinuria. We suggest proactive immunosuppressive treatment in IgA nephropathy in children. This is from a single center in China as may not same results in other population.","container-title":"BMC pediatrics","DOI":"10.1186/s12887-023-04195-8","ISSN":"1471-2431","issue":"1","journalAbbreviation":"BMC Pediatr","language":"eng","note":"PMID: 37495962\nPMCID: PMC10373308","page":"377","source":"PubMed","title":"Treatment and outcome of IgA nephropathy in children from one single center experience","volume":"23","author":[{"family":"Mao","given":"Youying"},{"family":"Zhou","given":"Wei"},{"family":"Zhou","given":"Zhengyu"},{"family":"Zhang","given":"Chenxing"},{"family":"Shen","given":"Jiayao"},{"family":"Yin","given":"Lei"}],"issued":{"date-parts":[["2023",7,26]]}}},{"id":96,"uris":["http://zotero.org/users/local/lvPLY4Gu/items/YGSGPGKJ"],"itemData":{"id":96,"type":"article-journal","abstract":"BACKGROUND: IgA nephropathy (IgAN) is the most common primary glomerular disease, with approximately 20% to 40% of patients progressing to kidney failure within 25 years. Non-immunosuppressive treatment has become a mainstay in the management of IgAN by improving blood pressure (BP) management, decreasing proteinuria, and avoiding the risks of long-term immunosuppressive management. Due to the slowly progressive nature of the disease, clinical trials are often underpowered, and conflicting information about management with non-immunosuppressive treatment is common. This is an update of a Cochrane review, first published in 2011.\nOBJECTIVES: To assess the benefits and harms of non-immunosuppressive treatment for treating IgAN in adults and children. We aimed to examine all non-immunosuppressive therapies (e.g. anticoagulants, antihypertensives, dietary restriction and supplementation, tonsillectomy, and herbal medicines) in the management of IgAN.\nSEARCH METHODS: We searched the Cochrane Kidney and Transplant Register of Studies up to December 2023 through contact with the Information Specialist using search terms relevant to this review. Studies in the Register are identified through searches of CENTRAL, MEDLINE, EMBASE, conference proceedings, the International Clinical Trials Registry Platform (ICTRP) Search Portal and ClinicalTrials.gov.\nSELECTION CRITERIA: Randomised controlled trials (RCTs) and quasi-RCTs of non-immunosuppressive agents in adults and children with biopsy-proven IgAN were included.\nDATA COLLECTION AND ANALYSIS: Two authors independently reviewed search results, extracted data and assessed study quality. Results were expressed as mean differences (MD) for continuous outcomes and risk ratios (RR) for dichotomous outcomes with 95% confidence intervals (CI) using random-effects meta-analysis. Confidence in the evidence was assessed using the Grading of Recommendations Assessment, Development and Evaluation (GRADE) approach.\nMAIN RESULTS: This review includes 80 studies (4856 participants), of which 24 new studies (2018 participants) were included in this review update. The risk of bias within the included studies was mostly high or unclear for many of the assessed methodological domains, with poor reporting of important key clinical trial methods in most studies. Antihypertensive therapies were the most examined non-immunosuppressive therapy (37 studies, 1799 participants). Compared to placebo or no treatment, renin-angiotensin system (RAS) inhibition probably decreases proteinuria (3 studies, 199 participants: MD - 0.71 g/24 h, 95% CI -1.04 to -0.39; moderate certainty evidence) but may result in little or no difference to kidney failure or doubling of serum creatinine (SCr), or complete remission of proteinuria (low certainty evidence). Death, remission of haematuria, relapse of proteinuria or &gt; 50% increase in SCr were not reported. Compared to symptomatic treatment, RAS inhibition (3 studies, 168 participants) probably decreases proteinuria (MD -1.16 g/24 h, 95% CI -1.52 to -0.81) and SCr (MD -9.37 µmol/L, 95% CI -71.95 to -6.80) and probably increases creatinine clearance (2 studies, 127 participants: MD 23.26 mL/min, 95% CI 10.40 to 36.12) (all moderate certainty evidence); however, the risk of kidney failure is uncertain (1 study, 34 participants: RR 0.20, 95% CI 0.01 to 3.88; very low certainty evidence). Death, remission of proteinuria or haematuria, or relapse of proteinuria were not reported. The risk of adverse events may be no different with RAS inhibition compared to either placebo or symptomatic treatment (low certainty evidence). In low certainty evidence, tonsillectomy in people with IgAN in addition to standard care may increase remission of proteinuria compared to standard care alone (2 studies, 143 participants: RR 1.90, 95% CI 1.45 to 2.47) and remission of microscopic haematuria (2 studies, 143 participants: RR 1.93, 95% CI 1.47 to 2.53) and may decrease relapse of proteinuria (1 study, 73 participants: RR 0.70, 95% CI 0.57 to 0.85) and relapse of haematuria (1 study, 72 participants: RR 0.70, 95% CI 0.51 to 0.98). Death, kidney failure and a &gt; 50% increase in SCr were not reported. These trials have only been conducted in Japanese people with IgAN, and the findings' generalisability is unclear. Anticoagulant therapy, fish oil, and traditional Chinese medicines exhibited small benefits to kidney function in patients with IgAN when compared to placebo or no treatment. However, compared to standard care, the kidney function benefits are no longer evident. Antimalarial therapy compared to placebo in one study reported an increase in a &gt; 50% reduction of proteinuria (53 participants: RR 3.13 g/24 h, 95% CI 1.17 to 8.36; low certainty evidence). Although, there was uncertainty regarding adverse events from this study due to very few events.\nAUTHORS' CONCLUSIONS: Available RCTs focused on a diverse range of interventions. They were few, small, and of insufficient duration to determine potential long-term benefits on important kidney and cardiovascular outcomes and harms of treatment. Antihypertensive agents appear to be the most beneficial non-immunosuppressive intervention for IgAN. The antihypertensives examined were predominantly angiotensin-converting enzyme inhibitors or angiotensin receptor blockers. The benefits of RAS inhibition appear to outweigh the harms in patients with IgAN. The certainty of the evidence of RCTs demonstrating a benefit of tonsillectomy to patients with Japanese patients with IgAN was low. In addition, these findings are inconsistent across observational studies in people with IgAN of other ethnicities; hence, tonsillectomy is not widely recommended, given the potential harm of therapy. The RCT evidence is insufficiently robust to demonstrate efficacy for the other non-immunosuppressive treatments evaluated here.","container-title":"The Cochrane Database of Systematic Reviews","DOI":"10.1002/14651858.CD003962.pub3","ISSN":"1469-493X","issue":"2","journalAbbreviation":"Cochrane Database Syst Rev","language":"eng","note":"PMID: 38299639\nPMCID: PMC10832348","page":"CD003962","source":"PubMed","title":"Non-immunosuppressive treatment for IgA nephropathy","volume":"2","author":[{"family":"Tunnicliffe","given":"David J."},{"family":"Reid","given":"Sharon"},{"family":"Craig","given":"Jonathan C."},{"family":"Samuels","given":"Joshua A."},{"family":"Molony","given":"Donald A."},{"family":"Strippoli","given":"Giovanni Fm"}],"issued":{"date-parts":[["2024",2,1]]}}},{"id":99,"uris":["http://zotero.org/users/local/lvPLY4Gu/items/AQGLHIQQ"],"itemData":{"id":99,"type":"article-journal","abstract":"BACKGROUND: IgA nephropathy (IgAN) is one of the most prevalent primary glomerulopathies in children. There are various studies investigating the efficacy of angiotensin-converting enzyme inhibitors (ACEI) and angiotensin II receptor blockers (ARB) in adults with IgAN. However, only few studies evaluated the efficacy of these medications in pediatric patients.\nOBJECTIVE: To evaluate the efficacy and safety of ACEI/ARB in children with IgAN.\nDATA SOURCES: Databases including PubMed, Web of Science, Cochrane, Scopus, and Google Scholar were searched between the 1st of April and 20th of July of 2021 using the keywords \"IgA Nephropathy,\" \"Berger's Disease,\" \"Angiotensin-Converting Enzyme Inhibitors,\" \"Angiotensin Receptor Antagonists,\" \"Angiotensin II Type 1 Receptor Blockers,\" and similar entry terms collected from the Medical Subject Headings (MeSH).\nSTUDY ELIGIBILITY CRITERIA: Observational studies (case series, case-control, cohort, and cross-sectional) and clinical trials with descriptions of pediatric patients (under 19 years old) with histopathological diagnosis of IgA nephropathy and who received ACEI and/or ARB.\nPARTICIPANTS AND INTERVENTIONS: Pediatric patients (under 19 years old) with histopathological diagnosis of IgA nephropathy and who received ACEI and/or ARB.\nSTUDY APPRAISAL: For quality assessment, the Risk of Bias 2 tool (RoB 2), the Risk Of Bias In Non-randomized Studies of Interventions tool (ROBINS-I), the National Institutes of Health (NIH) quality assessment tool, and the Newcastle-Ottawa Scale (NOS) were used.\nRESULTS: After recovering 1,471 studies, only eight, published between 2003 and 2019, met the eligibility criteria and were included in this systematic review. Of the 737 included children in the studies, 202 (25.8%) used ACEI/ARB and were compared with placebo and other therapy regimens. Of the seven studies that evaluated proteinuria, six reported an efficacy of ACEI/ARB in reducing this marker. ACEI/ARB also showed a possible effect in reducing hematuria and oxidative stress. The most common side effect was dizziness.\nLIMITATIONS: The number of studies about the treatment with ACEI/ARB in children with IgAN is scarce. In addition, the studies are very heterogeneous. There are few studies that compared ACEI/ARB with placebo.\nCONCLUSIONS AND IMPLICATIONS OF KEY FINDINGS: The use of ACEI and/or ARB appears to be safe and to reduce proteinuria in pediatric patients with IgAN. Nonetheless, further randomized controlled trials, with greater methodological rigor and longer follow-up time, are required to establish the efficacy and safety of this therapy in this population.\nSYSTEMATIC REVIEW REGISTRATION NUMBER: The protocol of this systematic literature review was registered in PROSPERO under the number CRD42021245375, and in the OSF registries ( https://osf.io/qft4z/ ) with the registration https://doi.org/10.17605/OSF.IO/VADYR . A higher resolution version of the Graphical abstract is available as Supplementary information.","container-title":"Pediatric Nephrology (Berlin, Germany)","DOI":"10.1007/s00467-021-05316-0","ISSN":"1432-198X","issue":"3","journalAbbreviation":"Pediatr Nephrol","language":"eng","note":"PMID: 34686915","page":"499-508","source":"PubMed","title":"Efficacy and safety of angiotensin-converting enzyme inhibitors or angiotensin receptor blockers for IgA nephropathy in children","volume":"37","author":[{"family":"Vaz de Castro","given":"Pedro Alves Soares"},{"family":"Bitencourt","given":"Letícia"},{"family":"Pereira","given":"Bruno Wilnes Simas"},{"family":"Lima","given":"Ananda Queiroz Rocha"},{"family":"Hermida","given":"Henrique Santos"},{"family":"Moreira Neto","given":"Carlos Roberto"},{"family":"Mestriner","given":"Mariana Dinamarco"},{"family":"Simões E Silva","given":"Ana Cristina"}],"issued":{"date-parts":[["2022",3]]}}}],"schema":"https://github.com/citation-style-language/schema/raw/master/csl-citation.json"} </w:instrText>
      </w:r>
      <w:r w:rsidR="000E243B">
        <w:rPr>
          <w:rFonts w:cstheme="minorHAnsi"/>
          <w:color w:val="000000"/>
          <w:sz w:val="22"/>
          <w:szCs w:val="22"/>
          <w:shd w:val="clear" w:color="auto" w:fill="FFFFFF"/>
        </w:rPr>
        <w:fldChar w:fldCharType="separate"/>
      </w:r>
      <w:r w:rsidR="00642970" w:rsidRPr="00642970">
        <w:rPr>
          <w:rFonts w:ascii="Calibri" w:cs="Calibri"/>
          <w:color w:val="000000"/>
          <w:sz w:val="22"/>
        </w:rPr>
        <w:t>(47–51)</w:t>
      </w:r>
      <w:r w:rsidR="000E243B">
        <w:rPr>
          <w:rFonts w:cstheme="minorHAnsi"/>
          <w:color w:val="000000"/>
          <w:sz w:val="22"/>
          <w:szCs w:val="22"/>
          <w:shd w:val="clear" w:color="auto" w:fill="FFFFFF"/>
        </w:rPr>
        <w:fldChar w:fldCharType="end"/>
      </w:r>
      <w:r w:rsidR="001630D4" w:rsidRPr="00362F9E">
        <w:rPr>
          <w:rFonts w:cstheme="minorHAnsi"/>
          <w:color w:val="000000"/>
          <w:sz w:val="22"/>
          <w:szCs w:val="22"/>
          <w:shd w:val="clear" w:color="auto" w:fill="FFFFFF"/>
        </w:rPr>
        <w:t xml:space="preserve">. </w:t>
      </w:r>
      <w:r w:rsidR="001630D4" w:rsidRPr="004E555A">
        <w:rPr>
          <w:rFonts w:cstheme="minorHAnsi"/>
          <w:color w:val="000000"/>
          <w:sz w:val="22"/>
          <w:szCs w:val="22"/>
          <w:shd w:val="clear" w:color="auto" w:fill="FFFFFF"/>
        </w:rPr>
        <w:t xml:space="preserve">Using the </w:t>
      </w:r>
      <w:r w:rsidR="00D20CBA" w:rsidRPr="004E555A">
        <w:rPr>
          <w:rFonts w:cstheme="minorHAnsi"/>
          <w:color w:val="000000"/>
          <w:sz w:val="22"/>
          <w:szCs w:val="22"/>
          <w:shd w:val="clear" w:color="auto" w:fill="FFFFFF"/>
        </w:rPr>
        <w:t>period</w:t>
      </w:r>
      <w:r w:rsidR="00055DA9" w:rsidRPr="004E555A">
        <w:rPr>
          <w:rFonts w:cstheme="minorHAnsi"/>
          <w:color w:val="000000"/>
          <w:sz w:val="22"/>
          <w:szCs w:val="22"/>
          <w:shd w:val="clear" w:color="auto" w:fill="FFFFFF"/>
        </w:rPr>
        <w:t xml:space="preserve"> for the </w:t>
      </w:r>
      <w:r w:rsidR="001630D4" w:rsidRPr="004E555A">
        <w:rPr>
          <w:rFonts w:cstheme="minorHAnsi"/>
          <w:color w:val="000000"/>
          <w:sz w:val="22"/>
          <w:szCs w:val="22"/>
          <w:shd w:val="clear" w:color="auto" w:fill="FFFFFF"/>
        </w:rPr>
        <w:t>literature review, there were 5 MN</w:t>
      </w:r>
      <w:r w:rsidR="000E243B">
        <w:rPr>
          <w:rFonts w:cstheme="minorHAnsi"/>
          <w:color w:val="000000"/>
          <w:sz w:val="22"/>
          <w:szCs w:val="22"/>
          <w:shd w:val="clear" w:color="auto" w:fill="FFFFFF"/>
        </w:rPr>
        <w:t xml:space="preserve"> </w:t>
      </w:r>
      <w:r w:rsidR="000E243B">
        <w:rPr>
          <w:rFonts w:cstheme="minorHAnsi"/>
          <w:color w:val="000000"/>
          <w:sz w:val="22"/>
          <w:szCs w:val="22"/>
          <w:shd w:val="clear" w:color="auto" w:fill="FFFFFF"/>
        </w:rPr>
        <w:fldChar w:fldCharType="begin"/>
      </w:r>
      <w:r w:rsidR="00642970">
        <w:rPr>
          <w:rFonts w:cstheme="minorHAnsi"/>
          <w:color w:val="000000"/>
          <w:sz w:val="22"/>
          <w:szCs w:val="22"/>
          <w:shd w:val="clear" w:color="auto" w:fill="FFFFFF"/>
        </w:rPr>
        <w:instrText xml:space="preserve"> ADDIN ZOTERO_ITEM CSL_CITATION {"citationID":"YY5NYxvC","properties":{"formattedCitation":"(52\\uc0\\u8211{}56)","plainCitation":"(52–56)","noteIndex":0},"citationItems":[{"id":120,"uris":["http://zotero.org/users/local/lvPLY4Gu/items/MZTXNGUS"],"itemData":{"id":120,"type":"article-journal","abstract":"Membranous nephropathy (MN) is an uncommon cause of steroid-resistant nephrotic syndrome in children. Our study aimed to determine the clinicopathologic features of primary MN in children and their association with short-term outcome. This observational study was conducted from January 2009 to June 2017 at the Pediatric Nephrology Department. A total of 50 children were diagnosed with primary MN. Their clinical, laboratory, and histopathological findings on renal biopsy were recorded. The minimum follow-up was for six months. Clinicopathologic features were correlated with the outcome at the last follow-up. Data analysis was done using IBM SPSS Statistics for Windows software version 20.0. The mean age at onset was 10.92 ± 3.08 years (range: 4-17 years). The male-to-female ratio was 3:1. The serum albumin of ≤2.5 g/dL was seen in 40 patients (80%), hypertension was present in 38 (76%), and heavy proteinuria was seen in 32 children (70%). The mean estimated glomerular filtration rate (eGFR) at presentation was 178.71 ± 0.78 mL/min/1.73 m2. At the initial visit, nine children (18.4%) were in chronic kidney disease stage 2 and one (2%) in stage 4. Phospholipase A2 receptor antibody was present in five (15%) of 32 children tested. At the last follow-up (28 interquartile range: 25.5 months), 11 children (26%) were in complete remission and 25 (66%) had achieved partial remission. The mean eGFR had reduced to 145.84 ± 78.05 mL/min/1.73 m2. Patients with normal initial eGFR were more likely to go into remission (P = 0.001). The short-term outcome of childhood primary MN is relatively good in our setup. A multicenter collaborative study is required to determine prognostic factors and to standardize treatment in this uncommon nephropathy.","container-title":"Saudi Journal of Kidney Diseases and Transplantation: An Official Publication of the Saudi Center for Organ Transplantation, Saudi Arabia","DOI":"10.4103/1319-2442.301174","ISSN":"1319-2442","issue":"5","journalAbbreviation":"Saudi J Kidney Dis Transpl","language":"eng","note":"PMID: 33229772","page":"1078-1084","source":"PubMed","title":"Clinicopathologic Features and the Association with Short-Term Outcome of Primary Membranous Nephropathy in Children: A Single-Center Study from Pakistan","title-short":"Clinicopathologic Features and the Association with Short-Term Outcome of Primary Membranous Nephropathy in Children","volume":"31","author":[{"family":"Aziz","given":"Madiha"},{"family":"Ehsan","given":"Afshan"},{"family":"Mubarak","given":"Muhammed"},{"family":"Lanewala","given":"Ali Asghar"},{"family":"Hashmi","given":"Seema"}],"issued":{"date-parts":[["2020"]]}}},{"id":122,"uris":["http://zotero.org/users/local/lvPLY4Gu/items/JFF7QQ6B"],"itemData":{"id":122,"type":"article-journal","abstract":"BACKGROUND: Idiopathic membranous nephropathy (IMN) is one of the most common causes of primary nephrotic syndrome in adults. However, it is a relatively rare entity in the pediatric population and there is a paucity of data about the incidence, prognosis, and optimal treatment of IMN in children and adolescents. We conducted this study to evaluate pediatric patients with IMN in order to clarify the presentation, response to therapy, and clinical outcome.\nMETHODS: A retrospective chart review was performed on patients identified with biopsy-proven IMN between 1988-2005. Patients with systemic lupus erythematosus or hepatitis-related lesions were excluded. The following data were tabulated: age, gender, ethnicity, presenting clinical and laboratory findings, proteinuria in a first morning urine specimen, estimated glomerular filtration rate (GFRe), histopathology, type and duration of treatment, and clinical status at final evaluation.\nRESULTS: 13 cases of IMN were identified out of 460 renal biopsies performed for evaluation of primary kidney disease during the study interval. Mean age was 9.6 +/- 4.6, gender 6 M:7 F, ethnicity 8 W:2 B:3 H. At the initial visit hematuria was present in 9 patients, edema in 5, nephrotic-range proteinuria in 5, and hypertension in 3. Mean urinary protein:creatinine ratio 3.3 +/- 2.5 and all patients had a normal GFRe. Classic glomerular findings of IMN were seen in all renal specimens, with concomitant interstitial changes in 2 cases. Treatment included an angiotensin converting enzyme inhibitor or angiotensin receptor blocker in 11 cases. Most patients were also given immunosuppressive medications - prednisone in 10, a calcineurin inhibitor in 5, and mycophenolate mofetil or azathioprine in 3 patients. At the last follow-up, 42 +/- 35 months after the diagnostic biopsy, 7 children were hypertensive and the urine protein:creatinine ratio was 2.3 +/- 3.1. The mean GFRe was 127 +/- 57 mL/min/m2. Three patients had Chronic Kidney Disease Stage 3, all of whom were also hypertensive.\nCONCLUSION: IMN is a rare but serious glomerulopathy in pediatrics. We estimate that it accounts for approximately 3% of renal biopsies. Long-term prognosis is guarded because approximately 50% of patients may have evidence of progressive kidney disease.","container-title":"BMC nephrology","DOI":"10.1186/1471-2369-8-11","ISSN":"1471-2369","journalAbbreviation":"BMC Nephrol","language":"eng","note":"PMID: 17683621\nPMCID: PMC1959515","page":"11","source":"PubMed","title":"Idiopathic membranous nephropathy in pediatric patients: presentation, response to therapy, and long-term outcome","title-short":"Idiopathic membranous nephropathy in pediatric patients","volume":"8","author":[{"family":"Chen","given":"Ashton"},{"family":"Frank","given":"Rachel"},{"family":"Vento","given":"Suzanne"},{"family":"Crosby","given":"Virginia"},{"family":"Chandra","given":"Manju"},{"family":"Gauthier","given":"Bernard"},{"family":"Valderrama","given":"Elsa"},{"family":"Trachtman","given":"Howard"}],"issued":{"date-parts":[["2007",8,6]]}}},{"id":125,"uris":["http://zotero.org/users/local/lvPLY4Gu/items/NAY534MY"],"itemData":{"id":125,"type":"article-journal","abstract":"AIM: Primary membranous nephropathy (PMN) accounts for only 1-2% of nephrotic syndrome in children. Antibodies to m-type phospholipase A2 receptor (aPLA2 R) is seen in 70% of adult PMN cases. The present study was undertaken to study m-type phospholipase A2 receptor (PLA2 R) status and clinical behavior in adolescent PMN cases.\nMETHODS: The present prospective observational study included adolescent (10-19 years) onset biopsy proved PMN. Patients were followed on a monthly basis with urine protein, serum albumin and creatinine. Serum aPLA2 R was done at baseline and at 6 and 12 months of starting treatment. Patients were treated as per unit's protocol.\nRESULTS: During the study period a total of 18 patients were enrolled. The mean age of the cases was 16.27 ± 2.39 (11-19) years. Seventeen (94.44%) patients presented with nephrotic syndrome. The mean proteinuria and serum albumin was 4.52 ± 1.93 (2.43-9.20) g/day and 2.1 ± 0.6 (1.1-3.4) g/dL respectively. PMN was PLA2 R related in 83%. aPLA2R and enhanced staining for PLA2 R in glomeruli was seen in 14 (77.78%) and 13 (72.22%), respectively. Clinical remission at the end of 6 and 12 months of therapy was seen in 11 (61.11%) and 9 (50%) subjects respectively. There was a significant association of aPLA2 R to clinical remission/ resistance.\nCONCLUSION: Primary membranous nephropathy in adolescent population is aPLA2 R related in over three-quarters of the cases and the response to therapy is seen in only half of them. aPLA2 R monitoring is clinically relevant and should be incorporated in the management of adolescent onset PMN.","container-title":"Nephrology (Carlton, Vic.)","DOI":"10.1111/nep.12835","ISSN":"1440-1797","issue":"9","journalAbbreviation":"Nephrology (Carlton)","language":"eng","note":"PMID: 27334445","page":"678-683","source":"PubMed","title":"Primary membranous nephropathy in adolescence: A prospective study","title-short":"Primary membranous nephropathy in adolescence","volume":"22","author":[{"family":"Kumar","given":"Vinod"},{"family":"Varma","given":"Ashwani Kumar"},{"family":"Nada","given":"Ritambhra"},{"family":"Ghosh","given":"Ratan"},{"family":"Suri","given":"Deepti"},{"family":"Gupta","given":"Anju"},{"family":"Kumar","given":"Vivek"},{"family":"Rathi","given":"Manish"},{"family":"Kohli","given":"Harbir"},{"family":"Jha","given":"Vivekanand"},{"family":"Gupta","given":"Krishan"},{"family":"Ramachandran","given":"Raja"}],"issued":{"date-parts":[["2017",9]]}}},{"id":127,"uris":["http://zotero.org/users/local/lvPLY4Gu/items/DPADZPDK"],"itemData":{"id":127,"type":"article-journal","abstract":"INTRODUCTION: The 2012 Kidney Disease: Improving Global Outcomes (KDIGO) Clinical Practice Guidelines for Glomerulonephritis recommend that patients with membranous nephropathy (MN) at risk for progression receive immunosuppressive therapy (IST), usually after 6 months of observation. A cyclophosphamide (CYC) or calcineurin inhibitor (CNI)-based regimen is recommended as first-line IST. However, the extent to which KDIGO recommendations are adopted in practice remains largely unknown.\nMETHODS: We evaluated prescribing practice among patients with primary MN (diagnosed 2010-2018) enrolled in the Cure Glomerulonephropathy Network (CureGN) cohort study. We also evaluated the availability of testing for phospholipase A2 receptor (PLA2R) in the contemporary era.\nRESULTS: Among 361 patients (324 adults and 37 children) with MN who were IST-naïve at biopsy and had at least 6 months of follow-up, 55% of adults and 58% of children initiated IST &lt;6 months after biopsy. Of these, 1 in 5 had no indication for (i.e., urine protein-to-creatinine ratio [uPCR] &lt;4 g/g) or an apparent contraindication to (i.e., an estimated glomerular filtration rate [eGFR] &lt;30 ml/min per 1.73 m2) IST. As first-line IST, half of treated patients received either CYC (16% of adults; 0% of children) or a CNI (40% and 46%, respectively), whereas 1 in 5 received corticosteroid monotherapy (20% and 27%, respectively) and 1 in 6 rituximab (15% and 15%, respectively). More than 80% of surveyed centers had access to PLA2R testing.\nCONCLUSION: These findings suggest that providers are not aware of, or lack confidence in, current KDIGO guidelines for MN. Treatment patterns observed in this cohort might critically inform the drafting of planned updates to KDIGO guidelines.","container-title":"Kidney International Reports","DOI":"10.1016/j.ekir.2019.09.005","ISSN":"2468-0249","issue":"12","journalAbbreviation":"Kidney Int Rep","language":"eng","note":"PMID: 31844809\nPMCID: PMC6895579","page":"1725-1734","source":"PubMed","title":"Treatment Patterns Among Adults and Children With Membranous Nephropathy in the Cure Glomerulonephropathy Network (CureGN)","volume":"4","author":[{"family":"O'Shaughnessy","given":"Michelle M."},{"family":"Troost","given":"Jonathan P."},{"family":"Bomback","given":"Andrew S."},{"family":"Hladunewich","given":"Michelle A."},{"family":"Ashoor","given":"Isa F."},{"family":"Gibson","given":"Keisha L."},{"family":"Matar","given":"Raed Bou"},{"family":"Selewski","given":"David T."},{"family":"Srivastava","given":"Tarak"},{"family":"Rheault","given":"Michelle N."},{"family":"Al-Uzri","given":"Amira"},{"family":"Kogon","given":"Amy J."},{"family":"Khalid","given":"Myda"},{"family":"Vento","given":"Suzanne"},{"family":"Sanghani","given":"Neil S."},{"family":"Gillespie","given":"Brenda W."},{"family":"Gipson","given":"Debbie S."},{"family":"Wang","given":"Chia-Shi"},{"family":"Parsa","given":"Afshin"},{"family":"Guay-Woodford","given":"Lisa"},{"family":"Laurin","given":"Louis-Philippe"}],"issued":{"date-parts":[["2019",12]]}}},{"id":129,"uris":["http://zotero.org/users/local/lvPLY4Gu/items/Y8M8M6PM"],"itemData":{"id":129,"type":"article-journal","abstract":"BACKGROUND: Unlike adults, primary membranous nephropathy (PMN) comprises only 1-2% of childhood nephrotic syndrome. The clinical behaviour of PMN in children is not explicit and we report upon clinical presentation and outcome.\nMETHODS: This prospective study includes children and adolescents (&lt; 20 years) with biopsy-proven PMN without secondary causes. Anti-PLA2R assessment: before and after completing therapy.\nOUTCOME: percentage of patients achieving remission.\nRESULTS: Study cohort included 48 (M:F ratio 1.1:1) patients and median age 17 (IQR 15-18) years, with 35 (72.9%) PLA2R related. Median interval from symptom onset to presentation was 5 months, where median proteinuria, serum albumin and creatinine were 4.9 g/day, 2.1 g/dL and 0.63 mg/dL, respectively. Forty-seven patients received immunosuppressive therapy, with various agents used as first-line therapy: cyclical CYC/GC (53.1%), CNI/GC (21.3%), rituximab (14.9%), prednisolone alone (4.3%), azathioprine (4.3%) and mycophenolate mofetil (2.1%). Median follow-up was 29 (14, 59) months. At 6 months, 11 (24.4%) and 17 (37.7%) had complete remission (CR) or partial remission (PR), while at last follow-up (median 29 months), 20 (45.4%) and 14 (31.8%) had CR and PR respectively. No significant differences in outcome were observed with different agents. A total of 60% patients treated with rituximab as first line/for relapsing disease, and all cases with resistant disease receiving rituximab had CR or PR at last follow-up. PLA2R antibody presence was associated with clinical outcome.\nCONCLUSIONS: Three-quarters of PMN in children and adolescents is PLA2R related and two-thirds respond to immunosuppressive therapy. Rituximab is a promising agent to manage PMN in children. Anti-PLA2R is associated with clinical outcomes.","container-title":"Pediatric Nephrology (Berlin, Germany)","DOI":"10.1007/s00467-020-04798-8","ISSN":"1432-198X","issue":"5","journalAbbreviation":"Pediatr Nephrol","language":"eng","note":"PMID: 33108509","page":"1217-1226","source":"PubMed","title":"Primary membranous nephropathy in children and adolescents: a single-centre report from South Asia","title-short":"Primary membranous nephropathy in children and adolescents","volume":"36","author":[{"family":"Ramachandran","given":"Raja"},{"family":"Nayak","given":"Saurabh"},{"family":"Kumar","given":"Vinod"},{"family":"Kumar","given":"Ashwani"},{"family":"Agrawal","given":"Neha"},{"family":"Bansal","given":"Ritika"},{"family":"Tiewsoh","given":"Karalanglin"},{"family":"Nada","given":"Ritambhra"},{"family":"Rathi","given":"Manish"},{"family":"Kohli","given":"Harbir Singh"}],"issued":{"date-parts":[["2021",5]]}}}],"schema":"https://github.com/citation-style-language/schema/raw/master/csl-citation.json"} </w:instrText>
      </w:r>
      <w:r w:rsidR="000E243B">
        <w:rPr>
          <w:rFonts w:cstheme="minorHAnsi"/>
          <w:color w:val="000000"/>
          <w:sz w:val="22"/>
          <w:szCs w:val="22"/>
          <w:shd w:val="clear" w:color="auto" w:fill="FFFFFF"/>
        </w:rPr>
        <w:fldChar w:fldCharType="separate"/>
      </w:r>
      <w:r w:rsidR="00642970" w:rsidRPr="00642970">
        <w:rPr>
          <w:rFonts w:ascii="Calibri" w:cs="Calibri"/>
          <w:color w:val="000000"/>
          <w:sz w:val="22"/>
        </w:rPr>
        <w:t>(52–56)</w:t>
      </w:r>
      <w:r w:rsidR="000E243B">
        <w:rPr>
          <w:rFonts w:cstheme="minorHAnsi"/>
          <w:color w:val="000000"/>
          <w:sz w:val="22"/>
          <w:szCs w:val="22"/>
          <w:shd w:val="clear" w:color="auto" w:fill="FFFFFF"/>
        </w:rPr>
        <w:fldChar w:fldCharType="end"/>
      </w:r>
      <w:r w:rsidR="001630D4" w:rsidRPr="004E555A">
        <w:rPr>
          <w:rFonts w:cstheme="minorHAnsi"/>
          <w:color w:val="000000"/>
          <w:sz w:val="22"/>
          <w:szCs w:val="22"/>
          <w:shd w:val="clear" w:color="auto" w:fill="FFFFFF"/>
        </w:rPr>
        <w:t>, 28 LN</w:t>
      </w:r>
      <w:r w:rsidR="00955E0A">
        <w:rPr>
          <w:rFonts w:cstheme="minorHAnsi"/>
          <w:color w:val="000000"/>
          <w:sz w:val="22"/>
          <w:szCs w:val="22"/>
          <w:shd w:val="clear" w:color="auto" w:fill="FFFFFF"/>
        </w:rPr>
        <w:t xml:space="preserve"> </w:t>
      </w:r>
      <w:r w:rsidR="00712BBB">
        <w:rPr>
          <w:rFonts w:cstheme="minorHAnsi"/>
          <w:color w:val="000000"/>
          <w:sz w:val="22"/>
          <w:szCs w:val="22"/>
          <w:shd w:val="clear" w:color="auto" w:fill="FFFFFF"/>
        </w:rPr>
        <w:fldChar w:fldCharType="begin"/>
      </w:r>
      <w:r w:rsidR="00642970">
        <w:rPr>
          <w:rFonts w:cstheme="minorHAnsi"/>
          <w:color w:val="000000"/>
          <w:sz w:val="22"/>
          <w:szCs w:val="22"/>
          <w:shd w:val="clear" w:color="auto" w:fill="FFFFFF"/>
        </w:rPr>
        <w:instrText xml:space="preserve"> ADDIN ZOTERO_ITEM CSL_CITATION {"citationID":"Ex7M3tZT","properties":{"formattedCitation":"(57\\uc0\\u8211{}85)","plainCitation":"(57–85)","noteIndex":0},"citationItems":[{"id":211,"uris":["http://zotero.org/users/local/lvPLY4Gu/items/U2UWCC6B"],"itemData":{"id":211,"type":"article-journal","abstract":"BACKGROUND: Childhood-onset lupus nephritis (LN) is one of the most severe manifestations of systemic lupus erythematosus (SLE). Despite treatment-related toxicities, cyclophosphamide (CYC) and glucocorticoid-based treatment protocols are still considered standard therapy in managing this multisystem disorder. An effective and safe alternative induction regimen is needed.\nMETHODS: Forty-four pediatric patients with active LN aged 3.5-13.8 (median 8.4) years, of whom 32 entered the study at diagnosis of SLE, were followed over 36 months. Induction therapy consisted of methylprednisolone pulses followed by either rituximab (RTX) (n = 17), mycophenolate mofetil (MMF) (n = 12) or pulse-CYC (n = 15), with tapering dose of prednisolone orally. MMF was added as maintenance immunosuppressant (800 mg/m2 daily) in all children from the third month onward.\nRESULTS: Flare-free survival was significantly higher at 36 months with RTX compared with MMF and CYC (100% for RTX vs. 83% for MMF. and 53% for CYC, p = 0·006). Twelve patients (76.5%) achieved complete remission with RTX compared with five (41.7%) and seven (46.7%) with MMF and CYC, respectively, at last follow-up. Requirement of mean daily dosage of prednisone was significantly lower in RTX group [p = 0.005 (RTX vs MMF); 0.0001 (RTX vs CYC) at 36 months] compared with other groups after the 3-month follow-up. In comparison with few minor adverse events in the other two cohorts, several serious adverse events occurred in the CYC group.\nCONCLUSIONS: Efficacy and medium-term safety of RTX induction followed by MMF maintenance therapy in inducing and maintaining remission among children with LN were evident in this study.","container-title":"Pediatric Nephrology (Berlin, Germany)","DOI":"10.1007/s00467-017-3583-x","ISSN":"1432-198X","issue":"6","journalAbbreviation":"Pediatr Nephrol","language":"eng","note":"PMID: 28191596","page":"1013-1021","source":"PubMed","title":"Efficacy and safety of rituximab in comparison with common induction therapies in pediatric active lupus nephritis","volume":"32","author":[{"family":"Basu","given":"Biswanath"},{"family":"Roy","given":"Birendranath"},{"family":"Babu","given":"Binu George"}],"issued":{"date-parts":[["2017",6]]}}},{"id":213,"uris":["http://zotero.org/users/local/lvPLY4Gu/items/2WWYKPZW"],"itemData":{"id":213,"type":"article-journal","abstract":"Our study on a contemporary cohort of childhood LN highlights the importance of achieving CR and its feasibility.","container-title":"Lupus","DOI":"10.1177/09612033231202843","ISSN":"1477-0962","issue":"12","language":"en","note":"publisher: Lupus\nPMID: 37707867","source":"pubmed.ncbi.nlm.nih.gov","title":"Presentation and outcome of pediatric lupus nephritis from a large single centre contemporary cohort in Eastern India","URL":"https://pubmed.ncbi.nlm.nih.gov/37707867/","volume":"32","author":[{"family":"D","given":"Biswas"},{"family":"D","given":"Dasgupta"},{"family":"P","given":"Pal"},{"family":"R","given":"Sinha"}],"accessed":{"date-parts":[["2024",12,28]]},"issued":{"date-parts":[["2023",10]]}}},{"id":216,"uris":["http://zotero.org/users/local/lvPLY4Gu/items/RZ583BMD"],"itemData":{"id":216,"type":"article-journal","abstract":"Lupus nephritis (LN) affects many patients with juvenile systemic lupus erythematosus (SLE) and is a significant cause of disease morbidity. Membranous plus proliferative LN (M + PLN) may represent a more difficult to treat subtype of juvenile LN, compared to isolated proliferative LN (PLN). In this retrospective observational study, we utilized data from the Childhood Arthritis and Rheumatism Research Alliance (CARRA) registry to compare response rates for pediatric M + PLN versus PLN. Response was assessed at the most recent CARRA registry visit gathered ≥6 months after diagnostic kidney biopsy. Estimated glomerular filtration rate (GFR) less than 90 ml/min/1.73 m(2), indicating renal insufficiency, was found in 16.1% of patients with M + PLN and 6.1% of patients with PLN (P = 0.071). We found no significant difference in achievement of response in either hematuria or proteinuria between PLN and M + PLN groups or between subgroups determined by presence of class III vs. class IV proliferative disease. Exposure rates to mycophenolate, cyclophosphamide, and rituximab were similar between groups. Future studies will be necessary to correlate pediatric LN renal histology data with treatment response as well as other disease outcome measures.","container-title":"Lupus","DOI":"10.1177/0961203314531841","ISSN":"1477-0962","issue":"9","journalAbbreviation":"Lupus","language":"eng","note":"PMID: 24729278\nPMCID: PMC4194184","page":"898-904","source":"PubMed","title":"Comparison of renal response parameters for juvenile membranous plus proliferative lupus nephritis versus isolated proliferative lupus nephritis: a cross-sectional analysis of the CARRA Registry","title-short":"Comparison of renal response parameters for juvenile membranous plus proliferative lupus nephritis versus isolated proliferative lupus nephritis","volume":"23","author":[{"family":"Boneparth","given":"A."},{"family":"Ilowite","given":"N. T."},{"literal":"CARRA Registry Investigators"}],"issued":{"date-parts":[["2014",8]]}}},{"id":219,"uris":["http://zotero.org/users/local/lvPLY4Gu/items/LWRAYWA3"],"itemData":{"id":219,"type":"article-journal","abstract":"Objective The objective of this article is to describe and compare clinical features, treatment, and renal outcomes of children with membranous lupus nephritis (MLN), through analysis of a national multicenter registry. Methods Patients with pediatric systemic lupus erythematosus (SLE) and MLN from the Childhood Arthritis and Rheumatology Research Alliance (CARRA) Legacy Registry were included. Demographic, disease and medication-related data were collected between 2010 and 2014 from 59 CARRA Legacy Registry sites. Results A total of 132 individuals had MLN, either in isolation or in combination with proliferative LN. Seventy-four patients had pure MLN. The proportion of patients with daily corticosteroid treatment was similar among groups (96%, 91%, and 96%, for class III+V, IV+V, and V, respectively, p = 0.67). Proportion of individuals exposed to any disease-modifying antirheumatic drug (DMARD) or biologic was similar among the three groups (83%, 91%, 95% for class III+V, IV+V, and V, respectively, p = 0.189). Proportion of patients with decreased glomerular filtration rate (less than 90 ml/min/1.73 m2) was significantly different among groups (4%, 38%, and 4%, for class III+V, IV+V, and V, respectively, p &lt; 0.0001). Conclusion This is the largest reported cohort of children with MLN. More research is needed to understand treatment practices for pediatric MLN, particularly decisions related to pharmacologic treatment of pure MLN. More work is also needed to identify prognostic factors and predictors of outcome for pediatric MLN. Future observational studies will be a first step toward understanding and formulating a standardized approach to treatment of pediatric membranous LN and allowing for the initiation of prospective comparative effectiveness studies and interventional trials.","container-title":"Lupus","DOI":"10.1177/0961203316662720","ISSN":"1477-0962","issue":"3","journalAbbreviation":"Lupus","language":"eng","note":"PMID: 27510603\nPMCID: PMC7219613","page":"299-306","source":"PubMed","title":"Clinical characteristics of children with membranous lupus nephritis: the Childhood Arthritis and Rheumatology Research Alliance Legacy Registry","title-short":"Clinical characteristics of children with membranous lupus nephritis","volume":"26","author":[{"family":"Boneparth","given":"A."},{"family":"Wenderfer","given":"S. E."},{"family":"Moorthy","given":"L. Nandini"},{"family":"Radhakrishna","given":"S. M."},{"family":"Sagcal-Gironella","given":"A. C. P."},{"family":"Scheven","given":"E.","non-dropping-particle":"von"},{"literal":"CARRA Registry investigators"}],"issued":{"date-parts":[["2017",3]]}}},{"id":222,"uris":["http://zotero.org/users/local/lvPLY4Gu/items/YM79MWUX"],"itemData":{"id":222,"type":"article-journal","abstract":"Lupus nephritis (LN) affects many patients with juvenile systemic lupus erythematosus (SLE) and is a significant cause of disease morbidity. Membranous plus proliferative LN (M + PLN) may represent a more difficult to treat subtype of juvenile LN, compared to isolated proliferative LN (PLN). In this retrospective observational study, we utilized data from the Childhood Arthritis and Rheumatism Research Alliance (CARRA) registry to compare response rates for pediatric M + PLN versus PLN. Response was assessed at the most recent CARRA registry visit gathered ≥6 months after diagnostic kidney biopsy. Estimated glomerular filtration rate (GFR) less than 90 ml/min/1.73 m(2), indicating renal insufficiency, was found in 16.1% of patients with M + PLN and 6.1% of patients with PLN (P = 0.071). We found no significant difference in achievement of response in either hematuria or proteinuria between PLN and M + PLN groups or between subgroups determined by presence of class III vs. class IV proliferative disease. Exposure rates to mycophenolate, cyclophosphamide, and rituximab were similar between groups. Future studies will be necessary to correlate pediatric LN renal histology data with treatment response as well as other disease outcome measures.","container-title":"Lupus","DOI":"10.1177/0961203314531841","ISSN":"1477-0962","issue":"9","journalAbbreviation":"Lupus","language":"eng","note":"PMID: 24729278\nPMCID: PMC4194184","page":"898-904","source":"PubMed","title":"Comparison of renal response parameters for juvenile membranous plus proliferative lupus nephritis versus isolated proliferative lupus nephritis: a cross-sectional analysis of the CARRA Registry","title-short":"Comparison of renal response parameters for juvenile membranous plus proliferative lupus nephritis versus isolated proliferative lupus nephritis","volume":"23","author":[{"family":"Boneparth","given":"A."},{"family":"Ilowite","given":"N. T."},{"literal":"CARRA Registry Investigators"}],"issued":{"date-parts":[["2014",8]]}}},{"id":225,"uris":["http://zotero.org/users/local/lvPLY4Gu/items/K7M476TE"],"itemData":{"id":225,"type":"article-journal","abstract":"Objective The objective of this article is to describe and compare clinical features, treatment, and renal outcomes of children with membranous lupus nephritis (MLN), through analysis of a national multicenter registry. Methods Patients with pediatric systemic lupus erythematosus (SLE) and MLN from the Childhood Arthritis and Rheumatology Research Alliance (CARRA) Legacy Registry were included. Demographic, disease and medication-related data were collected between 2010 and 2014 from 59 CARRA Legacy Registry sites. Results A total of 132 individuals had MLN, either in isolation or in combination with proliferative LN. Seventy-four patients had pure MLN. The proportion of patients with daily corticosteroid treatment was similar among groups (96%, 91%, and 96%, for class III+V, IV+V, and V, respectively, p = 0.67). Proportion of individuals exposed to any disease-modifying antirheumatic drug (DMARD) or biologic was similar among the three groups (83%, 91%, 95% for class III+V, IV+V, and V, respectively, p = 0.189). Proportion of patients with decreased glomerular filtration rate (less than 90 ml/min/1.73 m2) was significantly different among groups (4%, 38%, and 4%, for class III+V, IV+V, and V, respectively, p &lt; 0.0001). Conclusion This is the largest reported cohort of children with MLN. More research is needed to understand treatment practices for pediatric MLN, particularly decisions related to pharmacologic treatment of pure MLN. More work is also needed to identify prognostic factors and predictors of outcome for pediatric MLN. Future observational studies will be a first step toward understanding and formulating a standardized approach to treatment of pediatric membranous LN and allowing for the initiation of prospective comparative effectiveness studies and interventional trials.","container-title":"Lupus","DOI":"10.1177/0961203316662720","ISSN":"1477-0962","issue":"3","journalAbbreviation":"Lupus","language":"eng","note":"PMID: 27510603\nPMCID: PMC7219613","page":"299-306","source":"PubMed","title":"Clinical characteristics of children with membranous lupus nephritis: the Childhood Arthritis and Rheumatology Research Alliance Legacy Registry","title-short":"Clinical characteristics of children with membranous lupus nephritis","volume":"26","author":[{"family":"Boneparth","given":"A."},{"family":"Wenderfer","given":"S. E."},{"family":"Moorthy","given":"L. Nandini"},{"family":"Radhakrishna","given":"S. M."},{"family":"Sagcal-Gironella","given":"A. C. P."},{"family":"Scheven","given":"E.","non-dropping-particle":"von"},{"literal":"CARRA Registry investigators"}],"issued":{"date-parts":[["2017",3]]}}},{"id":228,"uris":["http://zotero.org/users/local/lvPLY4Gu/items/RKHRVNAS"],"itemData":{"id":228,"type":"article-journal","abstract":"OBJECTIVES: There is little data on renal relapse in childhood-onset LN (cLN). We investigate the incidence, predictive factors and outcomes related to renal relapse.\nMETHODS: We conducted a retrospective cohort study of all cLN diagnosed at ≤18 years between 2001-2021 to investigate the incidence and outcomes related to renal relapse.\nRESULTS: Ninety-five Chinese cLN patients (91% proliferative LN) were included. Induction immunosuppression was prednisolone and CYC [n = 36 (38%)] or MMF [n = 33 (35%)]. Maintenance immunosuppression was prednisolone and MMF [n = 53 (54%)] or AZA [n = 29 (31%)]. The rates of complete remission/partial remission (CR/PR) at 12 months were 78.9%/7.4%. Seventy renal relapses occurred in 39 patients over a follow-up of 10.2 years (s.d. 5.9) (0.07 episode/patient-year). Relapse-free survival was 94.7, 86.0, 80.1, 71.2, 68.3, 50.3 and 44.5% at 1, 2, 3, 4, 5, 10 and 20 years, respectively. Multivariate analysis showed that LN diagnosis &lt;13.1 years [adjusted hazard ratio (HRadj) 2.59 995% CI 1.27, 5.29), P = 0.01], AZA maintenance [HRadj 2.20 (95% CI 1.01, 4.79), P = 0.05], PR [HRadj 3.9 (95% CI 1.03, 9.19), P = 0.01] and non-remission [HRadj 3.08 (95% CI 1.35, 11.3), P = 0.04] at 12 months were predictive of renal relapse. Renal relapse was significantly associated with advanced chronic kidney disease (stages 3-5) and end-stage kidney disease (17.9% vs 1.8%, P &lt; 0.01). Furthermore, patients with renal relapse showed an increased incidence of infections (30.8% vs 10.7%, P = 0.02), osteopenia (38.5% vs 17.9%, P = 0.04) and hypertension (30.8% vs 7.1%, P &lt; 0.01).\nCONCLUSION: Renal relapse is common among cLN, especially among young patients, and is associated with an increased incidence of morbidity and mortality. Attaining CR and the use of MMF appear to decrease the incidence of renal relapse.","container-title":"Rheumatology (Oxford, England)","DOI":"10.1093/rheumatology/kead447","ISSN":"1462-0332","issue":"4","journalAbbreviation":"Rheumatology (Oxford)","language":"eng","note":"PMID: 37632777","page":"953-961","source":"PubMed","title":"Renal relapse in children and adolescents with childhood-onset lupus nephritis: a 20-year study","title-short":"Renal relapse in children and adolescents with childhood-onset lupus nephritis","volume":"63","author":[{"family":"Chan","given":"Eugene Yu-Hin"},{"family":"Yap","given":"Desmond Yat-Hin"},{"family":"Wong","given":"Wilfred Hing-Sang"},{"family":"Wong","given":"Sze-Wa"},{"family":"Lin","given":"Kyle Ying-Kit"},{"family":"Hui","given":"Felix Yan-Wai"},{"family":"Li","given":"Jennifer Yee-Ming"},{"family":"Lam","given":"Sophia Suet-Ying"},{"family":"Wong","given":"Jennie Kit-Yee"},{"family":"Lai","given":"Fiona Fung-Yee"},{"family":"Ho","given":"Tsz-Wai"},{"family":"Tong","given":"Pak-Chiu"},{"family":"Lai","given":"Wai-Ming"},{"family":"Chan","given":"Tak Mao"},{"family":"Ma","given":"Alison Lap-Tak"}],"issued":{"date-parts":[["2024",4,2]]}}},{"id":230,"uris":["http://zotero.org/users/local/lvPLY4Gu/items/75HTH4AJ"],"itemData":{"id":230,"type":"article-journal","abstract":"BACKGROUND: To reduce treatment variability and facilitate comparative effectiveness studies, the Childhood Arthritis and Rheumatology Research Alliance (CARRA) published consensus treatment plans (CTPs) including one for juvenile proliferative lupus nephritis (LN). Induction immunosuppression CTPs outline treatment with either monthly intravenous (IV) cyclophosphamide (CYC) or mycophenolate mofetil (MMF) in conjunction with one of three corticosteroid (steroid) CTPs: primarily oral, primarily IV or mixed oral/IV. The acceptability and in-practice use of these CTPs are unknown. Therefore, the primary aims of the pilot study were to demonstrate feasibility of adhering to the LN CTPs and delineate barriers to implementation in clinical care in the US. Further, we aimed to explore the safety and effectiveness of the treatments for induction therapy.\nMETHODS: Forty-one patients were enrolled from 10 CARRA sites. Patients had new-onset biopsy proven ISN/RPS class III or IV proliferative LN, were starting induction therapy with MMF or IV CYC and high-dose steroids and were followed for up to 24 months. Routine clinical data were collected at each visit. Provider reasons for CTP selection were assessed at baseline. Adherence to the CTPs was evaluated by provider survey and medication logs. Complete and partial renal responses were reported at 6 months.\nRESULTS: The majority of patients were female (83%) with a mean age of 14.7 years, SD 2.8. CYC was used more commonly than MMF for patients with ISN/RPS class IV LN (vs. class III), those who had hematuria, and those with adherence concerns. Overall adherence to the immunosuppression induction CTPs was acceptable with a majority of patients receiving the target MMF (86%) or CYC (63%) dose. However, adherence to the steroid CTPs was poor (37%) with large variability in dosing. Renal response endpoints were exploratory and did not show a significant difference between CYC and MMF.\nCONCLUSIONS: Overall, the immunosuppression CTPs were followed as intended in the majority of patients however, adherence to the steroid CTPs was poor indicating revision is necessary. In addition, our pilot study revealed several sources of treatment selection bias that will need to be addressed in for future comparative effectiveness research.","container-title":"Pediatric Rheumatology Online Journal","DOI":"10.1186/s12969-018-0279-0","ISSN":"1546-0096","issue":"1","journalAbbreviation":"Pediatr Rheumatol Online J","language":"eng","note":"PMID: 30348175\nPMCID: PMC6196456","page":"65","source":"PubMed","title":"Pilot study comparing the childhood arthritis and rheumatology research alliance consensus treatment plans for induction therapy of juvenile proliferative lupus nephritis","volume":"16","author":[{"family":"Cooper","given":"Jennifer C."},{"family":"Rouster-Stevens","given":"Kelly"},{"family":"Wright","given":"Tracey B."},{"family":"Hsu","given":"Joyce J."},{"family":"Klein-Gitelman","given":"Marisa S."},{"family":"Ardoin","given":"Stacy P."},{"family":"Schanberg","given":"Laura E."},{"family":"Brunner","given":"Hermine I."},{"family":"Eberhard","given":"B. Anne"},{"family":"Wagner-Weiner","given":"Linda"},{"family":"Mehta","given":"Jay"},{"family":"Haines","given":"Kathleen"},{"family":"McCurdy","given":"Deborah K."},{"family":"Phillips","given":"Thomas A."},{"family":"Huang","given":"Zhen"},{"family":"Scheven","given":"Emily","non-dropping-particle":"von"},{"literal":"CARRA registry investigators"}],"issued":{"date-parts":[["2018",10,22]]}}},{"id":233,"uris":["http://zotero.org/users/local/lvPLY4Gu/items/SKA6RDNV"],"itemData":{"id":233,"type":"article-journal","abstract":"BACKGROUND: To reduce treatment variability and facilitate comparative effectiveness studies, the Childhood Arthritis and Rheumatology Research Alliance (CARRA) published consensus treatment plans (CTPs) including one for juvenile proliferative lupus nephritis (LN). Induction immunosuppression CTPs outline treatment with either monthly intravenous (IV) cyclophosphamide (CYC) or mycophenolate mofetil (MMF) in conjunction with one of three corticosteroid (steroid) CTPs: primarily oral, primarily IV or mixed oral/IV. The acceptability and in-practice use of these CTPs are unknown. Therefore, the primary aims of the pilot study were to demonstrate feasibility of adhering to the LN CTPs and delineate barriers to implementation in clinical care in the US. Further, we aimed to explore the safety and effectiveness of the treatments for induction therapy.\nMETHODS: Forty-one patients were enrolled from 10 CARRA sites. Patients had new-onset biopsy proven ISN/RPS class III or IV proliferative LN, were starting induction therapy with MMF or IV CYC and high-dose steroids and were followed for up to 24 months. Routine clinical data were collected at each visit. Provider reasons for CTP selection were assessed at baseline. Adherence to the CTPs was evaluated by provider survey and medication logs. Complete and partial renal responses were reported at 6 months.\nRESULTS: The majority of patients were female (83%) with a mean age of 14.7 years, SD 2.8. CYC was used more commonly than MMF for patients with ISN/RPS class IV LN (vs. class III), those who had hematuria, and those with adherence concerns. Overall adherence to the immunosuppression induction CTPs was acceptable with a majority of patients receiving the target MMF (86%) or CYC (63%) dose. However, adherence to the steroid CTPs was poor (37%) with large variability in dosing. Renal response endpoints were exploratory and did not show a significant difference between CYC and MMF.\nCONCLUSIONS: Overall, the immunosuppression CTPs were followed as intended in the majority of patients however, adherence to the steroid CTPs was poor indicating revision is necessary. In addition, our pilot study revealed several sources of treatment selection bias that will need to be addressed in for future comparative effectiveness research.","container-title":"Pediatric Rheumatology Online Journal","DOI":"10.1186/s12969-018-0279-0","ISSN":"1546-0096","issue":"1","journalAbbreviation":"Pediatr Rheumatol Online J","language":"eng","note":"PMID: 30348175\nPMCID: PMC6196456","page":"65","source":"PubMed","title":"Pilot study comparing the childhood arthritis and rheumatology research alliance consensus treatment plans for induction therapy of juvenile proliferative lupus nephritis","volume":"16","author":[{"family":"Cooper","given":"Jennifer C."},{"family":"Rouster-Stevens","given":"Kelly"},{"family":"Wright","given":"Tracey B."},{"family":"Hsu","given":"Joyce J."},{"family":"Klein-Gitelman","given":"Marisa S."},{"family":"Ardoin","given":"Stacy P."},{"family":"Schanberg","given":"Laura E."},{"family":"Brunner","given":"Hermine I."},{"family":"Eberhard","given":"B. Anne"},{"family":"Wagner-Weiner","given":"Linda"},{"family":"Mehta","given":"Jay"},{"family":"Haines","given":"Kathleen"},{"family":"McCurdy","given":"Deborah K."},{"family":"Phillips","given":"Thomas A."},{"family":"Huang","given":"Zhen"},{"family":"Scheven","given":"Emily","non-dropping-particle":"von"},{"literal":"CARRA registry investigators"}],"issued":{"date-parts":[["2018",10,22]]}}},{"id":236,"uris":["http://zotero.org/users/local/lvPLY4Gu/items/5XN8264L"],"itemData":{"id":236,"type":"article-journal","abstract":"The clinical expression of systemic lupus erythematosus (SLE) is influenced by genetic and environmental factors and therefore varies between ethnicities. Information on the epidemiology of SLE in Brazil is scarce and practically limited to studies conducted in socioeconomically developed regions (South and Southeast). The objective of this study was to describe the clinical and immunological aspects and outcome of a cohort of patients with SLE treated at a university hospital in northeastern Brazil and compare patterns related to age at onset: childhood (cSLE), adult (aSLE), and late (lSLE). A random sample of 414 records (women: 93.5%) were reviewed. The mean age at SLE onset and the mean disease duration were 28.9 ± 10.9 years and 10.2 ± 6.6 years, respectively. Most patients had aSLE (n = 338; 81.6%), followed by cSLE (n = 60; 14.5%) and lSLE (n = 16; 3.9%). The female/male ratio was 6.5:1 in cSLE and 16.8:1 in aSLE; in lSLE, all patients were female (p = 0.05). During follow-up, the cSLE group presented higher rates of nephritis (70% vs. 52.9% vs. 12.5%; p = 0.0001) and leuko/lymphopenia (61.7% vs. 43.8% vs. 56.2%; p = 0.02). No significant differences were found for anti-dsDNA, anti-Sm, and antiphospholipid antibodies. Treatment with immunosuppressants was significantly more common, and higher doses of prednisone were used, in cSLE. The prevalence of cardiovascular diseases were more frequent in lSLE (p = 0.03). No significant differences were found between the three groups with regard to mean damage accrual (SDI), remission, and mortality. Although cSLE presented higher rates of nephritis and leuko/lymphopenia, more frequent use of immunosuppressants and higher prednisone doses than aSLE and lSLE, the three groups did not differ significantly with regard to damage accrual, remission, and mortality.","container-title":"Lupus","DOI":"10.1177/0961203315606983","ISSN":"1477-0962","issue":"4","journalAbbreviation":"Lupus","language":"eng","note":"PMID: 26405022","page":"355-363","source":"PubMed","title":"Clinical and immunological aspects and outcome of a Brazilian cohort of 414 patients with systemic lupus erythematosus (SLE): comparison between childhood-onset, adult-onset, and late-onset SLE","title-short":"Clinical and immunological aspects and outcome of a Brazilian cohort of 414 patients with systemic lupus erythematosus (SLE)","volume":"25","author":[{"family":"Chagas Medeiros","given":"M. M.","non-dropping-particle":"das"},{"family":"Bezerra","given":"M. Campos"},{"family":"Braga","given":"F. N. Holanda Ferreira"},{"family":"Justa Feijão","given":"M. R. Melo","non-dropping-particle":"da"},{"family":"Gois","given":"A. C. Rodrigues"},{"family":"Rebouças","given":"V. C. do Rosário"},{"family":"Carvalho","given":"T. M. Amorim Zaranza","non-dropping-particle":"de"},{"family":"Carvalho","given":"L. N. Solon"},{"family":"Ribeiro","given":"Át Mendes"}],"issued":{"date-parts":[["2016",4]]}}},{"id":238,"uris":["http://zotero.org/users/local/lvPLY4Gu/items/TA3ZE73Y"],"itemData":{"id":238,"type":"article-journal","abstract":"Hydroxychloroquine (HCQ) is an antimalarial agent used to treat mucocutaneous, musculoskeletal, constitutional manifestations of systemic lupus erythematosus (SLE). This study assessed the efficacy and side effects of HCQ in children with proliferative lupus nephritis (LN). This double-blind, randomized, placebo-controlled trial study was conducted on 60 children with proliferative LN classes III and IV treated with steroids and a mycophenolate (MMF) regimen. Patients were categorized into two groups, the HCQ group (n = 30) and the placebo group (n = 30). They were evaluated initially at 6- and a 12-month follow-up by mucocutaneous, ophthalmological examination, and investigations (BUN, creatinine, 24 h proteinuria, triglycerides (TG), cholesterol, Antids-DNA, C3, C4). Disease activity was assessed using the SLE disease activity index (SLEDAI-2 k). After 12 months, TG, cholesterol, 24 h proteinuria, Antids-DNA, and SLEDAI score were significantly decreased in the HCQ group (P: 0.002, 0.012, 0.031, 0.001, respectively). After 12 months, the cumulative probabilities of developing primary end-points (LN partial and complete remission) were 40% and 60% in the HCQ group versus 53.3% and 36.7% in the placebo group (P: 0.002). After 12 months, the HCQ group experienced mucocutaneous alopecia (3.3%), hyperpigmentation (10%), and ophthalmological mild retinal changes (6.7%), but they did not differ significantly from the placebo group.  Cunclusion: HCQ improved the disease and LN activity in children with proliferative LN, with documented skin hyperpigmentation and mild retinal changes following HCQ use in a few cases. This study was registered on http://www.\nCLINICALTRIALS: gov/ with trial registration number (TRN): NCT03687905, September 2018 \"retrospectively registered.\"\nWHAT IS KNOWN: • Hydroxychloroquine (HCQ) is documented as an adjunctive treatment in children with systemic lupus erythematosus (c-SLE) LN with efficacy in improving lupus musculoskeletal and mucocutaneous manifestations. • Due to the paucity of studies, its effects and side effects in children with LN remain unclear.\nWHAT IS NEW: • This pilot randomized clinical trial assessed the efficacy and adverse effects of HCQ in children with proliferative LN. • HCQ had numerous advantages for LN, including rapid and sustained remission, antilipidemic effect, and rapid improvement of kidney functions.","container-title":"European Journal of Pediatrics","DOI":"10.1007/s00431-023-04837-0","ISSN":"1432-1076","issue":"4","journalAbbreviation":"Eur J Pediatr","language":"eng","note":"PMID: 36752895\nPMCID: PMC10167107","page":"1685-1695","source":"PubMed","title":"Hydroxychloroquine in children with proliferative lupus nephritis: a randomized clinical trial","title-short":"Hydroxychloroquine in children with proliferative lupus nephritis","volume":"182","author":[{"family":"Gheet","given":"Fatma Sayed"},{"family":"Dawoud","given":"Heba El-Sayed"},{"family":"El-Shahaby","given":"Waleed Ahmed"},{"family":"Elrifaey","given":"Shymaa Mohamed"},{"family":"Abdelnabi","given":"Hend Hassan"}],"issued":{"date-parts":[["2023",4]]}}},{"id":241,"uris":["http://zotero.org/users/local/lvPLY4Gu/items/HLPJFM3Q"],"itemData":{"id":241,"type":"article-journal","abstract":"Allogeneic mesenchymal stem cell transplantation (MSCT) has been shown to be clinically efficacious in the treatment of various autoimmune diseases. Here, we analyzed the role of allogeneic MSCT to induce renal remission in patients with active and refractory lupus nephritis (LN). This is an open-label and single-center clinical trial conducted from 2007 to 2010 in which 81 Chinese patients with active and refractory LN were enrolled. Allogeneic bone marrow- or umbilical cord-derived mesenchymal stem cells (MSCs) were administered intravenously at the dose of 1 million cells per kilogram of bodyweight. All patients were then monitored over the course of 12 months with periodic follow-up visits to evaluate renal remission, as well as possible adverse events. The primary outcome was complete renal remission (CR) and partial remission (PR) at each follow-up, as well as renal flares. The secondary outcome included renal activity score, total disease activity score, renal function, and serologic index. During the 12-month follow-up, the overall rate of survival was 95 % (77/81). Totally, 60.5 % (49/81) patients achieved renal remission during 12-month visit by MSCT. Eleven of 49 (22.4 %) patients experienced renal flare by the end of 12 months after a previous remission. Renal activity evaluated by British Isles Lupus Assessment Group (BILAG) scores significantly declined after MSCT (mean ± SD, from 4.48 ± 2.60 at baseline to 1.09 ± 0.83 at 12 months), in parallel with the obvious amelioration of renal function. Glomerular filtration rate (GFR) improved significantly 12 months after MSCT (mean ± SD, from 58.55 ± 19.16 to 69.51 ± 27.93 mL/min). Total disease activity evaluated by Systemic Lupus Erythematosus Disease Activity Index (SLEDAI) scores also decreased after treatment (mean ± SD, from 13.11 ± 4.20 at baseline to 5.48 ± 2.77 at 12 months). Additionally, the doses of concomitant prednisone and immunosuppressive drugs were tapered. No transplantation-related adverse event was observed. Allogeneic MSCT resulted in renal remission for active LN patients within 12-month visit, confirming its use as a potential therapy for refractory LN.","container-title":"Clinical Rheumatology","DOI":"10.1007/s10067-014-2754-4","ISSN":"1434-9949","issue":"11","journalAbbreviation":"Clin Rheumatol","language":"eng","note":"PMID: 25119864","page":"1611-1619","source":"PubMed","title":"Allogeneic mesenchymal stem cell transplantation for lupus nephritis patients refractory to conventional therapy","volume":"33","author":[{"family":"Gu","given":"Fei"},{"family":"Wang","given":"Dandan"},{"family":"Zhang","given":"Huayong"},{"family":"Feng","given":"Xuebing"},{"family":"Gilkeson","given":"Gary S."},{"family":"Shi","given":"Songtao"},{"family":"Sun","given":"Lingyun"}],"issued":{"date-parts":[["2014",11]]}}},{"id":243,"uris":["http://zotero.org/users/local/lvPLY4Gu/items/3IHZVNXL"],"itemData":{"id":243,"type":"article-journal","abstract":"BACKGROUND: Studies of paediatric patients with membranous lupus nephritis (MLN) have yielded variable results, mostly due to the inclusion of mixed, i.e. proliferative nephritis. The aim of this study was to describe clinical and laboratory findings at the diagnosis of paediatric non-proliferative MLN, report the outcome and identify predictors of remission.\nMETHODS: A single-center cohort study of consecutive children diagnosed with non-proliferative MLN was performed. Clinical and laboratory measures and treatment regimens were obtained in prospective standardized assessments. Renal outcome was measured by renal parameters and steroid requirement. Predictors for remission and time to remission were determined.\nRESULTS: A total of 30 children were identified with a median follow-up time 4.1 years. Of 21 patients followed for more than 2 years, 19 (90 %) achieved clinical remission, and 16 (76 %) achieved a state of maintained clinical remission on low-dose prednisone. Three patients developed proliferative nephritis on subsequent renal biopsy. Lower albumin at the time of biopsy was correlated with a lower rate of remission and longer time to remission.\nCONCLUSIONS: Among our paediatric patient cohort the outcome of non-proliferative MLN in systemic lupus erythematosus was good. The majority of patients did not require aggressive immunosuppressive treatment to reach a stable disease state on low-dose steroid treatment.","container-title":"Pediatric Nephrology (Berlin, Germany)","DOI":"10.1007/s00467-014-2908-2","ISSN":"1432-198X","issue":"1","journalAbbreviation":"Pediatr Nephrol","language":"eng","note":"PMID: 25080370","page":"113-121","source":"PubMed","title":"Presentation and outcome of paediatric membranous non-proliferative lupus nephritis","volume":"30","author":[{"family":"Hugle","given":"Boris"},{"family":"Silverman","given":"Earl D."},{"family":"Tyrrell","given":"Pascal N."},{"family":"Harvey","given":"Elizabeth A."},{"family":"Hébert","given":"Diane"},{"family":"Benseler","given":"Susanne M."}],"issued":{"date-parts":[["2015",1]]}}},{"id":245,"uris":["http://zotero.org/users/local/lvPLY4Gu/items/7T2HFL4G"],"itemData":{"id":245,"type":"article-journal","abstract":"BACKGROUND: System lupus erythematosus (SLE) is a severe multisystem autoimmune disease.\nOBJECTIVE: To describe the clinical and pathological features, treatment, and renal outcome in children under 18 years with lupus nephritis (LN).\nMETHODS: The study was undertaken by a questionnaire completed in 26 Grade 3A hospitals' paediatric renal units in China. The study comprised 788 children (619 girls, 169 boys) diagnosed with SLE by the American College of Rheumatology criteria (1997) during 2005-2010. Results of renal biopsies were classified according to the guidelines of The International Association of Nephrology and the Renal Pathology Society (2003). Guidelines by the Chinese Society of Paediatric Nephrology were applied for the diagnosis and treatment (for trial implementation) in 2010 to determine inclusion. The data included the prevalence of acute kidney injury (AKI), SLE disease activity index (SLEDAI), renal histopathology and the induction of therapy mode.\nRESULTS: The mean (SD) age of onset of SLE was 10.9 (2.90) years (range 1-18) and at diagnosis was 11.3 (2.9) years. The mean (SD) SLEDAI score was 13.5 (5.53). The clinical classification was as follows: about 36 (4.6%) patients had isolated haematuria, 99 (12.6%) isolated proteinuria, 60 (7.6%) isolated haematuria and proteinuria, 157 (19.9%) acute glomerulonephritis, 392 (49.7%) nephrotic syndrome, 20 (2.5%) rapidly progressive glomerulonephritis, 15 (1.9%) chronic nephritis, 2 (0.3%) tubule-interstitial damage and 7 (0.9%) subclinical LN. A total of 549 children (69.7%) underwent renal biopsy. The most frequent renal histopathological findings of LN were Class IV, followed by Class II and Class V + IV. There were no significant differences between the age groups in either renal pathological types or prognosis. In 242 (30.7%) patients, LN was complicated by AKI. Those with AKI had an older mean (SD) age at onset than the non-AKI patients [11.5 (2.8) years vs 10.7 (2.9) years, respectively, p &lt; 0.0001] and a higher SLEDAI score [14.3 (5.8) vs 13.1 (5.4), respectively, p = 0.003]. In the induction phase, cyclophosphamide (CTX) and mycophenolate mofetil (MMF) were equally effective in the patients with the same pathological type. Follow-up records were only available for 482 (61.2%) patients, with a mean (SD) follow-up time of 21.5 (18.4) months. Six of the 35 patients who deteriorated required dialysis and seven died.\nCONCLUSION: In LN, AKI is a risk factor for poor outcome. Owing to different times of onset and remission, the pathological types of LN cannot be estimated by clinical manifestation alone, and therefore renal biopsy should be undertaken in all LN children with AKI. In the induction phase, there was no significant difference in efficacy between CTX and MMF. Follow-up of children with LN in China needs to be improved.","container-title":"Paediatrics and International Child Health","DOI":"10.1080/20469047.2017.1309337","ISSN":"2046-9055","issue":"4","journalAbbreviation":"Paediatr Int Child Health","language":"eng","note":"PMID: 28463080","page":"286-291","source":"PubMed","title":"Lupus glomerulonephritis in 788 Chinese children: a multi-centre clinical and histopathological analysis based on 549 renal biopsies","title-short":"Lupus glomerulonephritis in 788 Chinese children","volume":"37","author":[{"family":"Jin","given":"Si-Yan"},{"family":"Huang","given":"Dan-Lin"},{"family":"Dang","given":"Xi-Qiang"},{"family":"Yi","given":"Zhu-Wen"}],"issued":{"date-parts":[["2017",11]]}}},{"id":247,"uris":["http://zotero.org/users/local/lvPLY4Gu/items/C89IYTQS"],"itemData":{"id":247,"type":"article-journal","abstract":"BACKGROUND: Pediatric lupus nephritis (LN) is one of the most serious manifestations of systemic lupus erythematosus (SLE) in children, determining the outcomes of the disease. There are no standardized treatment protocols for pediatric LN, and the role of biologics has not yet been conclusively defined.\nOBJECTIVES: analyze the safety and efficacy of rituximab biosimilar BCD020 in pediatric patients with lupus nephritis.\nMETHODS: in a retrospective cohort study, the data from the case histories of 25 patients with LN (10 boys and 15 girls) with an onset age of 13 (9-16) years, who failed conventional non-biologic treatment or developed corticosteroid dependence/toxicity, were included. The diagnosis was made using Systemic Lupus International Collaborating Clinics (SLICC) classification criteria. Rituximab biosimilar BCD020 was prescribed in a dosage of 375 mg/m2 every week (2-4 infusions) with repeated courses every 6-12 months (2-4 infusions) according to disease activity, B-cell depletion, and IgG levels. The dynamics of clinical and laboratory data, the activity of the disease by SLEDAI, and corticosteroid doses were assessed at the onset and during the rituximab trial.\nRESULTS: The main patient's characteristics were: Pre-rituximab non-biologic conventional treatment included: cyclophosphamide 15 (60%), MMF 8 (32%), azathioprine 3 (12%), hydroxychloroquine 12 (48%), and pulse therapy of methylprednisolone followed by oral methylprednisolone 25 (100%). The time before rituximab was 7.0 (3.0-24.0) months, and the whole observation period was 7.0 (0; 24) months. The initial pre-rituximab treatment slightly reduced SLEDAI levels and the proportion of patients with LN. A significant reduction of SLEDAI, the anti-dsDNA level, proteinuria, hematuria, C4 complement, ESR, and the median corticosteroid dose by 80% from the initial value, as well as the proportion of patients without corticosteroids, was observed after rituximab administration. Two deaths were observed due to catastrophic SLE with macrophage activation syndrome, accompanied by a severe infection (invasive aspergillosis, n = 2). Three patients developed serious adverse events: pneumonia (n = 2), transient agranulocytosis (n = 1) after the third rituximab infusion, and meningitis, caused by Listeria monocytosis, after the first rituximab infusion. Eight patients received antibacterial treatment for different respiratory infections without hospital admissions.\nCONCLUSIONS: Rituximab biosimilar BCD020 showed effectiveness in LN, whereas previous non-biologic treatment was insufficiently effective. Randomized controlled trials are required to evaluate the efficacy and safety of rituximab and evaluate the benefits when compared with conventional SLE treatment.","container-title":"Biomedicines","DOI":"10.3390/biomedicines11051503","ISSN":"2227-9059","issue":"5","journalAbbreviation":"Biomedicines","language":"eng","note":"PMID: 37239173\nPMCID: PMC10216075","page":"1503","source":"PubMed","title":"Rituximab Biosimilar BCD020 Shows Superior Efficacy above Conventional Non-Biologics Treatment in Pediatric Lupus Nephritis: The Data of Retrospective Cohort Study","title-short":"Rituximab Biosimilar BCD020 Shows Superior Efficacy above Conventional Non-Biologics Treatment in Pediatric Lupus Nephritis","volume":"11","author":[{"family":"Kostik","given":"Mikhail"},{"family":"Kalashnikova","given":"Elvira"},{"family":"Rinat","given":"Raupov"},{"family":"Isupova","given":"Eugenia"},{"family":"Gaidar","given":"Ekaterina"},{"family":"Soloviev","given":"Anton A."},{"family":"Masalova","given":"Vera"},{"family":"Snegireva","given":"Ludmila"},{"family":"Kornishina","given":"Tatyana"},{"family":"Abramova","given":"Natalia"},{"family":"Suspitsin","given":"Evgeny"},{"family":"Sorokina","given":"Lubov"},{"family":"Kaneva","given":"Maria"},{"family":"Dubko","given":"Margarita F."},{"family":"Lubimova","given":"Natalia"},{"family":"Kuchuinskaya","given":"Ekaterina"},{"family":"Kalashnikova","given":"Olga"},{"family":"Chasnyk","given":"Vyacheslav"}],"issued":{"date-parts":[["2023",5,22]]}}},{"id":250,"uris":["http://zotero.org/users/local/lvPLY4Gu/items/YU8XCLAX"],"itemData":{"id":250,"type":"article-journal","abstract":"Background Systemic lupus erythematosus (SLE) is a life-threatening multisystem autoimmune disease that is more severe in patients of African ancestry and children, yet pediatric SLE on the African continent has been understudied. This study describes a cohort of pediatric SLE (PULSE) patients in South Africa. Methods Patients with a diagnosis of SLE (1997 American College of Rheumatology criteria) diagnosed prior to age 19 years in Cape Town, South Africa, were enrolled in this cross-sectional study from September 2013 to December 2014. Information on clinical and serological characteristics was extracted from medical records. Results were compared to a well-described North American pediatric SLE cohort. Results Seventy-two South African patients were enrolled in the study; mean age 11.5 years; 82% were girls. The racial distribution was 68% Coloured, 24% Black, 5% White and 3% Asian/Indian. Most patients presented with severe lupus nephritis documented by renal biopsy (61%). Of patients with lupus nephritis, 63% presented with International Society of Nephrology/Renal Pathology Society class III or IV. Patients in the PULSE cohort were more likely to be treated with cyclophosphamide, methotrexate and azathioprine. The PULSE cohort had high disease activity at diagnosis (mean Systemic Lupus Erythematosus Disease Activity Index-2K (SLEDAI-2K) 20.6). The SLEDAI-2K at enrolment in the PULSE cohort (5.0) did not differ from the North American pediatric SLE cohort (4.8). Sixty-three per cent of the PULSE cohort had end organ damage with Systemic Lupus International Collaborating Clinics Damage Index (SLICC-DI) score &gt;0 (mean SLICC-DI 1.9), compared to 23% in a previously reported US cohort. Within the PULSE cohort, nine (13%) developed end-stage renal disease with six (8%) requiring transplant, strikingly higher than North American peers (transplant rate &lt;1%). Conclusions The PULSE cohort had highly active multiorgan disease at diagnosis and significant disease damage at enrolment in the South African registry. South African patients have severe lupus nephritis and poor renal outcomes compared to North American peers. Our study revealed a severe disease phenotype in the PULSE cohort resulting in poor outcomes in this high-risk population.","container-title":"Lupus","DOI":"10.1177/0961203316660625","ISSN":"1477-0962","issue":"2","journalAbbreviation":"Lupus","language":"eng","note":"PMID: 27488473\nPMCID: PMC5290292","page":"186-194","source":"PubMed","title":"Severe disease presentation and poor outcomes among pediatric systemic lupus erythematosus patients in South Africa","volume":"26","author":[{"family":"Lewandowski","given":"L. B."},{"family":"Schanberg","given":"L. E."},{"family":"Thielman","given":"N."},{"family":"Phuti","given":"A."},{"family":"Kalla","given":"A. A."},{"family":"Okpechi","given":"I."},{"family":"Nourse","given":"P."},{"family":"Gajjar","given":"P."},{"family":"Faller","given":"G."},{"family":"Ambaram","given":"P."},{"family":"Reuter","given":"H."},{"family":"Spittal","given":"G."},{"family":"Scott","given":"C."}],"issued":{"date-parts":[["2017",2]]}}},{"id":253,"uris":["http://zotero.org/users/local/lvPLY4Gu/items/DB3F7KUV"],"itemData":{"id":253,"type":"article-journal","abstract":"Increased lupus nephritis has been reported in Pacific Island and Maori populations. Previous studies suggest ethnic variation in response to immunosuppression treatment; however this has not been assessed in Pacific Island and Maori cohorts. This retrospective study reviewed class 3, 4 and 5 lupus nephritis outcomes and response to induction immunosuppression over a 10-year period in a New Zealand multi-ethnic cohort with high Pacific Island representation. This included 49 renal biopsies in 41 patients; by ethnicity Pacific Island 53.7%, Asian 31.7%, Caucasian 12.2%, and New Zealand Maori 2.4%. There were 11 class 3, 24 class 4 and 17 class 5 either alone or in combination with class 3/4. There were no statistically significant differences in renal function or proteinuria between ethnic groups at baseline. Pacific Island class 3/4 showed similar rates of renal remission with intravenous cyclophosphamide (6/8) and mycophenolate (4/7) induction treatment; results were comparable to the overall study group. There were no deaths or permanent dialysis requirements in the first six months of treatment, and no increased risk of adverse outcomes when stratified by ethnicity. Five lupus nephritis relapses occurred during maintenance treatment and there was no apparent ethnicity bias.\nCONCLUSION: Pacific Island people disproportionately present with increased lupus nephritis; and had comparable renal remission rates with intravenous cyclophosphamide and oral mycophenolate which were similar to the whole study cohort.","container-title":"Lupus","DOI":"10.1177/0961203316686701","ISSN":"1477-0962","issue":"8","journalAbbreviation":"Lupus","language":"eng","note":"PMID: 28059019","page":"893-897","source":"PubMed","title":"Retrospective review of lupus nephritis in a New Zealand multi-ethnic cohort","volume":"26","author":[{"family":"Ly","given":"E."},{"family":"Thein","given":"H."},{"family":"Lam Po Tang","given":"Michael"}],"issued":{"date-parts":[["2017",7]]}}},{"id":255,"uris":["http://zotero.org/users/local/lvPLY4Gu/items/M77W7JLM"],"itemData":{"id":255,"type":"article-journal","abstract":"OBJECTIVES: To evaluate therapeutic approaches and response to therapy in juvenile systemic lupus erythematosus (SLE) with renal involvement in a large prospective international cohort from four geographic areas.\nMETHODS: New onset and flared patients with active renal disease (proteinuria ≥0.5 g/24 h) were enrolled in 2001-2004. Therapeutic approaches and disease activity parameters were analysed at baseline, 6, 12 and 24 months. Response was assessed by the PRINTO/ACR criteria.\nRESULTS: 218/557 (79.8% female subjects, 117 new onset and 101 flared) patients with active renal disease were identified; 66 patients were lost to follow-up and 11 died. Mean age at disease onset for new onset group was higher than for flared group (13.1 vs 10.2 years, p&lt;0.0001). At baseline, both groups had similar renal activity with similar median doses of corticosteroids (1.0-0.76 mg/kg/day). Cyclophosphamide (43.1%) and azathioprine (22%) were the most common immunosuppressive drugs. At baseline, South American patients received higher doses of corticosteroids than in other areas in new onset (median 1.16 vs 0.8-1 mg/kg/day) while cyclophosphamide use was similar in all four regions in the new onset group. There were no differences regarding the use of azathioprine or mycophenolate mofetil worldwide. PRINTO 70 response was reached in a greater percentage of new onset versus flared patients (74.8% vs 53.3%; p=0.005) at 6 months while at 24 months ACR 90 was reached by 69.9% and 56.1%, respectively.\nCONCLUSIONS: New onset and flared juvenile SLE improved similarly over 24 months with minimal differences in therapeutic approaches worldwide.","container-title":"Annals of the Rheumatic Diseases","DOI":"10.1136/annrheumdis-2012-201937","ISSN":"1468-2060","issue":"9","journalAbbreviation":"Ann Rheum Dis","language":"eng","note":"PMID: 23100607","page":"1503-1509","source":"PubMed","title":"Therapeutic approaches for the treatment of renal disease in juvenile systemic lupus erythematosus: an international multicentre PRINTO study","title-short":"Therapeutic approaches for the treatment of renal disease in juvenile systemic lupus erythematosus","volume":"72","author":[{"family":"Miettunen","given":"Paivi M."},{"family":"Pistorio","given":"Angela"},{"family":"Palmisani","given":"Elena"},{"family":"Ravelli","given":"Angelo"},{"family":"Silverman","given":"Earl"},{"family":"Oliveira","given":"Sheila"},{"family":"Alessio","given":"Maria"},{"family":"Cuttica","given":"Ruben"},{"family":"Mihaylova","given":"Dimitrina"},{"family":"Espada","given":"Graciela"},{"family":"Pasic","given":"Srdjan"},{"family":"Insalaco","given":"Antonella"},{"family":"Ozen","given":"Seza"},{"family":"Porras","given":"Oscar"},{"family":"Sztajnbok","given":"Flavio"},{"family":"Lazarevic","given":"Dragana"},{"family":"Martini","given":"Alberto"},{"family":"Ruperto","given":"Nicolino"},{"literal":"Paediatric Rheumatology International Trials Organisation (PRINTO)"}],"issued":{"date-parts":[["2013",9,1]]}}},{"id":257,"uris":["http://zotero.org/users/local/lvPLY4Gu/items/P84L4Y6S"],"itemData":{"id":257,"type":"article-journal","abstract":"BACKGROUND: Lupus nephritis (LN) strongly affects the outcome in children with systemic lupus erythematosus (SLE). Many patients, however, have renal disease at onset, but lack a sufficient number of criteria to be diagnosed as SLE and develop delayed symptoms over time (d-SLE). Data on the clinical course, long-term outcome and predictors of disease progression in children with LN are scant.\nMETHODS: The Italian Collaborative Study included 161 paediatric patients with LN who were followed up for a mean of 96 months (range 6-296) in seven paediatric nephrology units. Cox-Mantel regression models were used to identify predictors of disease remission, relapse and progression.\nRESULTS: At 1 year, the proportion of patients in remission was 83.2% (partial) and 53.5% (complete). Renal flares occurred in &gt;50% of patients within 10 years. The intensity of induction treatment correlated significantly with the achievement of remission, while d-SLE, class IV LN and younger age were associated with poor response to treatment and/or with progression to chronic renal failure.\nCONCLUSIONS: The current study provides outcome data on a large paediatric population with LN and underlines the importance of prescribing appropriate induction treatment to all children, regardless of the presence of enough SLE criteria, which may develop several years after the initial diagnosis.","container-title":"Nephrology, Dialysis, Transplantation: Official Publication of the European Dialysis and Transplant Association - European Renal Association","DOI":"10.1093/ndt/gfs589","ISSN":"1460-2385","issue":"6","journalAbbreviation":"Nephrol Dial Transplant","language":"eng","note":"PMID: 23345627","page":"1487-1496","source":"PubMed","title":"Lupus nephritis in children and adolescents: results of the Italian Collaborative Study","title-short":"Lupus nephritis in children and adolescents","volume":"28","author":[{"family":"Ruggiero","given":"Barbara"},{"family":"Vivarelli","given":"Marina"},{"family":"Gianviti","given":"Alessandra"},{"family":"Benetti","given":"Elisa"},{"family":"Peruzzi","given":"Licia"},{"family":"Barbano","given":"Giancarlo"},{"family":"Corona","given":"Fabrizia"},{"family":"Ventura","given":"Giovanna"},{"family":"Pecoraro","given":"Carmine"},{"family":"Murer","given":"Luisa"},{"family":"Ghiggeri","given":"Gian Marco"},{"family":"Pennesi","given":"Marco"},{"family":"Edefonti","given":"Alberto"},{"family":"Coppo","given":"Rosanna"},{"family":"Emma","given":"Francesco"}],"issued":{"date-parts":[["2013",6]]}}},{"id":259,"uris":["http://zotero.org/users/local/lvPLY4Gu/items/TPVC4VQG"],"itemData":{"id":259,"type":"article-journal","abstract":"OBJECTIVES: To identify associations between mortality in cSLE patients and their characteristics: clinical and laboratory features, disease activity and damage scores, and treatment; to evaluate risk factors associated with mortality in cSLE; and to determine the most frequent causes of death in this group of patients.\nMETHODS: We performed a multicenter retrospective cohort using data from 1,528 cSLE patients followed in 27 pediatric rheumatology tertiary centers in Brazil. Patients' medical records were reviewed according to a standardized protocol, in which information regarding demographic and clinical features, disease activity and damage scores, and treatment were collected and compared between deceased cSLE patients and survivors. Univariate and multivariate analyses by Cox regression model were used to calculate risk factors for mortality, whereas survival rates were analyzed by Kaplan-Meier plots.\nRESULTS: A total of 63/1,528 (4.1%) patients deceased, 53/63 were female (84.1%), median age at death was 11.9 (9.4-13.1) years and median time interval between cSLE diagnosis and death was 3.2 (0.5-5.3) years. Sepsis was the main cause of death in 27/63 (42.8%) patients, followed by opportunistic infections in 7/63 (11.1%), and alveolar hemorrhage in 6/63 (9.5%) patients. The regression models resulted in neuropsychiatric lupus (NP-SLE) (HR = 2.56, 95% CI = 1.48-4.42) and chronic kidney disease (CKD) (HR = 4.33, 95% CI = 2.33-4.72), as risk factors significantly associated with mortality. Overall patient survival after cSLE diagnosis at 5, 10, and 15 years were 97%, 95.4%, and 93.8%, respectively.\nCONCLUSIONS: This study confirmed that the recent mortality rate in cSLE in Brazil is low, but still of concern. NP-SLE and CKD were the main risk factors for mortality, indicating that the magnitude of these manifestations was significantly high.","container-title":"Lupus","DOI":"10.1177/09612033231170515","ISSN":"1477-0962","issue":"6","journalAbbreviation":"Lupus","language":"eng","note":"PMID: 37070932","page":"781-790","source":"PubMed","title":"Risk factors for mortality in 1528 Brazilian childhood-onset systemic lupus erythematosus patients","volume":"32","author":[{"family":"Sakamoto","given":"Ana P."},{"family":"Silva","given":"Clovis A."},{"family":"Pita","given":"Ana C."},{"family":"Trindade","given":"Vitor C."},{"family":"Islabao","given":"Aline G."},{"family":"Fiorot","given":"Fernanda J."},{"family":"Lopes","given":"Sandra Rm"},{"family":"Pereira","given":"Rosa Mr"},{"family":"Saad-Magalhaes","given":"Claudia"},{"family":"Russo","given":"Gleice Cs"},{"family":"Len","given":"Claudio A."},{"family":"Prado","given":"Rogerio","dropping-particle":"do"},{"family":"Campos","given":"Lucia Ma"},{"family":"Aikawa","given":"Nadia E."},{"family":"Appenzeller","given":"Simone"},{"family":"Ferriani","given":"Virginia Pl"},{"family":"Silva","given":"Marco F."},{"family":"Felix","given":"Marta"},{"family":"Fonseca","given":"Adriana R."},{"family":"Assad","given":"Ana Pl"},{"family":"Sztajnbok","given":"Flavio R."},{"family":"Santos","given":"Maria C."},{"family":"Bica","given":"Blanca E."},{"family":"Sena","given":"Evaldo G."},{"family":"Moraes","given":"Ana J."},{"family":"Fraga","given":"Melissa M."},{"family":"Robazzi","given":"Teresa C."},{"family":"Spelling","given":"Paulo F."},{"family":"Scheibel","given":"Iloite M."},{"family":"Cavalcanti","given":"Andre S."},{"family":"Matos","given":"Erica N."},{"family":"Guimaraes","given":"Luciano J."},{"family":"Santos","given":"Flavia P."},{"family":"Mota","given":"Licia Mh"},{"family":"Bonfa","given":"Eloisa"},{"family":"Terreri","given":"Maria T."}],"issued":{"date-parts":[["2023",5]]}}},{"id":261,"uris":["http://zotero.org/users/local/lvPLY4Gu/items/Y6XAIRGR"],"itemData":{"id":261,"type":"article-journal","abstract":"BACKGROUND: Juvenile-onset systemic lupus erythematosus (JSLE) is more severe than adult-onset disease, including more lupus nephritis (LN). Despite differences in phenotype/pathogenesis, treatment is based upon adult trials. This study aimed to compare treatment response, damage accrual, time to inactive LN and subsequent flare, in JSLE LN patients treated with mycophenolate mofetil (MMF) versus intravenous cyclophosphamide (IVCYC).\nMETHODS: UK JSLE Cohort Study participants, ≤16 years at diagnosis, with ≥4 American College of Rheumatology criteria for SLE, with class III or IV LN, were eligible. Mann-Whitney U tests, Fisher's exact test and Chi-squared tests were utilized for statistical analysis.\nRESULTS: Of the patients, 34/51 (67%) received MMF, and 17/51 (33%) received IVCYC. No significant differences were identified at 4-8 and 10-14 months post-renal biopsy and last follow-up, in terms of renal British Isles Lupus Assessment Grade scores, urine albumin/creatinine ratio, serum creatinine, ESR, anti-dsDNA antibody, C3 levels and patient/physician global scores. Standardized Damage Index scores did not differ between groups at 13 months or at last follow-up. Inactive LN was attained 262 (141-390) days after MMF treatment, and 151 (117-305) days following IVCYC ( p = 0.17). Time to renal flare was 451 (157-1266) days for MMF, and 343 (198-635) days for IVCYC ( p = 0.47).\nCONCLUSION: This is the largest study to date investigating induction treatments for proliferative LN in children, demonstrating comparability of MMF and IVCYC.","container-title":"Lupus","DOI":"10.1177/0961203319836712","ISSN":"1477-0962","issue":"5","journalAbbreviation":"Lupus","language":"eng","note":"PMID: 30871425","page":"613-620","source":"PubMed","title":"Outcomes following mycophenolate mofetil versus cyclophosphamide induction treatment for proliferative juvenile-onset lupus nephritis","volume":"28","author":[{"family":"Smith","given":"Emd"},{"family":"Al-Abadi","given":"E."},{"family":"Armon","given":"K."},{"family":"Bailey","given":"K."},{"family":"Ciurtin","given":"C."},{"family":"Davidson","given":"J."},{"family":"Gardner-Medwin","given":"J."},{"family":"Haslam","given":"K."},{"family":"Hawley","given":"D."},{"family":"Leahy","given":"A."},{"family":"Leone","given":"V."},{"family":"McErlane","given":"F."},{"family":"Mewar","given":"D."},{"family":"Modgil","given":"G."},{"family":"Moots","given":"R."},{"family":"Pilkington","given":"C."},{"family":"Ramanan","given":"A."},{"family":"Rangaraj","given":"S."},{"family":"Riley","given":"P."},{"family":"Sridhar","given":"A."},{"family":"Wilkinson","given":"N."},{"family":"Beresford","given":"M. W."},{"family":"Hedrich","given":"C. M."}],"issued":{"date-parts":[["2019",4]]}}},{"id":264,"uris":["http://zotero.org/users/local/lvPLY4Gu/items/6NDAPG68"],"itemData":{"id":264,"type":"article-journal","abstract":"INTRODUCTION: The FDA approved the anti-BAFF monoclonal antibody, belimumab, in 2011 for adult systemic lupus erythematosus (SLE), in 2019 for pediatric SLE, in 2020 for adult lupus nephritis (LN), and in 2022 for pediatric LN.\nAREAS COVERED: We performed a PUBMED database search through November 2022, using 'belimumab and lupus nephritis,' 'belimumab and childhood systemic lupus erythematosus,' 'belimumab and pediatric systemic lupus erythematosus,' and 'belimumab and juvenile systemic lupus erythematosus' as the search phrases. We also vetted pertinent references cited in the papers gleaned from the above search, and we drew from our personal literature collections.\nEXPERT OPINION: Based on clinical-trials and real-world experience, belimumab is useful and safe in adult SLE and LN. In contrast and despite FDA approval, evidence of effectiveness in pediatric SLE and pediatric LN is very limited. Whereas there was a trend favoring belimumab in the only randomized, controlled trial to date in pediatric SLE, the difference between the belimumab and placebo groups failed to achieve statistical significance. Moreover, there have been no randomized, controlled trials for belimumab in pediatric LN. Based largely on information gleaned from experience in adults, the clinician can cautiously prescribe belimumab to his/her pediatric LN patient and hope for benefit.","container-title":"Expert Opinion on Biological Therapy","DOI":"10.1080/14712598.2023.2178297","ISSN":"1744-7682","issue":"3","journalAbbreviation":"Expert Opin Biol Ther","language":"eng","note":"PMID: 36750049","page":"243-251","source":"PubMed","title":"Belimumab for the treatment of pediatric patients with lupus nephritis","volume":"23","author":[{"family":"Stohl","given":"William"},{"family":"Kwok","given":"Alyssa"}],"issued":{"date-parts":[["2023",3]]}}},{"id":266,"uris":["http://zotero.org/users/local/lvPLY4Gu/items/MUY6PGQZ"],"itemData":{"id":266,"type":"article-journal","abstract":"OBJECTIVE: To observe the efficacy and safety of telitacicept in refractory childhood-onset systemic lupus erythematosus (cSLE).\nMETHODS: A self-controlled before-after trial. Children with active SLE, aged 5-18 years, who cannot tolerate side effects of glucocorticoid, were enrolled in our study. Patients received subcutaneous injection of telitacicept weekly based on the standard treatment. SLE responder index-4 (SRI-4) was assessed before the first administration and at least 4 weeks after the first administration.\nRESULTS: Among the 15 cases of refractory cSLE, three were males (20%) and 12 were females (80%). The median age and weight were 13 years old and 52 kg, respectively. The median duration of disease was 30 months. 5-26 weeks (80 or 160 mg per week) after administration of telitacicept, 66.7% (n=10) reached SRI-4 response. 12 cases reduced their glucocorticoid intake from 40 mg/d to 17.5 mg/d. The urinary protein after treatment declined in 8 cases whose 24-h proteinuria was &gt;0.5 g at baseline. The urinary protein in two of the eight cases turned negative and plasma albumin in five of the eight cases rose to normal. In addition, three of these eight cases demonstrated varying degrees of improvement in renal impairment, whose estimated glomerular filtration rate (eGFR, ml/min·1.73 m2) rose from 17.4 to 26.6, 40.7 to 48.2, and 63.2 to 146.0, respectively. There were mild to moderate adverse events after treatment.\nCONCLUSION: Telitacicept combined with the standard treatment may significantly increase the SRI-4 response rate and reduce the glucocorticoid dosage in refractory cSLE, and also shown efficacy on lupus nephritis. The related adverse drug events were controllable.","container-title":"Lupus","DOI":"10.1177/09612033221097812","ISSN":"1477-0962","issue":"8","journalAbbreviation":"Lupus","language":"eng","note":"PMID: 35499216","page":"998-1006","source":"PubMed","title":"Safety and efficacy of telitacicept in refractory childhood-onset systemic lupus erythematosus: A self-controlled before-after trial","title-short":"Safety and efficacy of telitacicept in refractory childhood-onset systemic lupus erythematosus","volume":"31","author":[{"family":"Sun","given":"Li"},{"family":"Shen","given":"Qian"},{"family":"Gong","given":"Yinv"},{"family":"Li","given":"Yifan"},{"family":"Lv","given":"Qianying"},{"family":"Liu","given":"Haimei"},{"family":"Zhao","given":"Fei"},{"family":"Yu","given":"Haiguo"},{"family":"Qiu","given":"Lingzhi"},{"family":"Li","given":"Xiaozhong"},{"family":"He","given":"Xiaoliang"},{"family":"Chen","given":"Yuqing"},{"family":"Xu","given":"Zhiquan"},{"family":"Xu","given":"Hong"}],"issued":{"date-parts":[["2022",7]]}}},{"id":268,"uris":["http://zotero.org/users/local/lvPLY4Gu/items/RDY2RWXJ"],"itemData":{"id":268,"type":"article-journal","abstract":"BACKGROUND: Recent advances in the management of lupus nephritis (LN) have also contributed to a favorable outcome in patients with pediatric-onset LN. Nevertheless, we believe that a more effective and less toxic treatment is needed to attain optimal control of pediatric-onset LN.\nMETHODS: Seven consecutive children with biopsy-proven LN (four with class III/IV and three with class V) received multitarget induction therapy consisting of mizoribine (MZR), tacrolimus (Tac), and prednisolone (PDN). They were prospectively evaluated at three, six, and 12 months, and at the latest observation point after a mean period of 32 months. Post-treatment renal biopsy was performed in two patients with class III/IV.\nRESULTS: Despite gradually tapering the dose of concomitantly administered PDN, a significant improvement compared with baseline values was observed in the urinary, serological, and clinical assessment measures even at three months of treatment, and the favorable changes persisted throughout the treatment period in most of the study participants except for one. In two patients who underwent post-treatment renal biopsy, a marked histologic improvement was confirmed. No serious adverse events were observed.\nCONCLUSIONS: Multitarget therapy may be an attractive option for the treatment of pediatric-onset LN. Further studies involving a larger number of patients are needed.","container-title":"Lupus","DOI":"10.1177/0961203314528553","ISSN":"1477-0962","issue":"8","journalAbbreviation":"Lupus","language":"eng","note":"PMID: 24651669","page":"813-818","source":"PubMed","title":"Efficacy of mizoribine-tacrolimus-based induction therapy for pediatric lupus nephritis","volume":"23","author":[{"family":"Tanaka","given":"H."},{"family":"Aizawa","given":"T."},{"family":"Watanabe","given":"S."},{"family":"Oki","given":"E."},{"family":"Tsuruga","given":"K."},{"family":"Imaizumi","given":"T."}],"issued":{"date-parts":[["2014",7]]}}},{"id":270,"uris":["http://zotero.org/users/local/lvPLY4Gu/items/Q6KN47QG"],"itemData":{"id":270,"type":"article-journal","abstract":"BACKGROUND: Recent advances in the management of lupus nephritis (LN) have also contributed to a favorable outcome in patients with pediatric-onset LN. Nevertheless, we believe that a more effective and less toxic treatment is needed to attain optimal control of pediatric-onset LN.\nMETHODS: Seven consecutive children with biopsy-proven LN (four with class III/IV and three with class V) received multitarget induction therapy consisting of mizoribine (MZR), tacrolimus (Tac), and prednisolone (PDN). They were prospectively evaluated at three, six, and 12 months, and at the latest observation point after a mean period of 32 months. Post-treatment renal biopsy was performed in two patients with class III/IV.\nRESULTS: Despite gradually tapering the dose of concomitantly administered PDN, a significant improvement compared with baseline values was observed in the urinary, serological, and clinical assessment measures even at three months of treatment, and the favorable changes persisted throughout the treatment period in most of the study participants except for one. In two patients who underwent post-treatment renal biopsy, a marked histologic improvement was confirmed. No serious adverse events were observed.\nCONCLUSIONS: Multitarget therapy may be an attractive option for the treatment of pediatric-onset LN. Further studies involving a larger number of patients are needed.","container-title":"Lupus","DOI":"10.1177/0961203314528553","ISSN":"1477-0962","issue":"8","journalAbbreviation":"Lupus","language":"eng","note":"PMID: 24651669","page":"813-818","source":"PubMed","title":"Efficacy of mizoribine-tacrolimus-based induction therapy for pediatric lupus nephritis","volume":"23","author":[{"family":"Tanaka","given":"H."},{"family":"Aizawa","given":"T."},{"family":"Watanabe","given":"S."},{"family":"Oki","given":"E."},{"family":"Tsuruga","given":"K."},{"family":"Imaizumi","given":"T."}],"issued":{"date-parts":[["2014",7]]}}},{"id":272,"uris":["http://zotero.org/users/local/lvPLY4Gu/items/J55NMG64"],"itemData":{"id":272,"type":"article-journal","abstract":"OBJECTIVE: Although juvenile-onset proliferative lupus nephritis (PLN) leads to significant morbidity and mortality, there is no clinical trials-based evidence to support the treatment effectiveness of any therapy for juvenile-onset PLN. Marginal structural models enable us to estimate treatment effectiveness using observational data while accounting for confounding by indication.\nMETHODS: We used prospectively collected data to examine the effect of mycophenolate mofetil (MMF), compared to the use of other therapies, on the long-term outcome of a juvenile-onset PLN cohort (age at PLN onset &lt;18 years). The major outcome variable was the estimated glomerular filtration rate (GFR) using the revised Schwartz formula. Confounding by indication was corrected for marginal structural model.\nRESULTS: A total of 172 subjects with juvenile-onset PLN, with a mean followup duration of approximately 4 years, were included. Overall, MMF was superior to other therapies, with a relative effect estimate for MMF of 1.06, i.e., 6% better estimated GFR on average (95% confidence interval 0.7, 11.3), corrected for potential confounding by indication. We found that beginning in year 4 there was a significant improvement in estimated GFR in the patients who were treated with MMF versus other therapies. This improvement was maintained until the end of the study.\nCONCLUSION: MMF was more beneficial than other therapies in improving/maintaining long-term renal function in patients with juvenile-onset PLN up to a maximum followup of 7 years. This finding is consistent with evidence from adult PLN clinical trials.","container-title":"Arthritis Care &amp; Research","DOI":"10.1002/acr.23215","ISSN":"2151-4658","issue":"12","journalAbbreviation":"Arthritis Care Res (Hoboken)","language":"eng","note":"PMID: 28182833","page":"1887-1894","source":"PubMed","title":"Comparative Effectiveness of Mycophenolate Mofetil for the Treatment of Juvenile-Onset Proliferative Lupus Nephritis","volume":"69","author":[{"family":"Tian","given":"Simon Y."},{"family":"Silverman","given":"Earl D."},{"family":"Pullenayegum","given":"Eleanor"},{"family":"Brown","given":"Patrick E."},{"family":"Beyene","given":"Joseph"},{"family":"Feldman","given":"Brian M."}],"issued":{"date-parts":[["2017",12]]}}},{"id":274,"uris":["http://zotero.org/users/local/lvPLY4Gu/items/2PGF7J93"],"itemData":{"id":274,"type":"article-journal","abstract":"OBJECTIVE: To determine the most effective immunosuppressive therapy for the longterm management of proliferative lupus nephritis (PLN) based on the outcome of renal failure.\nMETHODS: A systematic review of randomized controlled trials (RCT) was conducted. MEDLINE and EMBASE were searched. RCT designed to examine the maintenance treatment effectiveness of immunosuppressive agents for PLN were included. A Bayesian network metaanalysis of 2-arm and 3-arm trials was used. A skeptical prior assumption was used in sensitivity analysis. Four immunosuppressive agents were evaluated: cyclophosphamide (CYC), azathioprine (AZA), mycophenolate mofetil (MMF), and prednisone alone. The outcome of interest was renal failure during the study period, defined by serum creatinine (sCr) &gt; 256 µmol/l, doubling of sCr from baseline, and/or endstage renal disease.\nRESULTS: The OR (95% credible interval) of developing renal failure at 2-3 years was 0.72 (0.11, 4.49) for AZA versus CYC, 0.32 (0.04, 2.25) for MMF versus CYC, 2.40 (0.22, 36.94) for prednisone alone versus CYC, and 0.45 (0.11, 1.48) for MMF versus AZA. The probability (95% credible interval) of developing renal failure at 2 years as expected for each agent was 6% (0.7%, 24%) for MMF, 12% (2%, 37%) for AZA, 16% (5%, 33%) for CYC, and 31% (5%, 81%) for prednisone alone. After applying a skeptical prior in the Bayesian analysis, there was no evidence of benefit for 1 therapy over another.\nCONCLUSION: Although the data suggest that MMF may be superior to other treatments for the maintenance treatment of PLN, the evidence is not conclusive.","container-title":"The Journal of Rheumatology","DOI":"10.3899/jrheum.141650","ISSN":"1499-2752","issue":"8","journalAbbreviation":"J Rheumatol","language":"eng","note":"PMID: 26077406","page":"1392-1400","source":"PubMed","title":"Immunosuppressive Therapies for the Maintenance Treatment of Proliferative Lupus Nephritis: A Systematic Review and Network Metaanalysis","title-short":"Immunosuppressive Therapies for the Maintenance Treatment of Proliferative Lupus Nephritis","volume":"42","author":[{"family":"Tian","given":"Simon Yu"},{"family":"Feldman","given":"Brian M."},{"family":"Beyene","given":"Joseph"},{"family":"Brown","given":"Patrick E."},{"family":"Uleryk","given":"Elizabeth M."},{"family":"Silverman","given":"Earl D."}],"issued":{"date-parts":[["2015",8]]}}},{"id":277,"uris":["http://zotero.org/users/local/lvPLY4Gu/items/CSIXBY55"],"itemData":{"id":277,"type":"article-journal","abstract":"OBJECTIVE: Management of systemic lupus erythematosus (SLE) is complex and variability in practices exists. Guidelines have been developed to help improve the management of SLE patients, but there has been no formal evaluation of these guidelines. This study aims to compare the scope, quality, and consistency of clinical practice guidelines on the diagnosis, monitoring, and treatment of patients with SLE.\nMETHODS: Electronic databases were searched up to April 2014. The Appraisal of Guidelines for Research and Evaluation (AGREE) II instrument and textual synthesis was used to appraise and compare recommendations.\nRESULTS: Nine clinical practice guidelines and 5 consensus statements were identified, which covered 7 topics: diagnosis, monitoring, treatment, neuropsychiatric SLE, lupus nephritis, antiphospholipid syndrome, and other manifestations of lupus. The methodological quality of the guidelines was variable, with the overall mean AGREE II scores ranging from 31% to 75%, out of a maximum 100%. Scores were consistently low for applicability, with only 1 guideline scoring above 50%. There was substantial variability in the treatments recommended for class II and V lupus nephritis, the recommended duration of maintenance therapy for class III/IV lupus nephritis (from 1 to 4 years), and timing of ophthalmologic examination for patients taking corticosteroids.\nCONCLUSION: Published guidelines on SLE cover a complex area of clinical care, but the methodological quality, scope, and recommendations varied substantially. Collaborative and multidisciplinary efforts to develop comprehensive, high-quality evidence-based guidelines are needed to promote best treatment and health outcomes for patients with SLE.","container-title":"Arthritis Care &amp; Research","DOI":"10.1002/acr.22591","ISSN":"2151-4658","issue":"10","journalAbbreviation":"Arthritis Care Res (Hoboken)","language":"eng","note":"PMID: 25778500","page":"1440-1452","source":"PubMed","title":"Diagnosis, Monitoring, and Treatment of Systemic Lupus Erythematosus: A Systematic Review of Clinical Practice Guidelines","title-short":"Diagnosis, Monitoring, and Treatment of Systemic Lupus Erythematosus","volume":"67","author":[{"family":"Tunnicliffe","given":"David J."},{"family":"Singh-Grewal","given":"Davinder"},{"family":"Kim","given":"Siah"},{"family":"Craig","given":"Jonathan C."},{"family":"Tong","given":"Allison"}],"issued":{"date-parts":[["2015",10]]}}},{"id":280,"uris":["http://zotero.org/users/local/lvPLY4Gu/items/GSTB7MXM"],"itemData":{"id":280,"type":"article-journal","container-title":"American Journal of Kidney Diseases: The Official Journal of the National Kidney Foundation","DOI":"10.1053/j.ajkd.2018.07.008","ISSN":"1523-6838","issue":"5","journalAbbreviation":"Am J Kidney Dis","language":"eng","note":"PMID: 30343732","page":"756-757","source":"PubMed","title":"Immunosuppressive Treatment for Proliferative Lupus Nephritis: Summary of a Cochrane Review","title-short":"Immunosuppressive Treatment for Proliferative Lupus Nephritis","volume":"72","author":[{"family":"Tunnicliffe","given":"David J."},{"family":"Palmer","given":"Suetonia C."}],"issued":{"date-parts":[["2018",11]]}}}],"schema":"https://github.com/citation-style-language/schema/raw/master/csl-citation.json"} </w:instrText>
      </w:r>
      <w:r w:rsidR="00712BBB">
        <w:rPr>
          <w:rFonts w:cstheme="minorHAnsi"/>
          <w:color w:val="000000"/>
          <w:sz w:val="22"/>
          <w:szCs w:val="22"/>
          <w:shd w:val="clear" w:color="auto" w:fill="FFFFFF"/>
        </w:rPr>
        <w:fldChar w:fldCharType="separate"/>
      </w:r>
      <w:r w:rsidR="00642970" w:rsidRPr="00642970">
        <w:rPr>
          <w:rFonts w:ascii="Calibri" w:cs="Calibri"/>
          <w:color w:val="000000"/>
          <w:sz w:val="22"/>
        </w:rPr>
        <w:t>(57–85)</w:t>
      </w:r>
      <w:r w:rsidR="00712BBB">
        <w:rPr>
          <w:rFonts w:cstheme="minorHAnsi"/>
          <w:color w:val="000000"/>
          <w:sz w:val="22"/>
          <w:szCs w:val="22"/>
          <w:shd w:val="clear" w:color="auto" w:fill="FFFFFF"/>
        </w:rPr>
        <w:fldChar w:fldCharType="end"/>
      </w:r>
      <w:r w:rsidR="001630D4" w:rsidRPr="004E555A">
        <w:rPr>
          <w:rFonts w:cstheme="minorHAnsi"/>
          <w:color w:val="000000"/>
          <w:sz w:val="22"/>
          <w:szCs w:val="22"/>
          <w:shd w:val="clear" w:color="auto" w:fill="FFFFFF"/>
        </w:rPr>
        <w:t xml:space="preserve">, </w:t>
      </w:r>
      <w:r w:rsidR="004E555A" w:rsidRPr="004E555A">
        <w:rPr>
          <w:rFonts w:cstheme="minorHAnsi"/>
          <w:color w:val="000000"/>
          <w:sz w:val="22"/>
          <w:szCs w:val="22"/>
          <w:shd w:val="clear" w:color="auto" w:fill="FFFFFF"/>
        </w:rPr>
        <w:t>13</w:t>
      </w:r>
      <w:r w:rsidR="001630D4" w:rsidRPr="004E555A">
        <w:rPr>
          <w:rFonts w:cstheme="minorHAnsi"/>
          <w:color w:val="000000"/>
          <w:sz w:val="22"/>
          <w:szCs w:val="22"/>
          <w:shd w:val="clear" w:color="auto" w:fill="FFFFFF"/>
        </w:rPr>
        <w:t xml:space="preserve"> ANCA</w:t>
      </w:r>
      <w:r w:rsidR="008B61DF">
        <w:rPr>
          <w:rFonts w:cstheme="minorHAnsi"/>
          <w:color w:val="000000"/>
          <w:sz w:val="22"/>
          <w:szCs w:val="22"/>
          <w:shd w:val="clear" w:color="auto" w:fill="FFFFFF"/>
        </w:rPr>
        <w:t xml:space="preserve"> </w:t>
      </w:r>
      <w:r w:rsidR="008B61DF">
        <w:rPr>
          <w:rFonts w:cstheme="minorHAnsi"/>
          <w:color w:val="000000"/>
          <w:sz w:val="22"/>
          <w:szCs w:val="22"/>
          <w:shd w:val="clear" w:color="auto" w:fill="FFFFFF"/>
        </w:rPr>
        <w:fldChar w:fldCharType="begin"/>
      </w:r>
      <w:r w:rsidR="00642970">
        <w:rPr>
          <w:rFonts w:cstheme="minorHAnsi"/>
          <w:color w:val="000000"/>
          <w:sz w:val="22"/>
          <w:szCs w:val="22"/>
          <w:shd w:val="clear" w:color="auto" w:fill="FFFFFF"/>
        </w:rPr>
        <w:instrText xml:space="preserve"> ADDIN ZOTERO_ITEM CSL_CITATION {"citationID":"54Pa7eTm","properties":{"formattedCitation":"(86\\uc0\\u8211{}98)","plainCitation":"(86–98)","noteIndex":0},"citationItems":[{"id":180,"uris":["http://zotero.org/users/local/lvPLY4Gu/items/KQEXYZ89"],"itemData":{"id":180,"type":"article-journal","abstract":"BACKGROUND: Microscopic polyangiitis (MPA) is one of the most common forms of antineutrophil cytoplasm autoantibodies (ANCA)-associated vasculitis in children. Cyclophospamide and glucocorticoid-based treatment protocols are still considered gold standard in managing this multi-system disorder. But treatment-related toxicity is a major cause of chronic morbidity and early mortality in MPA. Hence, the search for an effective and safe alternative immunosuppressant is essential.\nMETHODS: A retrospective analysis of baseline clinico-pathological presentation and treatment-outcome was performed among 11 paediatric MPA patients. All of whom were treated with a pre-specified cyclophosphamide free, rituximab- and mycophenolate mofetil (MMF)-based management protocol as per centre practice.\nRESULTS: We describe the clinical course of 11 children with MPA over a median follow-up period of 20.9 months. Both patient survival and renal survival at 1 year follow-up were 100%. In spite of the varying degree of renal involvement at presentation, kidney function was recovered in all patients with a median estimated glomerular filtration rate (eGFR) of 79.5 mL/min/1.73 m(2). At last follow-up, 91% (10/11) of patients were in complete remission and one (9%) child continued partial remission state. There was no treatment failure. In total, 73% (8/11) of patients were off steroids at last follow-up and 82% (9/11) of patients never relapsed during follow-up period.\nCONCLUSIONS: Efficacy and medium-term safety of rituximab- and MMF-based protocol in managing children with MPA was evident in this study.","container-title":"Nephrology, Dialysis, Transplantation: Official Publication of the European Dialysis and Transplant Association - European Renal Association","DOI":"10.1093/ndt/gfv016","ISSN":"1460-2385","journalAbbreviation":"Nephrol Dial Transplant","language":"eng","note":"PMID: 25758433","page":"i113-118","source":"PubMed","title":"Favourable renal survival in paediatric microscopic polyangiitis: efficacy of a novel treatment algorithm","title-short":"Favourable renal survival in paediatric microscopic polyangiitis","volume":"30 Suppl 1","author":[{"family":"Basu","given":"Biswanath"},{"family":"Mahapatra","given":"T. K. S."},{"family":"Mondal","given":"Nirmal"}],"issued":{"date-parts":[["2015",4]]}}},{"id":182,"uris":["http://zotero.org/users/local/lvPLY4Gu/items/GNUJW37Y"],"itemData":{"id":182,"type":"article-journal","abstract":"BACKGROUND AND OBJECTIVES: ANCA-associated vasculitis is extremely rare in children. We report the clinicopathologic features, long-term outcomes, and prognostic factors of a large pediatric cohort of patients with ANCA-associated kidney vasculitis.\nDESIGN, SETTING, PARTICIPANTS, &amp; MEASUREMENTS: This retrospective study included 85 consecutive patients with kidney biopsy specimen-proven ANCA-associated vasculitis from tertiary referral centers in Italy and Canada. Kidney biopsy specimens were categorized as focal, crescentic, sclerotic, or mixed, according to the Berden classification. The prognostic significance of baseline clinical, laboratory, and histologic findings was analyzed with respect to kidney failure or CKD stage 3-5/kidney failure.\nRESULTS: A total of 53 patients had microscopic polyangiitis (62%), and 32 had granulomatosis with polyangiitis (38%). Rapidly progressive GN was the most frequent presentation (39%); a third of the patients also had nephrotic-range proteinuria. Kidney biopsy specimens were classified as focal in 21% of the patients, crescentic in 51%, sclerotic in 15%, and mixed in 13%. Remission-induction therapies included cyclophosphamide in 78% of patients. A total of 25 patients (29%) reached kidney failure. The median (interquartile range) time to kidney failure or last follow-up was 35 (6-89) months in the whole cohort, and 73 (24-109) months among the patients who did not reach this outcome. Patients whose biopsy specimens showed sclerotic histology had significantly shorter kidney survival (hazard ratio, 11.80; 95% confidence interval, 2.49 to 55.99) and survival free of CKD stage 3-5 (hazard ratio, 8.88; 95% confidence interval, 2.43 to 32.48), as compared with those with focal/mixed histology. Baseline eGFR, low serum albumin, hypertension, central nervous system complications, and sclerotic histology, which reflected severe kidney involvement, were associated with both kidney failure and CKD stage 3-5/kidney failure at unadjusted analysis; no independent prognostic factors emerged at multivariable analysis.\nCONCLUSIONS: Children with ANCA-associated kidney vasculitis often have aggressive presentation; a third of such children progress to kidney failure and this usually occurs early during follow-up. A severe clinical presentation is associated with the development of CKD or kidney failure.","container-title":"Clinical journal of the American Society of Nephrology: CJASN","DOI":"10.2215/CJN.19181220","ISSN":"1555-905X","issue":"7","journalAbbreviation":"Clin J Am Soc Nephrol","language":"eng","note":"PMID: 34039568\nPMCID: PMC8425616","page":"1043-1051","source":"PubMed","title":"Prognostic Factors and Long-Term Outcome with ANCA-Associated Kidney Vasculitis in Childhood","volume":"16","author":[{"family":"Calatroni","given":"Marta"},{"family":"Consonni","given":"Filippo"},{"family":"Allinovi","given":"Marco"},{"family":"Bettiol","given":"Alessandra"},{"family":"Jawa","given":"Natasha"},{"family":"Fiasella","given":"Susanna"},{"family":"Curi","given":"Dritan"},{"family":"Abu Rumeileh","given":"Sarah"},{"family":"Tomei","given":"Leonardo"},{"family":"Fortunato","given":"Laura"},{"family":"Gelain","given":"Elena"},{"family":"Gianfreda","given":"Davide"},{"family":"Oliva","given":"Elena"},{"family":"Jeannin","given":"Guido"},{"family":"Salviani","given":"Chiara"},{"family":"Emmi","given":"Giacomo"},{"family":"Bodria","given":"Monica"},{"family":"Sinico","given":"Renato A."},{"family":"Moroni","given":"Gabriella"},{"family":"Ramirez","given":"Giuseppe A."},{"family":"Bozzolo","given":"Enrica"},{"family":"Tombetti","given":"Enrico"},{"family":"Monti","given":"Sara"},{"family":"Bracaglia","given":"Claudia"},{"family":"Marucci","given":"Giulia"},{"family":"Pastore","given":"Serena"},{"family":"Esposito","given":"Pasquale"},{"family":"Catanoso","given":"Maria G."},{"family":"Crapella","given":"Barbara"},{"family":"Montini","given":"Giovanni"},{"family":"Roperto","given":"Rosa"},{"family":"Materassi","given":"Marco"},{"family":"Rossi","given":"Giovanni M."},{"family":"Badalamenti","given":"Salvatore"},{"family":"Yeung","given":"Rae S. M."},{"family":"Romagnani","given":"Paola"},{"family":"Ghiggeri","given":"Gian M."},{"family":"Noone","given":"Damien"},{"family":"Vaglio","given":"Augusto"}],"issued":{"date-parts":[["2021",7]]}}},{"id":184,"uris":["http://zotero.org/users/local/lvPLY4Gu/items/FQ9MDHVV"],"itemData":{"id":184,"type":"article-journal","abstract":"BACKGROUND: Anti-neutrophil cytoplasmic antibody (ANCA)-associated vasculitis and glomerulonephritis is uncommon in children. We sought to characterize the histological and clinical features of the disease and report on risk factors for adverse outcomes in a pediatric cohort.\nMETHODS: Retrospective single-center cohort of all pediatric (&lt; 20 years) patients diagnosed with ANCA-associated glomerulonephritis (AAGN) by kidney biopsy between 2002 and 2022 at Johns Hopkins University. Histological and clinical features were extracted from the medical record. Clinical, laboratory, and histological findings were analyzed to determine the association with kidney failure (KF) and/or death.\nRESULTS: A total of 17 patients were identified (GPA n = 7, MPA = 10) with a median age of 15 years (IQR 12-17) at presentation, a slight female predominance (59%), with seven patients reaching the composite outcome of death (n = 1) or kidney failure (n = 6). There was no difference in presenting clinical symptoms or extra-renal manifestations between the two groups. Univariable Cox regression identified several factors associated with an increased hazard of endpoint including the degree of global or segmental sclerosis, interstitial fibrosis and tubular atrophy (IFTA), C3 and C1q staining, presence of subendothelial deposits, and proteinuria. Multivariable regression was not performed due to the small sample size. We saw a trend towards increased utilization of plasma exchange and a decrease in cyclophosphamide utilization in the more recent era. There was no association between treatment modality and outcome.\nCONCLUSIONS: Pediatric AAGN is a rare disease associated with significant morbidity. We identified glomerulosclerosis and IFTA on histology, and proteinuria on initial presentation as risk factors for KF/death.","container-title":"Pediatric Nephrology (Berlin, Germany)","DOI":"10.1007/s00467-024-06406-5","ISSN":"1432-198X","issue":"10","journalAbbreviation":"Pediatr Nephrol","language":"eng","note":"PMID: 38780769\nPMCID: PMC11349454","page":"2947-2957","source":"PubMed","title":"Clinicopathological characteristics of pediatric ANCA-associated glomerulonephritis","volume":"39","author":[{"family":"Charnaya","given":"Olga"},{"family":"Kruglyakova","given":"Jacqueline"},{"family":"Jacob","given":"Binil"},{"family":"Arend","given":"Lois J."}],"issued":{"date-parts":[["2024",10]]}}},{"id":186,"uris":["http://zotero.org/users/local/lvPLY4Gu/items/DR8I6YJP"],"itemData":{"id":186,"type":"article-journal","abstract":"OBJECTIVES: High-dose glucocorticoids for remission-induction of ANCA-associated vasculitis are recommended and commonly used in adults, but recent studies suggest lower glucocorticoid doses can reduce toxicity without reducing efficacy. No paediatric-specific data exists to inform optimal glucocorticoid dosing in paediatric ANCA-associated vasculitis (pAAV). Our objectives were to describe glucocorticoid use in pAAV-related renal disease, and to explore associations between glucocorticoid dose, baseline patient characteristics and 12-month outcomes.\nMETHODS: Youth &lt;18 years with pAAV, biopsy-confirmed pauci-immune glomerulonephritis and 12-month follow-up data were included from an international paediatric vasculitis registry. Presenting features and 12-month outcomes (eGFR, glucocorticoid-related adverse effects), were compared between patients receiving no, low-moderate (≤90mg/kg) and high (&gt;90mg/kg) cumulative intravenous methylprednisolone (IVMP), and low (&lt;0.5mg/kg/day prednisone equivalent), moderate (0.5-1.5mg/kg/day) and high (&gt;1.5mg/kg/day) starting doses of oral glucocorticoids.\nRESULTS: Among 131 patients (101 granulomatosis with polyangiitis, 30 microscopic polyangiitis), 27 (21%) received no IVMP, 64 (49%) low-moderate and 29 (22%) high-dose IVMP, while 9 (7%) received low, 75 (57%) moderate and 47 (36%) high initial doses of oral glucocorticoids. Renal failure at diagnosis (p=0.022) and plasmapheresis use (p=0.0001) were associated with high-dose IVMP. Rates of glucocorticoid-related adverse effects ranged from 15-31% across dose levels, and glucocorticoid dosing did not associate with 12-month outcomes.\nCONCLUSIONS: Glucocorticoid dosing for pAAV-related renal disease was highly variable, and rates of adverse effects were high across all dosing groups. A significant proportion of patients received oral glucocorticoid or IVMP doses that were discordant with current adult guidelines. Higher glucocorticoid doses did not associate with improved outcomes.","container-title":"Clinical and Experimental Rheumatology","DOI":"10.55563/clinexprheumatol/iol4k2","ISSN":"0392-856X","issue":"4","journalAbbreviation":"Clin Exp Rheumatol","language":"eng","note":"PMID: 35383555","page":"841-848","source":"PubMed","title":"Wide variation in glucocorticoid dosing in paediatric ANCA-associated vasculitis with renal disease: a paediatric vasculitis initiative study","title-short":"Wide variation in glucocorticoid dosing in paediatric ANCA-associated vasculitis with renal disease","volume":"40","author":[{"family":"Chen","given":"Audrea"},{"family":"Mammen","given":"Cherry"},{"family":"Guzman","given":"Jaime"},{"family":"Al-Abadi","given":"Eslam"},{"family":"Benseler","given":"Susanne M."},{"family":"Berard","given":"Roberta A."},{"family":"Gerstbacher","given":"Dana"},{"family":"Heshin-Bekenstein","given":"Merav"},{"family":"Kim","given":"Susan"},{"family":"Klein-Gitelman","given":"Marisa"},{"family":"Chavan","given":"Pallavi Pimpale"},{"family":"James","given":"Karen E."},{"family":"Martin","given":"Neil"},{"family":"McErlane","given":"Flora"},{"family":"Myrup","given":"Charlotte"},{"family":"Noone","given":"Damien G."},{"family":"Raghuram","given":"Jyothi"},{"family":"Shenoi","given":"Susan"},{"family":"Sivaraman","given":"Vidya"},{"family":"Tanner","given":"Tamara"},{"family":"Yeung","given":"Rae S. M."},{"family":"Cabral","given":"David A."},{"family":"Morishita","given":"Kimberly A."},{"literal":"for ARChiVe Investigators within the PedVas Initiative"}],"issued":{"date-parts":[["2022",5]]}}},{"id":188,"uris":["http://zotero.org/users/local/lvPLY4Gu/items/IXYFAWUE"],"itemData":{"id":188,"type":"article-journal","abstract":"BACKGROUND: The data from cohorts of childhood-onset granulomatosis with polyangiitis (GPA) and microscopic polyangiitis (MPA) remain scarce and heterogeneous. We aimed to analyse the features at presentation, therapeutic approaches and the disease course of these rare diseases.\nMETHODS: Electronic searches of Medline and the Cochrane Central Register of Controlled trials database were conducted. We also checked the reference lists of the studies included and other systematic reviews, to identify additional reports. We included all cohorts, cross-sectional studies or registries reporting features at presentation or outcomes in patients with a diagnosis of childhood-onset GPA or MPA (age &lt;18 years). The pooled prevalence of clinical manifestations at presentation, ANCA and induction therapies for GPA and MPA was calculated.\nRESULTS: We reviewed 570 full texts and identified 14 studies on GPA and 8 on MPA. Childhood-onset GPA and MPA occurred predominantly in female subjects during adolescence. For GPA, ear-nose-throat (ENT) disease (pooled prevalence 82 % [95 % CI 78-87]), constitutional symptoms (73 % [95 % CI 55-88]), renal (65 % [95 % CI 49-79]), and lower respiratory tract (61 % [95 % CI 48-74]) manifestations were the most frequently reported at presentation. Renal disease was a hallmark of MPA (94 % [95 % CI 89-97]). ANCA were detected in &gt;90 % of children with GPA or MPA. Combined corticosteroids and cyclophosphamide was the most frequently used first remission-inducing treatment for GPA (76 % [95 % CI 69-82]) and MPA (62 % [95 % CI 20-96]). Relapses occurred more frequently in GPA (67-100 %) than in MPA (25-50 %). The leading causes of death were the disease itself, and infections.\nCONCLUSIONS: Childhood-onset MPA and GPA remain severe diseases with frequent relapses and a high cumulative morbidity. Survival and disease-free survival need to be improved.","container-title":"Orphanet Journal of Rare Diseases","DOI":"10.1186/s13023-016-0523-y","ISSN":"1750-1172","issue":"1","journalAbbreviation":"Orphanet J Rare Dis","language":"eng","note":"PMID: 27770813\nPMCID: PMC5075395","page":"141","source":"PubMed","title":"Childhood-onset granulomatosis with polyangiitis and microscopic polyangiitis: systematic review and meta-analysis","title-short":"Childhood-onset granulomatosis with polyangiitis and microscopic polyangiitis","volume":"11","author":[{"family":"Iudici","given":"Michele"},{"family":"Quartier","given":"Pierre"},{"family":"Terrier","given":"Benjamin"},{"family":"Mouthon","given":"Luc"},{"family":"Guillevin","given":"Loïc"},{"family":"Puéchal","given":"Xavier"}],"issued":{"date-parts":[["2016",10,22]]}}},{"id":191,"uris":["http://zotero.org/users/local/lvPLY4Gu/items/WCUTSH7C"],"itemData":{"id":191,"type":"article-journal","abstract":"OBJECTIVE: There are few reports on the treatment of antineutrophil cytoplasmic antibody-associated vasculitis (AAV) in children. This study characterizes the use of cyclophosphamide, rituximab, and plasma exchange in children hospitalized with AAV in the US.\nMETHODS: We conducted a retrospective cohort study of children hospitalized with AAV from 2004-2014 utilizing an administrative and billing database from 47 tertiary care pediatric hospitals. All patients had an International Classification of Diseases, Ninth Revision, Clinical Modification discharge code of 446.4 and ≥1 charge for glucocorticoids. Treatment receipt was determined using billing data. Mixed-effects logistic regression was used to evaluate factors associated with the likelihood of receipt of each of the 3 treatments.\nRESULTS: During the 11-year study period there were 1,290 admissions for 393 children. The median age at index admission was 14.6 years, and 61% were female. Dialysis or mechanical ventilation was required by 16% and 17% of the children, respectively. The median length of stay was 9 days. The percentages of children receiving cyclophosphamide, rituximab, or both were 57%, 21%, and 10%, respectively, and 22% received plasma exchange. Mechanical ventilation was associated with the receipt of cyclophosphamide and plasma exchange, but not rituximab. There was an increasing trend in the use of rituximab over time during the study period (P &lt; 0.05), and a decreasing trend in the use of cyclophosphamide (P &lt; 0.05). Treatment use varied significantly between hospitals, especially for plasma exchange.\nCONCLUSION: The treatment of children with severe AAV is shifting from cyclophosphamide to rituximab, and their need for dialysis, mechanical ventilation, and prolonged hospitalization remains common. Use of plasma exchange is highly variable.","container-title":"Arthritis Care &amp; Research","DOI":"10.1002/acr.23142","ISSN":"2151-4658","issue":"9","journalAbbreviation":"Arthritis Care Res (Hoboken)","language":"eng","note":"PMID: 27813340\nPMCID: PMC5415438","page":"1377-1383","source":"PubMed","title":"Variation in the Treatment of Children Hospitalized With Antineutrophil Cytoplasmic Antibody-Associated Vasculitis in the US","volume":"69","author":[{"family":"James","given":"Karen E."},{"family":"Xiao","given":"Rui"},{"family":"Merkel","given":"Peter A."},{"family":"Weiss","given":"Pamela F."}],"issued":{"date-parts":[["2017",9]]}}},{"id":194,"uris":["http://zotero.org/users/local/lvPLY4Gu/items/WSKFMELV"],"itemData":{"id":194,"type":"article-journal","abstract":"BACKGROUND: Pediatric ANCA vasculitis is a rare group of diseases with a scarcity of data in children. Annual incidence appeared to increase in the last several years, placing higher interest in the clinical and therapeutical outcomes of the disorder. Also, the growing use of rituximab questions the latest outcomes in these diseases. We therefore conducted a retrospective study to better understand the current characteristics, management, and the latest outcomes of the disorder.\nMETHODS: We conducted a 9-year retrospective study of 46 children in 14 different centers across France to describe their clinical and laboratory presentations, therapeutic regimens, and kidney outcome.\nRESULTS: P-ANCA appeared to be a potential marker for higher relapse risk. Compared to adults, we found that ear-nose-throat presentations were frequent (45.7%) and more severe. Despite an evolution in the treatment management, kidney outcome remained poor with a substantial proportion of chronic kidney disease (54.8% at 1 year). Mortality stays low with 3 patients (6.5%) deceased at the end of our study.\nCONCLUSION: Clinical presentation was as previously described and time to diagnosis remains long. P-ANCA is a statistically significant marker for increased relapse risk. We observed a modification in the treatment regimens over the past several years with a growing use of rituximab and a decreasing use of cyclophosphamide. Despite these changes, kidney outcome remains poor and prospective studies should be conducted to assess the most appropriate therapeutic modality for each patient. A higher resolution version of the Graphical abstract is available as Supplementary information.","container-title":"Pediatric Nephrology (Berlin, Germany)","DOI":"10.1007/s00467-022-05855-0","ISSN":"1432-198X","issue":"8","journalAbbreviation":"Pediatr Nephrol","language":"eng","note":"PMID: 36622443","page":"2649-2658","source":"PubMed","title":"Pediatric ANCA vasculitis: clinical presentation, treatment, and outcomes in a French retrospective study","title-short":"Pediatric ANCA vasculitis","volume":"38","author":[{"family":"Mahi","given":"Sarah-Louisa"},{"family":"Bahram","given":"Siamak"},{"family":"Harambat","given":"Jérôme"},{"family":"Allard","given":"Lise"},{"family":"Merlin","given":"Etienne"},{"family":"Belot","given":"Alexandre"},{"family":"Ranchin","given":"Bruno"},{"family":"Tenenbaum","given":"Julie"},{"family":"Magnavacca","given":"Marie"},{"family":"Haumesser","given":"Lucile"},{"family":"Allain-Launay","given":"Emma"},{"family":"Pietrement","given":"Christine"},{"family":"Flodrops","given":"Hugues"},{"family":"Ruin","given":"Mahe"},{"family":"Dossier","given":"Claire"},{"family":"Decramer","given":"Stéphane"},{"family":"Ballot-Schmitt","given":"Claire"},{"family":"Boyer","given":"Olivia Gillion"},{"family":"Seugé","given":"Laure"},{"family":"Ulinski","given":"Tim"},{"family":"Zaloszyc","given":"Ariane"}],"issued":{"date-parts":[["2023",8]]}}},{"id":196,"uris":["http://zotero.org/users/local/lvPLY4Gu/items/KW2AEVBH"],"itemData":{"id":196,"type":"article-journal","abstract":"Data on anti-neutrophil cytoplasmic antibody-associated vasculitis (AAV) are limited in children. This study is to determine the clinical features and outcomes of childhood-onset AAV. A retrospective study was performed on patients who were diagnosed with AAV before 18 years old in Xiangya Hospital. Their medical records were analyzed by retrospective review. Sixteen patients were diagnosed with AAV before 18 years old in the past 9 years, with an average age of 13.3 ± 3.3 years and 13 of them were female. There were 15 patients with microscopic polyangiitis (MPA) and 1 with Wegener's granulomatosis. The interval between onset of disease and diagnosis of AAV was 2 (1.5-3) months. Most patients (15/16, 93.8%) had multi-organ involvement, and all patients had renal involvement with 7 (43.8%) patients requiring dialysis at presentation. Eleven patients underwent a renal biopsy, of which mixed class and sclerotic class were the most two common histological types. All patients received immunosuppressive therapy for induction therapy including intravenous administrations of methylprednisolone (MP) pulse therapy for 8 patients. 8 patients (50%) achieved remission after induction therapy. After a median follow-up of 46.3 ± 36.1 months, nine (56.3%) patients progressed to end-stage renal disease (ESRD) and 5 (31.3%) patients died. Childhood-onset AAV showed similar clinical and pathological features compared to those of adults, except that it usually occurs in girls. The most commonly involved organ was the kidney, and it had a high risk of progression to ESRD. Early diagnosis and initiation of appropriate immunomodulatory therapy would be important to improve outcomes.","container-title":"Clinical and Experimental Medicine","DOI":"10.1007/s10238-021-00762-4","ISSN":"1591-9528","issue":"3","journalAbbreviation":"Clin Exp Med","language":"eng","note":"PMID: 34550486","page":"447-453","source":"PubMed","title":"Clinical features and outcomes of anti-neutrophil cytoplasmic autoantibody-associated vasculitis in Chinese childhood-onset patients","volume":"22","author":[{"family":"Meng","given":"Ting"},{"family":"Shen","given":"Chanjuan"},{"family":"Tang","given":"Rong"},{"family":"Lin","given":"Wei"},{"family":"Ooi","given":"Joshua D."},{"family":"Eggenhuizen","given":"Peter J."},{"family":"Zhou","given":"Ya-Ou"},{"family":"Chen","given":"Jinbiao"},{"family":"He","given":"Fang"},{"family":"Xiao","given":"Zhou"},{"family":"Ao","given":"Xiang"},{"family":"Peng","given":"Weisheng"},{"family":"Nie","given":"Wannian"},{"family":"Zhou","given":"Qiaoling"},{"family":"Xiao","given":"Ping"},{"family":"Zhong","given":"Yong"},{"family":"Xiao","given":"Xiangcheng"}],"issued":{"date-parts":[["2022",8]]}}},{"id":198,"uris":["http://zotero.org/users/local/lvPLY4Gu/items/BKJIE4TB"],"itemData":{"id":198,"type":"article-journal","abstract":"OBJECTIVE: To characterize the early disease course in childhood-onset antineutrophil cytoplasmic antibody (ANCA)-associated vasculitis (AAV) and the 12-month outcomes in children with AAV.\nMETHODS: Eligible subjects were children entered into the Pediatric Vasculitis Initiative study who were diagnosed before their eighteenth birthday as having granulomatosis with polyangiitis (Wegener's), microscopic polyangiitis, eosinophilic granulomatosis with polyangiitis (Churg-Strauss), or ANCA-positive pauci-immune glomerulonephritis. The primary outcome measure was achievement of disease remission (Pediatric Vasculitis Activity Score [PVAS] of 0) at 12 months with a corticosteroid dosage of &lt;0.2 mg/kg/day. Secondary outcome measures included the rates of inactive disease (PVAS of 0, with any corticosteroid dosage) and rates of improvement at postinduction (4-6 months after diagnosis) and at 12 months, presence of damage at 12 months (measured by a modified Pediatric Vasculitis Damage Index [PVDI]; score 0 = no damage, score 1 = one damage item present), and relapse rates at 12 months.\nRESULTS: In total, 105 children with AAV were included in the study. The median age at diagnosis was 13.8 years (interquartile range 10.9-15.8 years). Among the study cohort, 42% of patients achieved remission at 12 months, 49% had inactive disease at postinduction (4-6 months), and 61% had inactive disease at 12 months. The majority of patients improved, even if they did not achieve inactive disease. An improvement in the PVAS score of at least 50% from time of diagnosis to postinduction was seen in 92% of patients. Minor relapses occurred in 12 (24%) of 51 patients after inactive disease had been achieved postinduction. The median PVDI damage score at 12 months was 1 (range 0-6), and 63% of patients had ≥1 PVDI damage item scored as present at 12 months.\nCONCLUSION: This is the largest study to date to assess disease outcomes in pediatric AAV. Although the study showed that a significant proportion of patients did not achieve remission, the majority of patients responded to treatment. Unfortunately, more than one-half of this patient cohort experienced damage to various organ systems early in their disease course.","container-title":"Arthritis &amp; Rheumatology (Hoboken, N.J.)","DOI":"10.1002/art.40112","ISSN":"2326-5205","issue":"7","journalAbbreviation":"Arthritis Rheumatol","language":"eng","note":"PMID: 28371513","page":"1470-1479","source":"PubMed","title":"Early Outcomes in Children With Antineutrophil Cytoplasmic Antibody-Associated Vasculitis","volume":"69","author":[{"family":"Morishita","given":"Kimberly A."},{"family":"Moorthy","given":"Lakshmi N."},{"family":"Lubieniecka","given":"Joanna M."},{"family":"Twilt","given":"Marinka"},{"family":"Yeung","given":"Rae S. M."},{"family":"Toth","given":"Mary B."},{"family":"Shenoi","given":"Susan"},{"family":"Ristic","given":"Goran"},{"family":"Nielsen","given":"Susan M."},{"family":"Luqmani","given":"Raashid A."},{"family":"Li","given":"Suzanne C."},{"family":"Lee","given":"Tzielan"},{"family":"Lawson","given":"Erica F."},{"family":"Kostik","given":"Mikhail M."},{"family":"Klein-Gitelman","given":"Marisa"},{"family":"Huber","given":"Adam M."},{"family":"Hersh","given":"Aimee O."},{"family":"Foell","given":"Dirk"},{"family":"Elder","given":"Melissa E."},{"family":"Eberhard","given":"Barbara A."},{"family":"Dancey","given":"Paul"},{"family":"Charuvanij","given":"Sirirat"},{"family":"Benseler","given":"Susanne M."},{"family":"Cabral","given":"David A."},{"literal":"ARChiVe Investigators Network within the PedVas Initiative"}],"issued":{"date-parts":[["2017",7]]}}},{"id":200,"uris":["http://zotero.org/users/local/lvPLY4Gu/items/6SBQJZ8M"],"itemData":{"id":200,"type":"article-journal","abstract":"OBJECTIVE: There is no standardized approach to the treatment of pediatric antineutrophil cytoplasmic antibody-associated vasculitis (AAV). Because of the rarity of pediatric AAV, randomized trials have not been feasible. The present study of the Childhood Arthritis and Rheumatology Research Alliance (CARRA) was undertaken to establish consensus treatment plans (CTPs) for severe pediatric AAV to enable the future study of comparative effectiveness and safety.\nMETHODS: A workgroup of CARRA members (rheumatologists and nephrologists) formed the AAV Workgroup. This group performed a literature review on existing evidence-based treatments and guidelines for the management of AAV. They determined that the target population for CTP development was patients &lt;18 years of age with new-onset granulomatosis with polyangiitis (GPA), microscopic polyangiitis, or renal-limited AAV (eosinophilic GPA was excluded), with presentation confined to those with severe disease (i.e., organ- or life-threatening). Face-to-face consensus conferences employed nominal group techniques to identify treatment strategies for remission induction and remission maintenance, data elements to be systematically collected, and outcomes to be measured over time.\nRESULTS: The pediatric AAV Workgroup developed 2 CTPs for each of the remission induction and remission maintenance of severe AAV. A glucocorticoid-weaning regimen for induction and maintenance, a core data set, and outcome measures were also defined. A random sample of CARRA membership voted acceptance of the CTPs for remission induction and remission maintenance, with a 94% (75 of 80) and 98% (78 of 80) approval rate, respectively.\nCONCLUSION: Consensus methodology established standardized CTPs for treating severe pediatric AAV. These CTPs were in principle accepted by CARRA-wide membership for the evaluation of pragmatic comparative effectiveness in a long-term registry.","container-title":"Arthritis Care &amp; Research","DOI":"10.1002/acr.24590","ISSN":"2151-4658","issue":"9","journalAbbreviation":"Arthritis Care Res (Hoboken)","language":"eng","note":"PMID: 33675161","page":"1550-1558","source":"PubMed","title":"Consensus Treatment Plans for Severe Pediatric Antineutrophil Cytoplasmic Antibody-Associated Vasculitis","volume":"74","author":[{"family":"Morishita","given":"Kimberly A."},{"family":"Wagner-Weiner","given":"Linda"},{"family":"Yen","given":"Eric Y."},{"family":"Sivaraman","given":"Vidya"},{"family":"James","given":"Karen E."},{"family":"Gerstbacher","given":"Dana"},{"family":"Szymanski","given":"Ann M."},{"family":"O'Neil","given":"Kathleen M."},{"family":"Cabral","given":"David A."},{"literal":"Childhood Arthritis and Rheumatology Research Alliance (CARRA) Antineutrophil Cytoplasmic Antibody-Associated Vasculitis Workgroup"}],"issued":{"date-parts":[["2022",9]]}}},{"id":202,"uris":["http://zotero.org/users/local/lvPLY4Gu/items/5Z9SREI6"],"itemData":{"id":202,"type":"article-journal","abstract":"BACKGROUND: Data on anti-neutrophil cytoplasmic antibody (ANCA)-associated vasculitis are scarce in children. The current study is aimed at describing the clinical features and outcomes of childhood-onset ANCA-associated vasculitis (AAV).\nMETHODS: We conducted a retrospective French multicentre study involving patients in whom AAV was diagnosed before the age of 18 years. Inclusion criteria were (i) granulomatosis with polyangiitis (GPA) or microscopic polyangiitis (MPA) according to classification criteria of the European League Against Rheumatism/Paediatric Rheumatology European Society, and (ii) ANCA positivity. Patient and renal survival were analysed.\nRESULTS: Among 66 children included, 80% were female, 42% had GPA and 58% MPA including renal-limited vasculitis, 67% were pANCA+ and 33% cANCA+. The mean incidence of reported cases increased to 0.45 per million children/year in the period 2006-10. Median age at diagnosis was 11.5 years, and median time to diagnosis was 1 month. Initial symptoms included fever and fatigue (79%), skin lesions (41%), arthritis (42%), pulmonary (45%) and renal involvement (88%). Clinical features were similar between GPA and MPA with the exception of upper airway impairment (28%) specific of GPA. Ninety percent of the patients achieved remission after induction treatment. After a median follow-up of 5.2 years, 4 patients (6%) died, corresponding to a mortality rate of 1.2 per 100 person-years, and 22 patients (34%) developed end-stage renal disease (ESRD). Renal survival was 74, 70 and 59% at 1, 5 and 10 years, respectively. In a multivariable Cox regression model, baseline glomerular filtration rate, ethnic origin, histopathological classification and era of treatment were associated with the occurrence of ESRD. Relapse-free survival was 57% at 5 years and 34% at 10 years of follow-up. Patient and renal outcome did not significantly differ between GPA and MPA.\nCONCLUSION: Childhood-onset AAV is a rare disease characterized by female predominance, delayed diagnosis, frequent renal impairment and a high remission rate. Baseline GFR and new histopathological classification system are strong predictors of ESRD. Renal survival in childhood AAV has improved over time.","container-title":"Nephrology, Dialysis, Transplantation: Official Publication of the European Dialysis and Transplant Association - European Renal Association","DOI":"10.1093/ndt/gfv011","ISSN":"1460-2385","journalAbbreviation":"Nephrol Dial Transplant","language":"eng","note":"PMID: 25676121","page":"i104-112","source":"PubMed","title":"Clinical characteristics and outcomes of childhood-onset ANCA-associated vasculitis: a French nationwide study","title-short":"Clinical characteristics and outcomes of childhood-onset ANCA-associated vasculitis","volume":"30 Suppl 1","author":[{"family":"Sacri","given":"Anne-Sylvia"},{"family":"Chambaraud","given":"Tristan"},{"family":"Ranchin","given":"Bruno"},{"family":"Florkin","given":"Benoît"},{"family":"Sée","given":"Hélène"},{"family":"Decramer","given":"Stéphane"},{"family":"Flodrops","given":"Hugues"},{"family":"Ulinski","given":"Tim"},{"family":"Allain-Launay","given":"Emma"},{"family":"Boyer","given":"Olivia"},{"family":"Dunand","given":"Olivier"},{"family":"Fischbach","given":"Michel"},{"family":"Hachulla","given":"Eric"},{"family":"Pietrement","given":"Christine"},{"family":"Le Pogamp","given":"Patrick"},{"family":"Stephan","given":"Jean-Louis"},{"family":"Belot","given":"Alexandre"},{"family":"Nivet","given":"Hubert"},{"family":"Nobili","given":"François"},{"family":"Guillevin","given":"Loic"},{"family":"Quartier","given":"Pierre"},{"family":"Deschênes","given":"Georges"},{"family":"Salomon","given":"Rémi"},{"family":"Essig","given":"Marie"},{"family":"Harambat","given":"Jérôme"}],"issued":{"date-parts":[["2015",4]]}}},{"id":205,"uris":["http://zotero.org/users/local/lvPLY4Gu/items/UB2P7N3K"],"itemData":{"id":205,"type":"article-journal","abstract":"BACKGROUND: Childhood-onset ANCA-associated vasculitides (AAV) are characterized by necrotizing inflammation and include granulomatosis with polyangiitis (GPA), microscopic polyangiitis (MPA), and eosinophilic granulomatosis with polyangiitis (EGPA). Pediatric data is scare and there have been no prior studies examining the characteristics of pediatric AAV in Central California.\nMETHODS: This retrospective study comprised AAV patients ≤18 years of age, diagnosed between 2010 and 2021, in Central California. We analyzed initial presentation including demographics, clinical, laboratory characteristics, treatment, and initial outcomes.\nRESULTS: Of 21 patients with AAV, 12 were categorized as MPA and 9 with GPA. Median age at diagnosis was 13.7 years in MPA cohort and 14 years in GPA. MPA cohort were majority females (92% versus 44%). 57% of the cohort were racial/ethnic minority including Hispanics (n = 9), Asians (n = 2), multiracial (n = 1) and 43% were white (n = 9). MPA patients were more frequently Hispanic (67%), meanwhile GPA patients were frequently white (78%). Median duration of symptoms prior to diagnosis was 14 days in MPA cohort and 21 days in GPA cohort. Renal involvement was frequent (100% in MPA and 78% in GPA). GPA cohort had frequent ear, nose and throat (ENT) involvement (89%). All patients were ANCA positive. All Hispanic patients were MPO positive, meanwhile 89% of white patients were PR3 positive. MPA cohort tended towards more severe disease with 67% requiring ICU admission and 50% requiring dialysis. Two deaths were reported in MPA cohort, related to Aspergillus pneumonia and pulmonary hemorrhage. In MPA cohort, 42% received cyclophosphamide in combination with steroids and 42% received rituximab in combination with steroids. GPA patients received cyclophosphamide, either with steroids alone (78%) or in combination with steroids and rituximab (22%).\nCONCLUSIONS: Microscopic polyangiitis was the most frequent AAV subtype with female preponderance, shorter duration of symptoms at onset and higher proportion of racial/ ethnic minority patients. Hispanic children demonstrated frequent MPO positivity. Trends towards higher rates of ICU requirement and need for dialysis upon initial presentation was noted in MPA. Patients with MPA received rituximab more frequently. Future prospective studies are needed to understand differences in presentation and outcomes in childhood onset AAV between diverse racial-ethnic groups.","container-title":"Pediatric Rheumatology Online Journal","DOI":"10.1186/s12969-023-00853-4","ISSN":"1546-0096","issue":"1","journalAbbreviation":"Pediatr Rheumatol Online J","language":"eng","note":"PMID: 37400890\nPMCID: PMC10316598","page":"66","source":"PubMed","title":"Childhood-Onset ANCA- Associated Vasculitis: single center experience from Central California","title-short":"Childhood-Onset ANCA- Associated Vasculitis","volume":"21","author":[{"family":"Singh","given":"Deepika"},{"family":"Sukumaran","given":"Sukesh"}],"issued":{"date-parts":[["2023",7,3]]}}},{"id":208,"uris":["http://zotero.org/users/local/lvPLY4Gu/items/XVN7RLEQ"],"itemData":{"id":208,"type":"article-journal","abstract":"INTRODUCTION: Antineutrophil cytoplasmic antibody (ANCA)-associated vasculitis (AAV) is relatively rare in children. This article aimed to analyze clinical and renal histology findings and different responses to induction treatment associated with the long-term renal outcomes in children with AAV in a single center.\nMETHODS: All pediatric patients with AAV admitted to Tongji Hospital from January 2002 to January 2021 were included in the study. The demographic, clinical, pathological, laboratory, and treatment data and outcomes were collected and analyzed to identify predictors associated with response to induction treatment and progression to end-stage renal disease (ESRD).\nRESULTS: In total, 48 children with AAV were included in this cohort; 81.25% of them were women, and 91.7% were microscopic polyangiitis (MPA). Kidney involvement was found in 45 patients (93.75%). The most common histopathological subtype was crescentic form in this cohort according to Berden's classification. In total, 34 patients (70.8%) showed eGFR &lt;60 ml/min/1.73 m2 at the time of diagnosis. Complete and partial remission was achieved in 8 patients (16.7%) and 19 patients (39.6%), respectively, following 6-month induction treatment. Half of the patients eventually progressed to ESRD at a mean time of (13.04 ± 15.83) months after diagnosis. The independent predictors of nonremission following induction treatment and progression to ESRD were baseline eGFR &lt;60 ml/min/1.73 m2 and hypertension at diagnosis. Renal survival significantly decreased over time in patients with renal sclerotic subtypes or those with nonremission following induction treatment by Kaplan-Meier curve estimation.\nCONCLUSIONS: Our study demonstrates that women, MPA, and crescentic subtypes are predominant in pediatric AAV in China. Initial renal failure (eGFR &lt;60 ml/min/1.73 m2), hypertension, sclerotic pathological subtype, and nonremission following induction treatment are predictive of long-term renal outcomes.","container-title":"Frontiers in Immunology","DOI":"10.3389/fimmu.2022.857813","ISSN":"1664-3224","journalAbbreviation":"Front Immunol","language":"eng","note":"PMID: 35493514\nPMCID: PMC9047757","page":"857813","source":"PubMed","title":"Clinical and Renal Histology Findings and Different Responses to Induction Treatment Affecting the Long-Term Renal Outcomes of Children With ANCA-Associated Vasculitis: a Single-Center Cohort Analysis","title-short":"Clinical and Renal Histology Findings and Different Responses to Induction Treatment Affecting the Long-Term Renal Outcomes of Children With ANCA-Associated Vasculitis","volume":"13","author":[{"family":"Yang","given":"Jing"},{"family":"Yang","given":"Yuan"},{"family":"Xu","given":"Yongli"},{"family":"Zhou","given":"Lanqi"},{"family":"Zhou","given":"Luowen"},{"family":"Yin","given":"Xiaoling"},{"family":"Pu","given":"Jinyun"},{"family":"Yang","given":"Fengjie"},{"family":"Liu","given":"Yaping"},{"family":"He","given":"Yonghua"},{"family":"Chen","given":"Yaxian"},{"family":"Yuan","given":"Huiqing"},{"family":"Qiu","given":"Liru"},{"family":"Zhang","given":"Yu"},{"family":"Chen","given":"Yu"},{"family":"Liu","given":"Tonglin"},{"family":"Tang","given":"Jinhui"},{"family":"Zhou","given":"Jianhua"}],"issued":{"date-parts":[["2022"]]}}}],"schema":"https://github.com/citation-style-language/schema/raw/master/csl-citation.json"} </w:instrText>
      </w:r>
      <w:r w:rsidR="008B61DF">
        <w:rPr>
          <w:rFonts w:cstheme="minorHAnsi"/>
          <w:color w:val="000000"/>
          <w:sz w:val="22"/>
          <w:szCs w:val="22"/>
          <w:shd w:val="clear" w:color="auto" w:fill="FFFFFF"/>
        </w:rPr>
        <w:fldChar w:fldCharType="separate"/>
      </w:r>
      <w:r w:rsidR="00642970" w:rsidRPr="00642970">
        <w:rPr>
          <w:rFonts w:ascii="Calibri" w:cs="Calibri"/>
          <w:color w:val="000000"/>
          <w:sz w:val="22"/>
        </w:rPr>
        <w:t>(86–98)</w:t>
      </w:r>
      <w:r w:rsidR="008B61DF">
        <w:rPr>
          <w:rFonts w:cstheme="minorHAnsi"/>
          <w:color w:val="000000"/>
          <w:sz w:val="22"/>
          <w:szCs w:val="22"/>
          <w:shd w:val="clear" w:color="auto" w:fill="FFFFFF"/>
        </w:rPr>
        <w:fldChar w:fldCharType="end"/>
      </w:r>
      <w:r w:rsidR="001630D4" w:rsidRPr="004E555A">
        <w:rPr>
          <w:rFonts w:cstheme="minorHAnsi"/>
          <w:color w:val="000000"/>
          <w:sz w:val="22"/>
          <w:szCs w:val="22"/>
          <w:shd w:val="clear" w:color="auto" w:fill="FFFFFF"/>
        </w:rPr>
        <w:t xml:space="preserve">, </w:t>
      </w:r>
      <w:r w:rsidR="002E6D5B">
        <w:rPr>
          <w:rFonts w:cstheme="minorHAnsi"/>
          <w:color w:val="000000"/>
          <w:sz w:val="22"/>
          <w:szCs w:val="22"/>
          <w:shd w:val="clear" w:color="auto" w:fill="FFFFFF"/>
        </w:rPr>
        <w:t xml:space="preserve">1 anti-GBM study </w:t>
      </w:r>
      <w:r w:rsidR="002E6D5B">
        <w:rPr>
          <w:rFonts w:cstheme="minorHAnsi"/>
          <w:color w:val="000000"/>
          <w:sz w:val="22"/>
          <w:szCs w:val="22"/>
          <w:shd w:val="clear" w:color="auto" w:fill="FFFFFF"/>
        </w:rPr>
        <w:fldChar w:fldCharType="begin"/>
      </w:r>
      <w:r w:rsidR="00642970">
        <w:rPr>
          <w:rFonts w:cstheme="minorHAnsi"/>
          <w:color w:val="000000"/>
          <w:sz w:val="22"/>
          <w:szCs w:val="22"/>
          <w:shd w:val="clear" w:color="auto" w:fill="FFFFFF"/>
        </w:rPr>
        <w:instrText xml:space="preserve"> ADDIN ZOTERO_ITEM CSL_CITATION {"citationID":"YrwU8mXA","properties":{"formattedCitation":"(99)","plainCitation":"(99)","noteIndex":0},"citationItems":[{"id":146,"uris":["http://zotero.org/users/local/lvPLY4Gu/items/N6IZ92RM"],"itemData":{"id":146,"type":"article-journal","abstract":"BackgroundIn an attempt to improve knowledge about childhood Goodpasture's disease, we performed a retrospective analysis of patients with Goodpasture's disease from several pediatric nephrology centers.MethodsWe analyzed the responses to 27 questions that elicited information about the following: incidence, demographics, patient history and clinical presentation, diagnostics performed, acute and chronic therapy, course of disease, and outcome.ResultsGoodpasture's disease, which is extremely rare in this age group, may manifest in 2-year-old toddlers and does not typically present with pulmonary findings before puberty. Goodpasture's disease has a poor outcome with more than 50% of patients progressing to end-stage renal disease. No deaths were reported in this cohort, and renal improvement was observed in children with severe biopsy findings who required renal replacement therapy during the acute phase.ConclusionThe present investigation gives detailed information about childhood Goodpasture's disease under real-life conditions and reveals that very few pediatric cases have been reported. Nearly 50% of children progressed to end-stage renal disease. However, long-term outcome in children might be better than in adults. Aggressive immunosuppressive therapy might be necessary for all affected children, even in patients who require renal replacement therapy or have severe biopsy findings.","container-title":"Pediatric Research","DOI":"10.1038/pr.2017.315","ISSN":"1530-0447","issue":"4","journalAbbreviation":"Pediatr Res","language":"eng","note":"PMID: 29244791","page":"813-817","source":"PubMed","title":"Management and outcomes of childhood Goodpasture's disease","volume":"83","author":[{"family":"Menzi","given":"Carmela P."},{"family":"Bucher","given":"Barbara S."},{"family":"Bianchetti","given":"Mario G."},{"family":"Ardissino","given":"Gianluigi"},{"family":"Simonetti","given":"Giacomo D."}],"issued":{"date-parts":[["2018",4]]}}}],"schema":"https://github.com/citation-style-language/schema/raw/master/csl-citation.json"} </w:instrText>
      </w:r>
      <w:r w:rsidR="002E6D5B">
        <w:rPr>
          <w:rFonts w:cstheme="minorHAnsi"/>
          <w:color w:val="000000"/>
          <w:sz w:val="22"/>
          <w:szCs w:val="22"/>
          <w:shd w:val="clear" w:color="auto" w:fill="FFFFFF"/>
        </w:rPr>
        <w:fldChar w:fldCharType="separate"/>
      </w:r>
      <w:r w:rsidR="00642970">
        <w:rPr>
          <w:rFonts w:cstheme="minorHAnsi"/>
          <w:noProof/>
          <w:color w:val="000000"/>
          <w:sz w:val="22"/>
          <w:szCs w:val="22"/>
          <w:shd w:val="clear" w:color="auto" w:fill="FFFFFF"/>
        </w:rPr>
        <w:t>(99)</w:t>
      </w:r>
      <w:r w:rsidR="002E6D5B">
        <w:rPr>
          <w:rFonts w:cstheme="minorHAnsi"/>
          <w:color w:val="000000"/>
          <w:sz w:val="22"/>
          <w:szCs w:val="22"/>
          <w:shd w:val="clear" w:color="auto" w:fill="FFFFFF"/>
        </w:rPr>
        <w:fldChar w:fldCharType="end"/>
      </w:r>
      <w:r w:rsidR="002E6D5B">
        <w:rPr>
          <w:rFonts w:cstheme="minorHAnsi"/>
          <w:color w:val="000000"/>
          <w:sz w:val="22"/>
          <w:szCs w:val="22"/>
          <w:shd w:val="clear" w:color="auto" w:fill="FFFFFF"/>
        </w:rPr>
        <w:t xml:space="preserve">, </w:t>
      </w:r>
      <w:r w:rsidR="004E555A" w:rsidRPr="004E555A">
        <w:rPr>
          <w:rFonts w:cstheme="minorHAnsi"/>
          <w:color w:val="000000"/>
          <w:sz w:val="22"/>
          <w:szCs w:val="22"/>
          <w:shd w:val="clear" w:color="auto" w:fill="FFFFFF"/>
        </w:rPr>
        <w:t>12</w:t>
      </w:r>
      <w:r w:rsidR="001630D4" w:rsidRPr="004E555A">
        <w:rPr>
          <w:rFonts w:cstheme="minorHAnsi"/>
          <w:color w:val="000000"/>
          <w:sz w:val="22"/>
          <w:szCs w:val="22"/>
          <w:shd w:val="clear" w:color="auto" w:fill="FFFFFF"/>
        </w:rPr>
        <w:t xml:space="preserve"> C3 GN</w:t>
      </w:r>
      <w:r w:rsidR="002E6D5B">
        <w:rPr>
          <w:rFonts w:cstheme="minorHAnsi"/>
          <w:color w:val="000000"/>
          <w:sz w:val="22"/>
          <w:szCs w:val="22"/>
          <w:shd w:val="clear" w:color="auto" w:fill="FFFFFF"/>
        </w:rPr>
        <w:t xml:space="preserve"> </w:t>
      </w:r>
      <w:r w:rsidR="002E6D5B">
        <w:rPr>
          <w:rFonts w:cstheme="minorHAnsi"/>
          <w:color w:val="000000"/>
          <w:sz w:val="22"/>
          <w:szCs w:val="22"/>
          <w:shd w:val="clear" w:color="auto" w:fill="FFFFFF"/>
        </w:rPr>
        <w:fldChar w:fldCharType="begin"/>
      </w:r>
      <w:r w:rsidR="00642970">
        <w:rPr>
          <w:rFonts w:cstheme="minorHAnsi"/>
          <w:color w:val="000000"/>
          <w:sz w:val="22"/>
          <w:szCs w:val="22"/>
          <w:shd w:val="clear" w:color="auto" w:fill="FFFFFF"/>
        </w:rPr>
        <w:instrText xml:space="preserve"> ADDIN ZOTERO_ITEM CSL_CITATION {"citationID":"fYeZkVmi","properties":{"formattedCitation":"(100\\uc0\\u8211{}112)","plainCitation":"(100–112)","noteIndex":0},"citationItems":[{"id":149,"uris":["http://zotero.org/users/local/lvPLY4Gu/items/REP2KSSN"],"itemData":{"id":149,"type":"article-journal","abstract":"BACKGROUND: C3 glomerulopathy (C3G) is characterized by predominant C3 deposits in glomeruli and dysregulation of the alternative pathway of complement. Half of C3G patients have a C3 nephritic factor (C3NeF). C3G incorporated entities with a range of features on microscopy including dense deposit diseases (DDD) and C3 glomerulonephritis (C3GN). The aim of this work was to study children cases of C3G associated with C3NeF.\nMETHODS: We reviewed 18 cases of C3G with a childhood onset associated with C3NeF without identified mutations in CFH, CFI, and MCP genes.\nRESULTS: Clinical histories started with recurrent hematuria for seven patients, nephrotic syndrome for four, acute post-infectious glomerulonephritis for three and acute renal failure for four. Twelve patients had a low C3 at first investigation. Kidney biopsy showed ten C3GN and eight DDD. Twenty-three percent of the patients tested presented elevated sC5b9. Seven patients relapsed 3 to 6 years after the onset. At the end of follow-up, two patients were under dialysis, 11 had a persistent proteinuria, five had none; four patients did not follow any treatment. Steroids were first used in 80 % of cases.\nCONCLUSIONS: C3NeF associated C3G has a heterogeneous presentation and outcome. Anti-proteinuric agents may control the disease during follow-up, even after nephrotic syndrome at the onset. The efficiency of immunosuppressive therapy remains questionable.","container-title":"Pediatric Nephrology (Berlin, Germany)","DOI":"10.1007/s00467-013-2605-6","ISSN":"1432-198X","issue":"1","journalAbbreviation":"Pediatr Nephrol","language":"eng","note":"PMID: 24068526","page":"85-94","source":"PubMed","title":"C3 nephritic factor associated with C3 glomerulopathy in children","volume":"29","author":[{"family":"Nicolas","given":"Camille"},{"family":"Vuiblet","given":"Vincent"},{"family":"Baudouin","given":"Veronique"},{"family":"Macher","given":"Marie-Alice"},{"family":"Vrillon","given":"Isabele"},{"family":"Biebuyck-Gouge","given":"Nathalie"},{"family":"Dehennault","given":"Maud"},{"family":"Gié","given":"Sophie"},{"family":"Morin","given":"Denis"},{"family":"Nivet","given":"Hubert"},{"family":"Nobili","given":"François"},{"family":"Ulinski","given":"Tim"},{"family":"Ranchin","given":"Bruno"},{"family":"Marinozzi","given":"Maria Chiarra"},{"family":"Ngo","given":"Stéphanie"},{"family":"Frémeaux-Bacchi","given":"Véronique"},{"family":"Pietrement","given":"Christine"}],"issued":{"date-parts":[["2014",1]]}}},{"id":151,"uris":["http://zotero.org/users/local/lvPLY4Gu/items/YEL3LMDD"],"itemData":{"id":151,"type":"article-journal","abstract":"BACKGROUND AND OBJECTIVES: Membranoproliferative GN and C3 glomerulopathy are rare and overlapping disorders associated with dysregulation of the alternative complement pathway. Specific etiologic data for pediatric membranoproliferative GN/C3 glomerulopathy are lacking, and outcome data are based on retrospective studies without etiologic data.\nDESIGN, SETTING, PARTICIPANTS, &amp; MEASUREMENTS: A total of 80 prevalent pediatric patients with membranoproliferative GN/C3 glomerulopathy underwent detailed phenotyping and long-term follow-up within the National Registry of Rare Kidney Diseases (RaDaR). Risk factors for kidney survival were determined using a Cox proportional hazards model. Kidney and transplant graft survival was determined using the Kaplan-Meier method.\nRESULTS: Central histology review determined 39 patients with C3 glomerulopathy, 31 with immune-complex membranoproliferative GN, and ten with immune-complex GN. Patients were aged 2-15 (median, 9; interquartile range, 7-11) years. Median complement C3 and C4 levels were 0.31 g/L and 0.14 g/L, respectively; acquired (anticomplement autoantibodies) or genetic alternative pathway abnormalities were detected in 46% and 9% of patients, respectively, across all groups, including those with immune-complex GN. Median follow-up was 5.18 (interquartile range, 2.13-8.08) years. Eleven patients (14%) progressed to kidney failure, with nine transplants performed in eight patients, two of which failed due to recurrent disease. Presence of &gt;50% crescents on the initial biopsy specimen was the sole variable associated with kidney failure in multivariable analysis (hazard ratio, 6.2; 95% confidence interval, 1.05 to 36.6; P&lt;0.05). Three distinct C3 glomerulopathy prognostic groups were identified according to presenting eGFR and &gt;50% crescents on the initial biopsy specimen.\nCONCLUSIONS: Crescentic disease was a key risk factor associated with kidney failure in a national cohort of pediatric patients with membranoproliferative GN/C3 glomerulopathy and immune-complex GN. Presenting eGFR and crescentic disease help define prognostic groups in pediatric C3 glomerulopathy. Acquired abnormalities of the alternative pathway were commonly identified but not a risk factor for kidney failure.","container-title":"Clinical journal of the American Society of Nephrology: CJASN","DOI":"10.2215/CJN.00320121","ISSN":"1555-905X","issue":"11","journalAbbreviation":"Clin J Am Soc Nephrol","language":"eng","note":"PMID: 34551983\nPMCID: PMC8729419","page":"1639-1651","source":"PubMed","title":"C3 Glomerulopathy and Related Disorders in Children: Etiology-Phenotype Correlation and Outcomes","title-short":"C3 Glomerulopathy and Related Disorders in Children","volume":"16","author":[{"family":"Wong","given":"Edwin K. S."},{"family":"Marchbank","given":"Kevin J."},{"family":"Lomax-Browne","given":"Hannah"},{"family":"Pappworth","given":"Isabel Y."},{"family":"Denton","given":"Harriet"},{"family":"Cooke","given":"Katie"},{"family":"Ward","given":"Sophie"},{"family":"McLoughlin","given":"Amy-Claire"},{"family":"Richardson","given":"Grant"},{"family":"Wilson","given":"Valerie"},{"family":"Harris","given":"Claire L."},{"family":"Morgan","given":"B. Paul"},{"family":"Hakobyan","given":"Svetlana"},{"family":"McAlinden","given":"Paul"},{"family":"Gale","given":"Daniel P."},{"family":"Maxwell","given":"Heather"},{"family":"Christian","given":"Martin"},{"family":"Malcomson","given":"Roger"},{"family":"Goodship","given":"Timothy H. J."},{"family":"Marks","given":"Stephen D."},{"family":"Pickering","given":"Matthew C."},{"family":"Kavanagh","given":"David"},{"family":"Cook","given":"H. Terence"},{"family":"Johnson","given":"Sally A."},{"literal":"MPGN/DDD/C3 Glomerulopathy Rare Disease Group and National Study of MPGN/DDD/C3 Glomerulopathy Investigators"}],"issued":{"date-parts":[["2021",11]]}}},{"id":154,"uris":["http://zotero.org/users/local/lvPLY4Gu/items/3CVI8GC2"],"itemData":{"id":154,"type":"article-journal","abstract":"BACKGROUND: Complement component 3 glomerulopathy (C3G) is a disease with limited data in children. We aimed to compare childhood C3G cases with adults. We also studied subgroups of pediatric C3G and predictors of poor outcome.\nMETHODS: This is a 12-year retrospective, single-center cohort, observational study. All cases of C3G were defined based on the 2013 consensus guidelines.\nRESULTS: C3G was diagnosed in 162 patients (119 adults, 43 pediatric) predominantly affecting males. With varied light microscopic patterns, pediatric C3G cases were categorized as follows: 23 C3 glomerulonephritis (C3GN) and 11 dense deposit disease (DDD) on electron microscopy. The pediatric DDD patients were relatively younger with more severe disease at presentation (more crescents in biopsy) but with lesser chronicity in biopsy compared with pediatric C3GN patients; however, both had a similar outcome. On comparing pediatric and adult C3G cases, adults had lower median eGFR and a higher degree of chronicity in the biopsy. The prognosis of C3G was better in pediatric patients. Predictors of kidney failure in pediatric C3G were low eGFR (HR = 0.82, p = 0.05) and severe interstitial fibrosis/tubular atrophy (HR = 1.05, p = 0.02).\nCONCLUSIONS: Electron microscopy-based subgroups of pediatric C3G differ in clinical presentation and course of the disease but have similar prognosis and long-term outcomes. Pediatric C3G differs from adult C3G with respect to presentation, laboratory results, biopsy features, treatment, and outcome, and as such, it should be considered as a separate entity rather than a smaller version of adult C3G.","container-title":"Pediatric Nephrology (Berlin, Germany)","DOI":"10.1007/s00467-020-04768-0","ISSN":"1432-198X","issue":"3","journalAbbreviation":"Pediatr Nephrol","language":"eng","note":"PMID: 33000324","page":"601-610","source":"PubMed","title":"Pediatric C3 glomerulopathy: a 12-year single-center experience","title-short":"Pediatric C3 glomerulopathy","volume":"36","author":[{"family":"Zahir","given":"Zafirah"},{"family":"Wani","given":"Asif Sadiq"},{"family":"Gupta","given":"Amit"},{"family":"Agrawal","given":"Vinita"}],"issued":{"date-parts":[["2021",3]]}}},{"id":156,"uris":["http://zotero.org/users/local/lvPLY4Gu/items/BMFIV94F"],"itemData":{"id":156,"type":"article-journal","abstract":"BACKGROUND: The prognostic factors, the outcome and the most favorable treatment regimen are not entirely known for children with membranoproliferative glomerulonephritis (MPGN). MPGN is a rarely observed disease more prevalent in adolescents, so we aimed to review the clinical and histological properties, treatments and the outcome of our patients who were diagnosed as MPGN.\nMETHODS: Fifty-one children - diagnosed with MPGN - were selected from biopsy records in Dr. Sami Ulus Maternity and Children's Hospital Pediatric Nephrology Department from January 1999 to January 2011. A retrospective analysis was made of 33 regularly followed children.\nRESULTS: Thirty-three patients were identified, 13 female and 20 male. Their age groups at presentation ranged from 4 to 15 years. The following duration was 26-144 months (mean 74). Following the initial treatment, 20 (60%) patients achieved complete remission. Six patients with nephrotic syndrome and one with non-nephrotic proteinuria showed partial remission. The condition of one patient with nephrotic syndrome was unchanged with the persisting symptoms. The one patient with nephrotic syndrome and four others with non-nephrotic proteinuria did not respond to initial treatment as their renal functions decreased gradually.\nCONCLUSION: We concluded that only degree of tubulointerstitial damage on the initial biopsy is determinative for prognosis of childhood MPGN. If the patient receives high doses of steroid therapy in the early stages, their treatment is more likely to be successful. The effect of immunosuppressive treatment on MPGN is not clear.","container-title":"Renal Failure","DOI":"10.3109/0886022X.2014.929843","ISSN":"1525-6049","issue":"8","journalAbbreviation":"Ren Fail","language":"eng","note":"PMID: 25065413","page":"1221-1225","source":"PubMed","title":"The relation between treatment and prognosis of childhood membranoproliferative glomerulonephritis","volume":"36","author":[{"family":"Çaltik Yilmaz","given":"Aysun"},{"family":"Aydog","given":"Özlem"},{"family":"Akyüz","given":"Sare Gülfem"},{"family":"Bülbül","given":"Mehmet"},{"family":"Demircin","given":"Gülay"},{"family":"Öner","given":"Ayşe"}],"issued":{"date-parts":[["2014",9]]}}},{"id":159,"uris":["http://zotero.org/users/local/lvPLY4Gu/items/B26X7KL3"],"itemData":{"id":159,"type":"article-journal","abstract":"BACKGROUND: C3 glomerulopathy (C3G) is characterized by heterogeneous clinical presentation, outcome, and predominant C3 accumulation in glomeruli without significant IgG. There is scarce outcome data regarding childhood C3G. We describe clinical and pathological features, treatment and outcomes, and risk factors for progression to chronic kidney disease stage 5 (CKD5) in the largest pediatric series with biopsy-proven C3G.\nMETHODS: Sixty pediatric patients with C3G from 21 referral centers in Turkey were included in this retrospective study. Patients were categorized according to CKD stage at last visit as CKD5 or non-CKD5. Demographic data, clinicopathologic findings, treatment, and outcome data were compared and possible risk factors for CKD5 progression determined using Cox proportional hazards model.\nRESULTS: Mean age at diagnosis was 10.6 ± 3.0 years and follow-up time 48.3 ± 36.3 months. Almost half the patients had gross hematuria and hypertension at diagnosis. Nephritic-nephrotic syndrome was the commonest presenting feature (41.6%) and 1/5 of patients presented with nephrotic syndrome. Membranoproliferative glomerulonephritis was the leading injury pattern, while 40 patients had only C3 staining. Patients with DDD had significantly lower baseline serum albumin compared with C3GN. Eighteen patients received eculizumab. Clinical remission was achieved in 68.3%. At last follow-up, 10 patients (16.6%) developed CKD5: they had lower baseline eGFR and albumin and higher frequency of nephrotic syndrome and dialysis requirement than non-CKD5 patients. Lower serum albumin and eGFR at diagnosis were independent predictors for CKD5 development.\nCONCLUSIONS: Children with C3G who have impaired kidney function and hypoalbuminemia at diagnosis should be carefully monitored for risk of progression to CKD5. Graphical abstract.","container-title":"Pediatric Nephrology (Berlin, Germany)","DOI":"10.1007/s00467-020-04799-7","ISSN":"1432-198X","issue":"5","journalAbbreviation":"Pediatr Nephrol","language":"eng","note":"PMID: 33130981","page":"1195-1205","source":"PubMed","title":"Predictors of poor kidney outcome in children with C3 glomerulopathy","volume":"36","author":[{"family":"Pınarbaşı","given":"Ayşe Seda"},{"family":"Dursun","given":"Ismail"},{"family":"Gokce","given":"Ibrahim"},{"family":"Çomak","given":"Elif"},{"family":"Saygılı","given":"Seha"},{"family":"Bayram","given":"Meral Torun"},{"family":"Donmez","given":"Osman"},{"family":"Melek","given":"Engin"},{"family":"Tekcan","given":"Demet"},{"family":"Çiçek","given":"Neslihan"},{"family":"Yılmaz","given":"Dilek"},{"family":"Tabel","given":"Yılmaz"},{"family":"Yıldırım","given":"Zeynep Y."},{"family":"Bahat","given":"Elif"},{"family":"Koyun","given":"Mustafa"},{"family":"Soylu","given":"Alper"},{"family":"Canpolat","given":"Nur"},{"family":"Aksu","given":"Bağdagül"},{"family":"Çelakıl","given":"Mehtap Ezel"},{"family":"Taşdemir","given":"Mehmet"},{"family":"Benzer","given":"Meryem"},{"family":"Özçelik","given":"Gül"},{"family":"Bakkaloğlu","given":"Sevcan A."},{"family":"Düşünsel","given":"Ruhan"}],"issued":{"date-parts":[["2021",5]]}}},{"id":161,"uris":["http://zotero.org/users/local/lvPLY4Gu/items/YHVBWI55"],"itemData":{"id":161,"type":"article-journal","abstract":"BACKGROUND: C3 glomerulopathy (C3G) is characterized by predominant C3 deposits in glomeruli and dysregulation of the alternative pathway of complement. Half of C3G patients have a C3 nephritic factor (C3NeF). C3G incorporated entities with a range of features on microscopy including dense deposit diseases (DDD) and C3 glomerulonephritis (C3GN). The aim of this work was to study children cases of C3G associated with C3NeF.\nMETHODS: We reviewed 18 cases of C3G with a childhood onset associated with C3NeF without identified mutations in CFH, CFI, and MCP genes.\nRESULTS: Clinical histories started with recurrent hematuria for seven patients, nephrotic syndrome for four, acute post-infectious glomerulonephritis for three and acute renal failure for four. Twelve patients had a low C3 at first investigation. Kidney biopsy showed ten C3GN and eight DDD. Twenty-three percent of the patients tested presented elevated sC5b9. Seven patients relapsed 3 to 6 years after the onset. At the end of follow-up, two patients were under dialysis, 11 had a persistent proteinuria, five had none; four patients did not follow any treatment. Steroids were first used in 80 % of cases.\nCONCLUSIONS: C3NeF associated C3G has a heterogeneous presentation and outcome. Anti-proteinuric agents may control the disease during follow-up, even after nephrotic syndrome at the onset. The efficiency of immunosuppressive therapy remains questionable.","container-title":"Pediatric Nephrology (Berlin, Germany)","DOI":"10.1007/s00467-013-2605-6","ISSN":"1432-198X","issue":"1","journalAbbreviation":"Pediatr Nephrol","language":"eng","note":"PMID: 24068526","page":"85-94","source":"PubMed","title":"C3 nephritic factor associated with C3 glomerulopathy in children","volume":"29","author":[{"family":"Nicolas","given":"Camille"},{"family":"Vuiblet","given":"Vincent"},{"family":"Baudouin","given":"Veronique"},{"family":"Macher","given":"Marie-Alice"},{"family":"Vrillon","given":"Isabele"},{"family":"Biebuyck-Gouge","given":"Nathalie"},{"family":"Dehennault","given":"Maud"},{"family":"Gié","given":"Sophie"},{"family":"Morin","given":"Denis"},{"family":"Nivet","given":"Hubert"},{"family":"Nobili","given":"François"},{"family":"Ulinski","given":"Tim"},{"family":"Ranchin","given":"Bruno"},{"family":"Marinozzi","given":"Maria Chiarra"},{"family":"Ngo","given":"Stéphanie"},{"family":"Frémeaux-Bacchi","given":"Véronique"},{"family":"Pietrement","given":"Christine"}],"issued":{"date-parts":[["2014",1]]}}},{"id":163,"uris":["http://zotero.org/users/local/lvPLY4Gu/items/PAMTJMCS"],"itemData":{"id":163,"type":"article-journal","abstract":"BACKGROUND: Membranoproliferative glomerulonephritis (MPGN) is a rare cause of glomerulopathy in children. Recently, a new classification based on immunohistological features has been established. Infections and anomalies in complement-regulating genes, leading to alternative complement pathway activation, are suspected to trigger the disease. Nevertheless, little is known about optimal treatment and outcome in children with immune-complex-MPGN (IC-MPGN) and C3-glomerulopathy (C3G).\nMETHODS: The method used is retrospective analysis of clinical, histological, and genetic characteristics of 14 pediatric patients with MPGN in two medical centers.\nRESULTS: Mean age of the patients was 10.6 ± 4.5 years. Patients were grouped into C3G (n = 6) and IC-MPGN (n = 8). One patient showed a likely pathogenic variant in the CFHR5 gene. All 10 patients had risk polymorphisms in complement-regulating genes. Most patients were treated with ACE inhibition, steroids, and mycophenolate mofetil. Three patients with C3G received eculizumab. Median follow-up was 2.3 years. After 1 year of disease, three patients (two C3G, one IC-MPGN) reached complete, five patients partial (three IC-MPGN, two C3G), and five patients no remission (four IC-MPGN, one C3G). One patient progressed to end-stage renal disease (ESRD) 6 years after disease onset.\nCONCLUSIONS: IC-MPGN and C3G are rare disorders in children. Most patients have signs of complement activation associated with risk polymorphisms or likely pathogenic variants in complement-regulating genes. Steroids and mycophenolate mofetil seem to be effective and for some patients, eculizumab might be a treatment option. Outcome is heterogeneous and precise differentiation between IC-MPGN and C3G is still pending.","container-title":"Pediatric Nephrology (Berlin, Germany)","DOI":"10.1007/s00467-018-4034-z","ISSN":"1432-198X","issue":"12","journalAbbreviation":"Pediatr Nephrol","language":"eng","note":"PMID: 30238151","page":"2289-2298","source":"PubMed","title":"Outcome of membranoproliferative glomerulonephritis and C3-glomerulopathy in children and adolescents","volume":"33","author":[{"family":"Holle","given":"Johannes"},{"family":"Berenberg-Goßler","given":"Lena"},{"family":"Wu","given":"Kaiyin"},{"family":"Beringer","given":"Ortraud"},{"family":"Kropp","given":"Florian"},{"family":"Müller","given":"Dominik"},{"family":"Thumfart","given":"Julia"}],"issued":{"date-parts":[["2018",12]]}}},{"id":165,"uris":["http://zotero.org/users/local/lvPLY4Gu/items/VURWYSDM"],"itemData":{"id":165,"type":"article-journal","abstract":"BACKGROUND: Complement component 3 glomerulopathy (C3G) is a disease with limited data in children. We aimed to compare childhood C3G cases with adults. We also studied subgroups of pediatric C3G and predictors of poor outcome.\nMETHODS: This is a 12-year retrospective, single-center cohort, observational study. All cases of C3G were defined based on the 2013 consensus guidelines.\nRESULTS: C3G was diagnosed in 162 patients (119 adults, 43 pediatric) predominantly affecting males. With varied light microscopic patterns, pediatric C3G cases were categorized as follows: 23 C3 glomerulonephritis (C3GN) and 11 dense deposit disease (DDD) on electron microscopy. The pediatric DDD patients were relatively younger with more severe disease at presentation (more crescents in biopsy) but with lesser chronicity in biopsy compared with pediatric C3GN patients; however, both had a similar outcome. On comparing pediatric and adult C3G cases, adults had lower median eGFR and a higher degree of chronicity in the biopsy. The prognosis of C3G was better in pediatric patients. Predictors of kidney failure in pediatric C3G were low eGFR (HR = 0.82, p = 0.05) and severe interstitial fibrosis/tubular atrophy (HR = 1.05, p = 0.02).\nCONCLUSIONS: Electron microscopy-based subgroups of pediatric C3G differ in clinical presentation and course of the disease but have similar prognosis and long-term outcomes. Pediatric C3G differs from adult C3G with respect to presentation, laboratory results, biopsy features, treatment, and outcome, and as such, it should be considered as a separate entity rather than a smaller version of adult C3G.","container-title":"Pediatric Nephrology (Berlin, Germany)","DOI":"10.1007/s00467-020-04768-0","ISSN":"1432-198X","issue":"3","journalAbbreviation":"Pediatr Nephrol","language":"eng","note":"PMID: 33000324","page":"601-610","source":"PubMed","title":"Pediatric C3 glomerulopathy: a 12-year single-center experience","title-short":"Pediatric C3 glomerulopathy","volume":"36","author":[{"family":"Zahir","given":"Zafirah"},{"family":"Wani","given":"Asif Sadiq"},{"family":"Gupta","given":"Amit"},{"family":"Agrawal","given":"Vinita"}],"issued":{"date-parts":[["2021",3]]}}},{"id":167,"uris":["http://zotero.org/users/local/lvPLY4Gu/items/CVBMCS7Y"],"itemData":{"id":167,"type":"article-journal","abstract":"AIM: C3 glomerulonephritis (C3GN) is a recently described disease that is related to membranoproliferative glomerulonephritis (MPGN). We retrospectively compared the frequencies, clinical characteristics, treatment modalities, and outcomes of C3GN and MPGN in a cohort of Japanese children.\nMETHODS: Children who were pathologically diagnosed with MPGN (type I or III) in our hospital were divided into two groups based on immunofluorescence imaging of renal biopsies: children with MPGN induced by classical complement pathway activation (classical MPGN) and children with C3GN.\nRESULTS: Of 14 children with MPGN (five boys), four had classical MPGN, eight had C3GN, and two had unclassifiable glomerulonephritis. Four children with classical MPGN and seven with C3GN received methylprednisolone pulse therapy followed by oral prednisolone for 2 years (MPT+PSL therapy). Subsequently, six of seven children with C3GN received combined therapy (prednisolone, azathioprine, and anticoagulants) for 2 years because they responded poorly to MPT+PSL therapy. At the last follow-up visit, two children with classical MPGN and seven with C3GN had not achieved remission. One child with classical MPGN and five with C3GN had hypocomplementaemia at the last follow-up. None of the children had renal impairment.\nCONCLUSION: More than half of the patients previously diagnosed with MPGN fulfilled the criteria for C3GN in children. C3GN may be more refractory than classical MPGN to immunosuppressant therapy.","container-title":"Nephrology (Carlton, Vic.)","DOI":"10.1111/nep.12382","ISSN":"1440-1797","issue":"4","journalAbbreviation":"Nephrology (Carlton)","language":"eng","note":"PMID: 25524631","page":"286-292","source":"PubMed","title":"Membranoproliferative glomerulonephritis and C3 glomerulonephritis: frequency, clinical features, and outcome in children","title-short":"Membranoproliferative glomerulonephritis and C3 glomerulonephritis","volume":"20","author":[{"family":"Okuda","given":"Yusuke"},{"family":"Ishikura","given":"Kenji"},{"family":"Hamada","given":"Riku"},{"family":"Harada","given":"Ryoko"},{"family":"Sakai","given":"Tomoyuki"},{"family":"Hamasaki","given":"Yuko"},{"family":"Hataya","given":"Hiroshi"},{"family":"Fukuzawa","given":"Ryuji"},{"family":"Ogata","given":"Kentaro"},{"family":"Honda","given":"Masataka"}],"issued":{"date-parts":[["2015",4]]}}},{"id":169,"uris":["http://zotero.org/users/local/lvPLY4Gu/items/7JJTHU5G"],"itemData":{"id":169,"type":"article-journal","abstract":"INTRODUCTION: The reclassification of membranoproliferative glomerulonephritis (MPGN) into immune-complex MPGN (IC-MPGN) and C3 glomerulopathy (C3G) has provided insights into 2 distinct diseases. Although outcomes in adults are poor in both diseases, the pediatric literature is scarce and limited to small, single-center cohorts.\nMETHODS: We conducted a retrospective analysis of 165 pediatric patients across 17 hospitals to compare outcomes between children with IC-MPGN and C3G.\nRESULTS: Forty-two percent of patients initially diagnosed with MPGN were reclassified as C3G after a review of renal biopsy reports. There was a trend toward higher serum creatinine levels in patients with C3G compared with IC-MPGN both at diagnosis (mean 168.9 [range 45.4-292.4] vs. 93.7 [range 70.7-116.6] μmol/l, P = 0.25) and after a mean follow-up time of 4 years (mean 145.0 (range -8.1 to 298.1) vs 99.1 (range 46.3-151.9) μmol/l, P = 0.47), although the estimated glomerular filtration rate (eGFR) was not significantly different. Steroid treatment was associated with a significant improvement in eGFR versus no steroids in C3G (mean +43.0 (range 12.9-73.0) vs. -3.0 (range -23.1 to 17.2) ml/min per 1.73 m2, P = 0.02) but not in IC-MPGN. Overall kidney function was preserved in both groups although hypertension remained prevalent in 42.5% of the cohort at the last follow-up, and the urine protein/creatinine ratio remained elevated (mean 253.8 [range 91.9-415.7] mg/mmol).\nCONCLUSION: This large pediatric IC-MPGN/C3G cohort revealed nearly half of the patients were misclassified, and there may be a trend toward worse renal prognosis in C3G although they may have greater steroid responsiveness. The overall prognosis appears to be more favorable than in adults; however, persistent hypertension and proteinuria suggest suboptimal disease control.","container-title":"Kidney International Reports","DOI":"10.1016/j.ekir.2020.09.019","ISSN":"2468-0249","issue":"12","journalAbbreviation":"Kidney Int Rep","language":"eng","note":"PMID: 33305125\nPMCID: PMC7710848","page":"2313-2324","source":"PubMed","title":"Long-Term Outcomes of C3 Glomerulopathy and Immune-Complex Membranoproliferative Glomerulonephritis in Children","volume":"5","author":[{"family":"Kirpalani","given":"Amrit"},{"family":"Jawa","given":"Natasha"},{"family":"Smoyer","given":"William E."},{"family":"Licht","given":"Christoph"},{"literal":"Midwest Pediatric Nephrology Consortium"}],"issued":{"date-parts":[["2020",12]]}}},{"id":172,"uris":["http://zotero.org/users/local/lvPLY4Gu/items/XB9AM46H"],"itemData":{"id":172,"type":"article-journal","abstract":"Background: C3 glomerulopathy (C3G) is an uncommon disease characterized by the deposition of complement factors in the glomeruli due to overactivation and dysregulation of the alternative pathway of complement.Objectives: This study aimed to describe the clinicopathological features, laboratory testing, clinical course, treatment, and outcomes of pediatric patients with C3G.Patients and Methods: We reviewed retrospectively the laboratory testing, kidney biopsy reports, and clinical features of 18 patients at our hospital from 2007 to 2019.Results: There were 18 cases, and the majority of the patients were girls (61.1%). The mean age at diagnosis was 11.3 ± 3.7 (5-17) years, and nephritic-nephrotic syndrome presentation in patients was more common (11 cases, 61.1%). Hematuria was found in 66.7% of the patients, of which the majority had microscopic hematuria (58.3%). Hypertension was observed in 10 (55.6%) patients. The mean glomerular filtration rate (eGFR) was 95.7 ± 47.3 mL/min/1.73 m2, and 24-h urinary protein excretion was 76.2 ± 48.6 mg/m2/h. Sixteen patients (88.9%) received renin-angiotensin-aldosterone system blockers (RASB), and two of them were taking RASB only. The majority of patients (83.3%) were treated with immunosuppressive therapy. Eculizumab was also given to one of them. At the last follow-up, two patients had levels of less than 60 mL/min/1.73 m2 for eGFR. Seven patients with immunosuppressive treatment achieved complete remission.Conclusion: C3G shows a variable clinical presentation and response to immunosuppressive therapy. In the present study, we observed that the most common presentation was nephritic and/or nephrotic syndrome and partially responded to treatment to RASB and immunosuppressants.","container-title":"Acta Clinica Belgica","DOI":"10.1080/17843286.2020.1713450","ISSN":"2295-3337","issue":"4","journalAbbreviation":"Acta Clin Belg","language":"eng","note":"PMID: 31914901","page":"253-257","source":"PubMed","title":"C3 glomerulopathy: experience of a pediatric nephrology center","title-short":"C3 glomerulopathy","volume":"76","author":[{"family":"Yazılıtaş","given":"Fatma"},{"family":"Kargın Çakıcı","given":"Evrim"},{"family":"Kurt Şükür","given":"Eda Didem"},{"family":"Can","given":"Gökçe"},{"family":"Güngör","given":"Tülin"},{"family":"Orhan","given":"Diclehan"},{"family":"Bülbül","given":"Mehmet"}],"issued":{"date-parts":[["2021",8]]}}},{"id":174,"uris":["http://zotero.org/users/local/lvPLY4Gu/items/TBNPEP3N"],"itemData":{"id":174,"type":"article-journal","abstract":"BACKGROUND: Membranoproliferative glomerulonephritis (MPGN) with immune complexes and C3 glomerulopathy (C3G) in children are rare and have a variable outcome, with some patients progressing to end-stage renal disease (ESRD). Mutations in genes encoding regulatory proteins of the alternative complement pathway and of complement C3 (C3) have been identified as concausative factors.\nMETHODS: Three children with MPGN type I, four with C3G, i.e. three with C3 glomerulonephritis (C3GN) and one with dense deposit disease (DDD), were followed. Clinical, autoimmune data, histological characteristics, estimated glomerular filtration rate (eGFR), proteinuria, serum C3, genetic and biochemical analysis were assessed.\nRESULTS: The median age at onset was 7.3 years and the median eGFR was 72 mL/min/1.73 m2. Six children had marked proteinuria. All were treated with renin-angiotensin-aldosterone system (RAAS) blockers. Three were given one or more immunosuppressive drugs and two eculizumab. At the last median follow-up of 9 years after diagnosis, three children had normal eGFR and no or mild proteinuria on RAAS blockers only. Among four patients without remission of proteinuria, genetic analysis revealed mutations in complement regulator proteins of the alternative pathway. None of the three patients with immunosuppressive treatment achieved partial or complete remission of proteinuria and two progressed to ESRD and renal transplantation. Two patients treated with eculizumab revealed relevant decreases in proteinuria.\nCONCLUSIONS: In children with MPGN type I and C3G, the outcomes of renal function and response to treatment modality show great variability independent from histological diagnosis at disease onset. In case of severe clinical presentation at disease onset, early genetic and biochemical analysis of the alternative pathway dysregulation is recommended. Treatment with eculizumab appears to be an option to slow disease progression in single cases.","container-title":"Clinical Kidney Journal","DOI":"10.1093/ckj/sfy006","ISSN":"2048-8505","issue":"4","journalAbbreviation":"Clin Kidney J","language":"eng","note":"PMID: 30094012\nPMCID: PMC6070093","page":"479-490","source":"PubMed","title":"Membranoproliferative glomerulonephritis and C3 glomerulopathy in children: change in treatment modality? A report of a case series","title-short":"Membranoproliferative glomerulonephritis and C3 glomerulopathy in children","volume":"11","author":[{"family":"Spartà","given":"Giuseppina"},{"family":"Gaspert","given":"Ariana"},{"family":"Neuhaus","given":"Thomas J."},{"family":"Weitz","given":"Marcus"},{"family":"Mohebbi","given":"Nilufar"},{"family":"Odermatt","given":"Urs"},{"family":"Zipfel","given":"Peter F."},{"family":"Bergmann","given":"Carsten"},{"family":"Laube","given":"Guido F."}],"issued":{"date-parts":[["2018",8]]}}},{"id":177,"uris":["http://zotero.org/users/local/lvPLY4Gu/items/QMVLF5QB"],"itemData":{"id":177,"type":"article-journal","abstract":"BACKGROUND: Membranoproliferative glomerulonephritis (MPGN) can be divided into immune-complex MPGN (IC-MPGN) and C3 glomerulopathy (C3G), which includes dense deposit disease (DDD) and C3 glomerulonephritis (C3GN). These conditions result from abnormalities in different complement pathways and may lead to different prognoses. However, there are limited studies describing the respective clinical courses.\nMETHODS: In this study, Japanese pediatric patients diagnosed with MPGN based on kidney biopsies conducted between February 2002 and December 2022 were reclassified as having IC-MPGN or C3G (DDD or C3GN). We retrospectively analyzed the clinical characteristics and outcomes of these patients.\nRESULTS: Out of 25 patients with MPGN, three (12.0%) were diagnosed with DDD, 20 (80.0%) with C3GN, and two (8.0%) with IC-MPGN. There were 13 (65.0%) patients and one (33.3%) patient in remission after treatment for C3GN and DDD, respectively, and no patients with IC-MPGN achieved remission. The median follow-up period was 5.3 (2.5-8.9) years, and none of the patients in either group progressed to an estimated glomerular filtration rate &lt; 15 ml/min/1.73 m2. Patients with C3GN presenting mild to moderate proteinuria (n = 8) received a renin-angiotensin system inhibitor (RAS-I) alone, and these patients exhibited a significant decrease in the urinary protein creatinine ratio and a notable increase in serum C3 levels at the last follow-up.\nCONCLUSIONS: Most patients with MPGN were diagnosed with C3GN. The remission rate for C3GN was high, and no patients developed kidney failure during the approximately 5-year follow-up. Additionally, patients with C3GN with mild to moderate proteinuria had good outcomes with RAS-I alone, but continued vigilance is necessary to determine long-term prognosis.","container-title":"Pediatric Nephrology (Berlin, Germany)","DOI":"10.1007/s00467-024-06377-7","ISSN":"1432-198X","issue":"9","journalAbbreviation":"Pediatr Nephrol","language":"eng","note":"PMID: 38662234\nPMCID: PMC11272671","page":"2679-2689","source":"PubMed","title":"Clinical characteristics and outcomes of immune-complex membranoproliferative glomerulonephritis and C3 glomerulopathy in Japanese children","volume":"39","author":[{"family":"Ueda","given":"Chika"},{"family":"Horinouchi","given":"Tomoko"},{"family":"Inoki","given":"Yuta"},{"family":"Ichikawa","given":"Yuta"},{"family":"Tanaka","given":"Yu"},{"family":"Kitakado","given":"Hideaki"},{"family":"Kondo","given":"Atsushi"},{"family":"Sakakibara","given":"Nana"},{"family":"Nagano","given":"China"},{"family":"Yamamura","given":"Tomohiko"},{"family":"Fujimura","given":"Junya"},{"family":"Kamiyoshi","given":"Naohiro"},{"family":"Ishimori","given":"Shingo"},{"family":"Ninchoji","given":"Takeshi"},{"family":"Kaito","given":"Hiroshi"},{"family":"Shima","given":"Yuko"},{"family":"Iijima","given":"Kazumoto"},{"family":"Nozu","given":"Kandai"},{"family":"Yoshikawa","given":"Norishige"}],"issued":{"date-parts":[["2024",9]]}}}],"schema":"https://github.com/citation-style-language/schema/raw/master/csl-citation.json"} </w:instrText>
      </w:r>
      <w:r w:rsidR="002E6D5B">
        <w:rPr>
          <w:rFonts w:cstheme="minorHAnsi"/>
          <w:color w:val="000000"/>
          <w:sz w:val="22"/>
          <w:szCs w:val="22"/>
          <w:shd w:val="clear" w:color="auto" w:fill="FFFFFF"/>
        </w:rPr>
        <w:fldChar w:fldCharType="separate"/>
      </w:r>
      <w:r w:rsidR="00642970" w:rsidRPr="00642970">
        <w:rPr>
          <w:rFonts w:ascii="Calibri" w:cs="Calibri"/>
          <w:color w:val="000000"/>
          <w:sz w:val="22"/>
        </w:rPr>
        <w:t>(100–112)</w:t>
      </w:r>
      <w:r w:rsidR="002E6D5B">
        <w:rPr>
          <w:rFonts w:cstheme="minorHAnsi"/>
          <w:color w:val="000000"/>
          <w:sz w:val="22"/>
          <w:szCs w:val="22"/>
          <w:shd w:val="clear" w:color="auto" w:fill="FFFFFF"/>
        </w:rPr>
        <w:fldChar w:fldCharType="end"/>
      </w:r>
      <w:r w:rsidR="001630D4" w:rsidRPr="004E555A">
        <w:rPr>
          <w:rFonts w:cstheme="minorHAnsi"/>
          <w:color w:val="000000"/>
          <w:sz w:val="22"/>
          <w:szCs w:val="22"/>
          <w:shd w:val="clear" w:color="auto" w:fill="FFFFFF"/>
        </w:rPr>
        <w:t xml:space="preserve">, </w:t>
      </w:r>
      <w:r w:rsidR="004E555A" w:rsidRPr="004E555A">
        <w:rPr>
          <w:rFonts w:cstheme="minorHAnsi"/>
          <w:color w:val="000000"/>
          <w:sz w:val="22"/>
          <w:szCs w:val="22"/>
          <w:shd w:val="clear" w:color="auto" w:fill="FFFFFF"/>
        </w:rPr>
        <w:t>3</w:t>
      </w:r>
      <w:r w:rsidR="001630D4" w:rsidRPr="004E555A">
        <w:rPr>
          <w:rFonts w:cstheme="minorHAnsi"/>
          <w:color w:val="000000"/>
          <w:sz w:val="22"/>
          <w:szCs w:val="22"/>
          <w:shd w:val="clear" w:color="auto" w:fill="FFFFFF"/>
        </w:rPr>
        <w:t xml:space="preserve"> post infectious</w:t>
      </w:r>
      <w:r w:rsidR="002E6D5B">
        <w:rPr>
          <w:rFonts w:cstheme="minorHAnsi"/>
          <w:color w:val="000000"/>
          <w:sz w:val="22"/>
          <w:szCs w:val="22"/>
          <w:shd w:val="clear" w:color="auto" w:fill="FFFFFF"/>
        </w:rPr>
        <w:t xml:space="preserve"> </w:t>
      </w:r>
      <w:r w:rsidR="002E6D5B">
        <w:rPr>
          <w:rFonts w:cstheme="minorHAnsi"/>
          <w:color w:val="000000"/>
          <w:sz w:val="22"/>
          <w:szCs w:val="22"/>
          <w:shd w:val="clear" w:color="auto" w:fill="FFFFFF"/>
        </w:rPr>
        <w:fldChar w:fldCharType="begin"/>
      </w:r>
      <w:r w:rsidR="00642970">
        <w:rPr>
          <w:rFonts w:cstheme="minorHAnsi"/>
          <w:color w:val="000000"/>
          <w:sz w:val="22"/>
          <w:szCs w:val="22"/>
          <w:shd w:val="clear" w:color="auto" w:fill="FFFFFF"/>
        </w:rPr>
        <w:instrText xml:space="preserve"> ADDIN ZOTERO_ITEM CSL_CITATION {"citationID":"hsqDvIEg","properties":{"formattedCitation":"(113\\uc0\\u8211{}115)","plainCitation":"(113–115)","noteIndex":0},"citationItems":[{"id":137,"uris":["http://zotero.org/users/local/lvPLY4Gu/items/B7KTUW7Z"],"itemData":{"id":137,"type":"article-journal","abstract":"INTRODUCTION: Post-streptococcal glomerulonephritis is a kidney disease that occurs after infection with a certain strain of streptococcal bacteria. It has a high hospitalization rate, especially in developing countries. It is characterized by the sudden appearance of edema, hematuria, proteinuria, and hypertension. The objective of this retrospective descriptive study conducted at James L. Gordon Memorial Hospital in Olongapo, Zambales, Philippines, is to analyze the demographic distribution, clinical presentation, complication, and outcome of acute post-streptococcal glomerulonephritis (APSGN) in a pediatric population.  Methods: A retrospective descriptive study was done in patients (below 18 years of age) admitted with the diagnosis of post-streptococcal glomerulonephritis during a five-year period in the pediatric ward of a tertiary hospital in the Philippines. All patients underwent detailed clinical history and examination and were closely monitored during treatment. The course of disease progression was closely monitored and recorded.\nRESULTS: Seventy-seven children were treated for APSGN with a mean age of 7.8 years and with standard deviation of 3.85. Edema and gross hematuria were noted in 53 (68.8%) and 24 (31.1%) cases, respectively. Hypertension was present in 54 patients (70.1%). Among those 54 patients, 49 (63.6%) patients developed acute renal injury (based on normal creatinine for age), three cases (3.8%) had pleural effusion, and two patients (2.5%) developed hypertensive encephalopathy. All patients underwent KUB (kidneys, ureters, and bladder) ultrasound, among which 13 (16.88%) had diffuse parenchymal swelling which improved and eventually were discharged. Increased blood urea nitrogen (BUN) was noted in 60-65% of patients. Hypoalbuminemia and lower hemoglobin were also quite common. There was no mortality during treatment and hospital stay.\nCONCLUSIONS: APSGN remains one of the most common causes of glomerulonephritis in the region. Edema, hypertension, and hematuria were the most common presenting features. Early identification and comprehensive monitoring and management are required to prevent morbidity and mortality. The prognosis is generally good if early treatment is done.","container-title":"Cureus","DOI":"10.7759/cureus.56082","ISSN":"2168-8184","issue":"3","journalAbbreviation":"Cureus","language":"eng","note":"PMID: 38618409\nPMCID: PMC11009898","page":"e56082","source":"PubMed","title":"Acute Post-streptococcal Glomerulonephritis in a Pediatric Population: A Five-Year Retrospective Study","title-short":"Acute Post-streptococcal Glomerulonephritis in a Pediatric Population","volume":"16","author":[{"family":"Bajracharya","given":"Prayes"},{"family":"Khadgi","given":"Ashish"},{"family":"Shrestha","given":"Sugandha"},{"family":"Silwal","given":"Ramji"},{"family":"Tandukar","given":"Anisha"}],"issued":{"date-parts":[["2024",3]]}}},{"id":140,"uris":["http://zotero.org/users/local/lvPLY4Gu/items/HZE4B8CP"],"itemData":{"id":140,"type":"article-journal","abstract":"BACKGROUND: Acute tubulointerstitial nephritis (AIN) is an uncommon cause of acute kidney injury in children, accounting for less than 10% of cases. There is limited information regarding the range of underlying diagnoses and how these may differ geographically. We undertook a retrospective case note review of consecutive cases of biopsy-proven AIN, presenting to a single UK tertiary paediatric centre, to describe the range of AIN in our caseload, define key characteristics and response to treatment, with the aim of informing paediatric nephrology practice.\nMETHODS: Cases were identified retrospectively from departmental records. Data extracted included demographics, presenting clinical and biochemical features, renal biopsy histology, treatment and follow-up.\nRESULTS: Ten cases were identified over 8 years (2007-2014). Age range 6-16 years. Male:Female ratio 1:9. Final diagnoses included 6 tubulointerstitial nephritis and uveitis syndrome (TINU), 2 idiopathic, 1 sarcoidosis, 1 child with Streptococcal disease. Of the TINU cases, timing of eye symptoms varied in relation to AIN presentation. Cases had a varied investigative work-up. Median presenting plasma creatinine was 303 μmol/l (range 152-932 μmol/l). Renal function improved spontaneously in 1 idiopathic case and improved with antimicrobial treatment in a child with Streptococcal disease. Eight cases received immunosuppressive treatment with intravenous methylprednisolone (approximately 10 mg/kg for 3-5 days) and / or oral prednisolone (1-2 mg/kg initially, reducing over 7-28 days). At 1 month, median creatinine had fallen to 91 μmol/l (range 41-120 μmol/l) with median eGFR 61 ml/min/1.73m2 (range 51-103 ml/min/1.73m2). At last follow-up (median 18.5 months, range 2-70 months), median creatinine was 71 μmol/l (range 47-90 μmol/l) with median eGFR 80 ml/min/1.73m2, range 63 to 101 ml/min/1.73m2). Two patients received antihypertensives at diagnosis and 1 further patient at 1 month follow-up. Eight patients received electrolyte supplementation. Median time to discontinuing electrolyte supplementation was 3.5 months (range 1-12 months).\nCONCLUSION: To our knowledge, this is the only contemporary UK case series of biopsy-proven AIN in children. Our population has a high proportion of TINU. Treatment was accompanied by improvement of renal function, however 7/10 patients had an eGFR &lt; 90 ml/min/1.73m2 at last follow-up. We suggest a standardised investigative work-up and recommend long-term follow-up.","container-title":"BMC nephrology","DOI":"10.1186/s12882-020-1681-7","ISSN":"1471-2369","issue":"1","journalAbbreviation":"BMC Nephrol","language":"eng","note":"PMID: 31937254\nPMCID: PMC6961306","page":"17","source":"PubMed","title":"Acute tubulointerstitial nephritis in children- a retrospective case series in a UK tertiary paediatric centre","volume":"21","author":[{"family":"Roy","given":"S."},{"family":"Awogbemi","given":"T."},{"family":"Holt","given":"R. C. L."}],"issued":{"date-parts":[["2020",1,14]]}}},{"id":143,"uris":["http://zotero.org/users/local/lvPLY4Gu/items/JGNBAIN8"],"itemData":{"id":143,"type":"article-journal","abstract":"OBJECTIVE: To assess factors associated treatment outcomes of acute post streptococcal glomerular nephritis among patients less than 18 years old in Mekelle City Public Hospitals.\nRESULTS: About 334 medical records c of children with acute post streptococcal glomerular nephritis were revised during the study period. Of these 244 (73.1%) had a positive outcome. acute post streptococcal glomerular nephritis was found to be statically significant associated with age &lt; 5 years, duration of infection, the source of infection and length of stay in Hospital.","container-title":"BMC research notes","DOI":"10.1186/s13104-018-3794-7","ISSN":"1756-0500","issue":"1","journalAbbreviation":"BMC Res Notes","language":"eng","note":"PMID: 30285899\nPMCID: PMC6167782","page":"693","source":"PubMed","title":"Factors associated with treatment outcome of acute post streptococcal glomerulonephritis among patients less than 18 years in Mekelle City, Public Hospitals, North Ethiopia","volume":"11","author":[{"family":"Gebreyesus","given":"Lemlem Gebreselassie"},{"family":"Aregay","given":"Atsede Fantahun"},{"family":"Gebrekidan","given":"Kahsu Gebrekirstos"},{"family":"Alemayehu","given":"Yisak Hagos"}],"issued":{"date-parts":[["2018",10,1]]}}}],"schema":"https://github.com/citation-style-language/schema/raw/master/csl-citation.json"} </w:instrText>
      </w:r>
      <w:r w:rsidR="002E6D5B">
        <w:rPr>
          <w:rFonts w:cstheme="minorHAnsi"/>
          <w:color w:val="000000"/>
          <w:sz w:val="22"/>
          <w:szCs w:val="22"/>
          <w:shd w:val="clear" w:color="auto" w:fill="FFFFFF"/>
        </w:rPr>
        <w:fldChar w:fldCharType="separate"/>
      </w:r>
      <w:r w:rsidR="00642970" w:rsidRPr="00642970">
        <w:rPr>
          <w:rFonts w:ascii="Calibri" w:cs="Calibri"/>
          <w:color w:val="000000"/>
          <w:sz w:val="22"/>
        </w:rPr>
        <w:t>(113–115)</w:t>
      </w:r>
      <w:r w:rsidR="002E6D5B">
        <w:rPr>
          <w:rFonts w:cstheme="minorHAnsi"/>
          <w:color w:val="000000"/>
          <w:sz w:val="22"/>
          <w:szCs w:val="22"/>
          <w:shd w:val="clear" w:color="auto" w:fill="FFFFFF"/>
        </w:rPr>
        <w:fldChar w:fldCharType="end"/>
      </w:r>
      <w:r w:rsidR="004E555A" w:rsidRPr="004E555A">
        <w:rPr>
          <w:rFonts w:cstheme="minorHAnsi"/>
          <w:color w:val="000000"/>
          <w:sz w:val="22"/>
          <w:szCs w:val="22"/>
          <w:shd w:val="clear" w:color="auto" w:fill="FFFFFF"/>
        </w:rPr>
        <w:t xml:space="preserve">, and 2 papers on crescentic GN </w:t>
      </w:r>
      <w:r w:rsidR="002E6D5B">
        <w:rPr>
          <w:rFonts w:cstheme="minorHAnsi"/>
          <w:color w:val="000000"/>
          <w:sz w:val="22"/>
          <w:szCs w:val="22"/>
          <w:shd w:val="clear" w:color="auto" w:fill="FFFFFF"/>
        </w:rPr>
        <w:fldChar w:fldCharType="begin"/>
      </w:r>
      <w:r w:rsidR="00642970">
        <w:rPr>
          <w:rFonts w:cstheme="minorHAnsi"/>
          <w:color w:val="000000"/>
          <w:sz w:val="22"/>
          <w:szCs w:val="22"/>
          <w:shd w:val="clear" w:color="auto" w:fill="FFFFFF"/>
        </w:rPr>
        <w:instrText xml:space="preserve"> ADDIN ZOTERO_ITEM CSL_CITATION {"citationID":"OCkpXq01","properties":{"formattedCitation":"(116,117)","plainCitation":"(116,117)","noteIndex":0},"citationItems":[{"id":132,"uris":["http://zotero.org/users/local/lvPLY4Gu/items/J4S63SID"],"itemData":{"id":132,"type":"article-journal","abstract":"BACKGROUND: To date, there is insufficient knowledge about crescentic glomerulonephritis (cGN), the most frequent immunologic cause of acute kidney injury in children.\nMETHODS: Over a period of 16 years, we retrospectively analyzed kidney biopsy results, the clinical course, and laboratory data in 60 pediatric patients diagnosed with cGN.\nRESULTS: The underlying diseases were immune complex GN (n = 45/60, 75%), including IgA nephropathy (n = 19/45, 42%), lupus nephritis (n = 10/45, 22%), Henoch-Schoenlein purpura nephritis (n = 7/45, 16%) and post-infectious GN (n = 7/45, 16%), ANCA-associated pauci-immune GN (n = 10/60, 17%), and anti-glomerular basement-membrane GN (n = 1/60, 2%). Patient CKD stages at time of diagnosis and at a median of 362 days (range 237-425) were CKD I: n = 13/n = 29, CKD II: n = 15/n = 9, CKD III: n = 16/n = 7, CKD IV: n = 3/n = 3, CKD V: n = 13/n = 5. Course of cGN was different according to class of cGN, duration of disease from first clinical signs to diagnosis of cGN by biopsy, percentage of crescentic glomeruli, amount of tubular atrophy/interstitial fibrosis and necrosis on renal biopsy, gender, age, nephrotic syndrome, arterial hypertension, dialysis at presentation, and relapse. Forty-eight/60 children were treated with ≥ 5 (methyl-) prednisolone pulses and 53 patients received oral prednis(ol)one in combination with mycophenolate mofetil (n = 20), cyclosporine A (n = 20), and/or cyclophosphamide (n = 6), rituximab (n = 5), azathioprine (n = 2), tacrolimus (n = 1), and plasmapheresis/immunoadsorption (n = 5).\nCONCLUSIONS: The treatment success of cGN is dependent on early diagnosis and aggressive therapy, as well as on the percentage of crescentic glomeruli on renal biopsy and on the underlying type of cGN. CsA and MMF seem to be effective alternatives to cyclophosphamide.","container-title":"Pediatric Nephrology (Berlin, Germany)","DOI":"10.1007/s00467-019-04436-y","ISSN":"1432-198X","issue":"5","journalAbbreviation":"Pediatr Nephrol","language":"eng","note":"PMID: 32052153\nPMCID: PMC7096391","page":"829-842","source":"PubMed","title":"Crescentic glomerulonephritis in children","volume":"35","author":[{"family":"Mayer","given":"Ulrike"},{"family":"Schmitz","given":"Jessica"},{"family":"Bräsen","given":"Jan Hinrich"},{"family":"Pape","given":"Lars"}],"issued":{"date-parts":[["2020",5]]}}},{"id":135,"uris":["http://zotero.org/users/local/lvPLY4Gu/items/WLS4SR4S"],"itemData":{"id":135,"type":"article-journal","abstract":"BACKGROUND: Information on long-term renal outcome of pediatric glomerulonephritis associated with crescent formation is limited. A single center retrospective study was conducted to assess long-term renal survival and to determine whether the 2010 classification for antineutrophil cytoplasmic antibody (ANCA)-associated glomerulonephritis can predict renal outcome in pediatric glomerulonephritis associated with crescent formation.\nMETHODS: Biopsy and clinical data of children, aged ≤ 18 years with ≥ 10 glomeruli and ≥ 10% crescentic glomeruli during January 1998 to December 2015, were reviewed. Biopsies were classified according to the 2010 classification into focal, crescentic, mixed, and sclerotic classes. The clinical endpoint was end-stage renal disease (ESRD).\nRESULTS: Of 72 children, 14 patients (19.4%) had positive ANCA. The biopsy indication was rapidly progressive glomerulonephritis in 38 patients (52.8%) and 22 patients (30.6%) required dialysis at onset. Lupus nephritis was the most common diagnosis (43.1%), followed by IgA nephropathy/Henoch-Schoenlein purpura (HSP) (22.2%). ESRD occurred in 18 patients (25%) and the risk of ESRD differed among the histological classifications (p &lt; 0.001). Dialysis at onset and sclerotic class was independent predictors of ESRD in an adjusted model. The risk of ESRD was four-fold higher in patients requiring dialysis at onset and 7.7-fold higher in sclerotic patients than in crescentic patients.\nCONCLUSIONS: The probability of ESRD was substantial in pediatric glomerulonephritis associated with crescent formation. The 2010 classification is useful for establishing long-term renal prognosis. Future research is required to validate whether histological classification could be a determinant in therapeutic guideline modification, since long-term renal prognosis is different in each class.","container-title":"Clinical and Experimental Nephrology","DOI":"10.1007/s10157-017-1498-2","ISSN":"1437-7799","issue":"3","journalAbbreviation":"Clin Exp Nephrol","language":"eng","note":"PMID: 29101552","page":"661-667","source":"PubMed","title":"Long-term renal outcome in pediatric glomerulonephritis associated with crescent formation","volume":"22","author":[{"family":"Rianthavorn","given":"Pornpimol"},{"family":"Chacranon","given":"Manunya"}],"issued":{"date-parts":[["2018",6]]}}}],"schema":"https://github.com/citation-style-language/schema/raw/master/csl-citation.json"} </w:instrText>
      </w:r>
      <w:r w:rsidR="002E6D5B">
        <w:rPr>
          <w:rFonts w:cstheme="minorHAnsi"/>
          <w:color w:val="000000"/>
          <w:sz w:val="22"/>
          <w:szCs w:val="22"/>
          <w:shd w:val="clear" w:color="auto" w:fill="FFFFFF"/>
        </w:rPr>
        <w:fldChar w:fldCharType="separate"/>
      </w:r>
      <w:r w:rsidR="00642970">
        <w:rPr>
          <w:rFonts w:cstheme="minorHAnsi"/>
          <w:noProof/>
          <w:color w:val="000000"/>
          <w:sz w:val="22"/>
          <w:szCs w:val="22"/>
          <w:shd w:val="clear" w:color="auto" w:fill="FFFFFF"/>
        </w:rPr>
        <w:t>(116,117)</w:t>
      </w:r>
      <w:r w:rsidR="002E6D5B">
        <w:rPr>
          <w:rFonts w:cstheme="minorHAnsi"/>
          <w:color w:val="000000"/>
          <w:sz w:val="22"/>
          <w:szCs w:val="22"/>
          <w:shd w:val="clear" w:color="auto" w:fill="FFFFFF"/>
        </w:rPr>
        <w:fldChar w:fldCharType="end"/>
      </w:r>
      <w:r w:rsidR="002E6D5B">
        <w:rPr>
          <w:rFonts w:cstheme="minorHAnsi"/>
          <w:color w:val="000000"/>
          <w:sz w:val="22"/>
          <w:szCs w:val="22"/>
          <w:shd w:val="clear" w:color="auto" w:fill="FFFFFF"/>
        </w:rPr>
        <w:t xml:space="preserve"> </w:t>
      </w:r>
      <w:r w:rsidR="004E555A" w:rsidRPr="004E555A">
        <w:rPr>
          <w:rFonts w:cstheme="minorHAnsi"/>
          <w:color w:val="000000"/>
          <w:sz w:val="22"/>
          <w:szCs w:val="22"/>
          <w:shd w:val="clear" w:color="auto" w:fill="FFFFFF"/>
        </w:rPr>
        <w:t>were obtained during</w:t>
      </w:r>
      <w:r w:rsidR="001630D4" w:rsidRPr="004E555A">
        <w:rPr>
          <w:rFonts w:cstheme="minorHAnsi"/>
          <w:color w:val="000000"/>
          <w:sz w:val="22"/>
          <w:szCs w:val="22"/>
          <w:shd w:val="clear" w:color="auto" w:fill="FFFFFF"/>
        </w:rPr>
        <w:t xml:space="preserve"> the </w:t>
      </w:r>
      <w:r w:rsidR="00055DA9" w:rsidRPr="004E555A">
        <w:rPr>
          <w:rFonts w:cstheme="minorHAnsi"/>
          <w:color w:val="000000"/>
          <w:sz w:val="22"/>
          <w:szCs w:val="22"/>
          <w:shd w:val="clear" w:color="auto" w:fill="FFFFFF"/>
        </w:rPr>
        <w:t>inclusion</w:t>
      </w:r>
      <w:r w:rsidR="001630D4" w:rsidRPr="004E555A">
        <w:rPr>
          <w:rFonts w:cstheme="minorHAnsi"/>
          <w:color w:val="000000"/>
          <w:sz w:val="22"/>
          <w:szCs w:val="22"/>
          <w:shd w:val="clear" w:color="auto" w:fill="FFFFFF"/>
        </w:rPr>
        <w:t xml:space="preserve"> period</w:t>
      </w:r>
      <w:r w:rsidR="00052B08">
        <w:rPr>
          <w:rFonts w:cstheme="minorHAnsi"/>
          <w:color w:val="000000"/>
          <w:sz w:val="22"/>
          <w:szCs w:val="22"/>
          <w:shd w:val="clear" w:color="auto" w:fill="FFFFFF"/>
        </w:rPr>
        <w:t xml:space="preserve"> to help inform these guidelines</w:t>
      </w:r>
      <w:r w:rsidR="001630D4" w:rsidRPr="004E555A">
        <w:rPr>
          <w:rFonts w:cstheme="minorHAnsi"/>
          <w:color w:val="000000"/>
          <w:sz w:val="22"/>
          <w:szCs w:val="22"/>
          <w:shd w:val="clear" w:color="auto" w:fill="FFFFFF"/>
        </w:rPr>
        <w:t>. The</w:t>
      </w:r>
      <w:r w:rsidR="001630D4" w:rsidRPr="00D17944">
        <w:rPr>
          <w:rFonts w:cstheme="minorHAnsi"/>
          <w:color w:val="000000"/>
          <w:sz w:val="22"/>
          <w:szCs w:val="22"/>
          <w:shd w:val="clear" w:color="auto" w:fill="FFFFFF"/>
        </w:rPr>
        <w:t xml:space="preserve"> evidence synthesis </w:t>
      </w:r>
      <w:r w:rsidR="00C0034C">
        <w:rPr>
          <w:rFonts w:cstheme="minorHAnsi"/>
          <w:color w:val="000000"/>
          <w:sz w:val="22"/>
          <w:szCs w:val="22"/>
          <w:shd w:val="clear" w:color="auto" w:fill="FFFFFF"/>
        </w:rPr>
        <w:t xml:space="preserve">summary </w:t>
      </w:r>
      <w:r w:rsidR="001630D4">
        <w:rPr>
          <w:rFonts w:cstheme="minorHAnsi"/>
          <w:color w:val="000000"/>
          <w:sz w:val="22"/>
          <w:szCs w:val="22"/>
          <w:shd w:val="clear" w:color="auto" w:fill="FFFFFF"/>
        </w:rPr>
        <w:t>d</w:t>
      </w:r>
      <w:r w:rsidR="00C0034C">
        <w:rPr>
          <w:rFonts w:cstheme="minorHAnsi"/>
          <w:color w:val="000000"/>
          <w:sz w:val="22"/>
          <w:szCs w:val="22"/>
          <w:shd w:val="clear" w:color="auto" w:fill="FFFFFF"/>
        </w:rPr>
        <w:t>id</w:t>
      </w:r>
      <w:r w:rsidR="001630D4" w:rsidRPr="00D17944">
        <w:rPr>
          <w:rFonts w:cstheme="minorHAnsi"/>
          <w:color w:val="000000"/>
          <w:sz w:val="22"/>
          <w:szCs w:val="22"/>
          <w:shd w:val="clear" w:color="auto" w:fill="FFFFFF"/>
        </w:rPr>
        <w:t xml:space="preserve"> not include </w:t>
      </w:r>
      <w:r w:rsidR="001630D4">
        <w:rPr>
          <w:rFonts w:cstheme="minorHAnsi"/>
          <w:color w:val="000000"/>
          <w:sz w:val="22"/>
          <w:szCs w:val="22"/>
          <w:shd w:val="clear" w:color="auto" w:fill="FFFFFF"/>
        </w:rPr>
        <w:t xml:space="preserve">a summary of </w:t>
      </w:r>
      <w:r w:rsidR="001630D4" w:rsidRPr="00D17944">
        <w:rPr>
          <w:rFonts w:cstheme="minorHAnsi"/>
          <w:color w:val="000000"/>
          <w:sz w:val="22"/>
          <w:szCs w:val="22"/>
          <w:shd w:val="clear" w:color="auto" w:fill="FFFFFF"/>
        </w:rPr>
        <w:t>KDIGO</w:t>
      </w:r>
      <w:r w:rsidR="004E555A">
        <w:rPr>
          <w:rFonts w:cstheme="minorHAnsi"/>
          <w:color w:val="000000"/>
          <w:sz w:val="22"/>
          <w:szCs w:val="22"/>
          <w:shd w:val="clear" w:color="auto" w:fill="FFFFFF"/>
        </w:rPr>
        <w:t>,</w:t>
      </w:r>
      <w:r w:rsidR="001630D4" w:rsidRPr="00D17944">
        <w:rPr>
          <w:rFonts w:cstheme="minorHAnsi"/>
          <w:color w:val="000000"/>
          <w:sz w:val="22"/>
          <w:szCs w:val="22"/>
          <w:shd w:val="clear" w:color="auto" w:fill="FFFFFF"/>
        </w:rPr>
        <w:t xml:space="preserve"> IPNA </w:t>
      </w:r>
      <w:r w:rsidR="004E555A">
        <w:rPr>
          <w:rFonts w:cstheme="minorHAnsi"/>
          <w:color w:val="000000"/>
          <w:sz w:val="22"/>
          <w:szCs w:val="22"/>
          <w:shd w:val="clear" w:color="auto" w:fill="FFFFFF"/>
        </w:rPr>
        <w:t xml:space="preserve">guidelines or adult guidelines </w:t>
      </w:r>
      <w:r w:rsidR="001630D4" w:rsidRPr="00D17944">
        <w:rPr>
          <w:rFonts w:cstheme="minorHAnsi"/>
          <w:color w:val="000000"/>
          <w:sz w:val="22"/>
          <w:szCs w:val="22"/>
          <w:shd w:val="clear" w:color="auto" w:fill="FFFFFF"/>
        </w:rPr>
        <w:t xml:space="preserve">as these were </w:t>
      </w:r>
      <w:r w:rsidR="00052B08">
        <w:rPr>
          <w:rFonts w:cstheme="minorHAnsi"/>
          <w:color w:val="000000"/>
          <w:sz w:val="22"/>
          <w:szCs w:val="22"/>
          <w:shd w:val="clear" w:color="auto" w:fill="FFFFFF"/>
        </w:rPr>
        <w:t xml:space="preserve">reviewed and </w:t>
      </w:r>
      <w:r w:rsidR="001630D4" w:rsidRPr="00D17944">
        <w:rPr>
          <w:rFonts w:cstheme="minorHAnsi"/>
          <w:color w:val="000000"/>
          <w:sz w:val="22"/>
          <w:szCs w:val="22"/>
          <w:shd w:val="clear" w:color="auto" w:fill="FFFFFF"/>
        </w:rPr>
        <w:t xml:space="preserve">used as a foundation </w:t>
      </w:r>
      <w:r w:rsidR="00C0034C">
        <w:rPr>
          <w:rFonts w:cstheme="minorHAnsi"/>
          <w:color w:val="000000"/>
          <w:sz w:val="22"/>
          <w:szCs w:val="22"/>
          <w:shd w:val="clear" w:color="auto" w:fill="FFFFFF"/>
        </w:rPr>
        <w:t>for</w:t>
      </w:r>
      <w:r w:rsidR="001630D4">
        <w:rPr>
          <w:rFonts w:cstheme="minorHAnsi"/>
          <w:color w:val="000000"/>
          <w:sz w:val="22"/>
          <w:szCs w:val="22"/>
          <w:shd w:val="clear" w:color="auto" w:fill="FFFFFF"/>
        </w:rPr>
        <w:t xml:space="preserve"> each domain </w:t>
      </w:r>
      <w:r w:rsidR="001630D4" w:rsidRPr="00D17944">
        <w:rPr>
          <w:rFonts w:cstheme="minorHAnsi"/>
          <w:color w:val="000000"/>
          <w:sz w:val="22"/>
          <w:szCs w:val="22"/>
          <w:shd w:val="clear" w:color="auto" w:fill="FFFFFF"/>
        </w:rPr>
        <w:t>to construct the recommendations</w:t>
      </w:r>
      <w:r w:rsidR="004E555A">
        <w:rPr>
          <w:rFonts w:cstheme="minorHAnsi"/>
          <w:color w:val="000000"/>
          <w:sz w:val="22"/>
          <w:szCs w:val="22"/>
          <w:shd w:val="clear" w:color="auto" w:fill="FFFFFF"/>
        </w:rPr>
        <w:t xml:space="preserve"> </w:t>
      </w:r>
      <w:r w:rsidR="00052B08">
        <w:rPr>
          <w:rFonts w:cstheme="minorHAnsi"/>
          <w:color w:val="000000"/>
          <w:sz w:val="22"/>
          <w:szCs w:val="22"/>
          <w:shd w:val="clear" w:color="auto" w:fill="FFFFFF"/>
        </w:rPr>
        <w:t>to support existing evidence or in situations</w:t>
      </w:r>
      <w:r w:rsidR="004E555A">
        <w:rPr>
          <w:rFonts w:cstheme="minorHAnsi"/>
          <w:color w:val="000000"/>
          <w:sz w:val="22"/>
          <w:szCs w:val="22"/>
          <w:shd w:val="clear" w:color="auto" w:fill="FFFFFF"/>
        </w:rPr>
        <w:t xml:space="preserve"> where </w:t>
      </w:r>
      <w:r w:rsidR="00052B08">
        <w:rPr>
          <w:rFonts w:cstheme="minorHAnsi"/>
          <w:color w:val="000000"/>
          <w:sz w:val="22"/>
          <w:szCs w:val="22"/>
          <w:shd w:val="clear" w:color="auto" w:fill="FFFFFF"/>
        </w:rPr>
        <w:t xml:space="preserve">any </w:t>
      </w:r>
      <w:r w:rsidR="004E555A">
        <w:rPr>
          <w:rFonts w:cstheme="minorHAnsi"/>
          <w:color w:val="000000"/>
          <w:sz w:val="22"/>
          <w:szCs w:val="22"/>
          <w:shd w:val="clear" w:color="auto" w:fill="FFFFFF"/>
        </w:rPr>
        <w:t>paediatric data was lacking</w:t>
      </w:r>
      <w:r w:rsidR="001630D4" w:rsidRPr="00D17944">
        <w:rPr>
          <w:rFonts w:cstheme="minorHAnsi"/>
          <w:color w:val="000000"/>
          <w:sz w:val="22"/>
          <w:szCs w:val="22"/>
          <w:shd w:val="clear" w:color="auto" w:fill="FFFFFF"/>
        </w:rPr>
        <w:t xml:space="preserve">. </w:t>
      </w:r>
      <w:r w:rsidR="003C0A99">
        <w:rPr>
          <w:rFonts w:cstheme="minorHAnsi"/>
          <w:color w:val="000000"/>
          <w:sz w:val="22"/>
          <w:szCs w:val="22"/>
          <w:shd w:val="clear" w:color="auto" w:fill="FFFFFF"/>
        </w:rPr>
        <w:t xml:space="preserve">The final included literature used for the evidence synthesis was distributed to the GDG </w:t>
      </w:r>
      <w:r>
        <w:rPr>
          <w:rFonts w:cstheme="minorHAnsi"/>
          <w:color w:val="000000"/>
          <w:sz w:val="22"/>
          <w:szCs w:val="22"/>
          <w:shd w:val="clear" w:color="auto" w:fill="FFFFFF"/>
        </w:rPr>
        <w:t xml:space="preserve">and </w:t>
      </w:r>
      <w:r w:rsidR="003C0A99">
        <w:rPr>
          <w:rFonts w:cstheme="minorHAnsi"/>
          <w:color w:val="000000"/>
          <w:sz w:val="22"/>
          <w:szCs w:val="22"/>
          <w:shd w:val="clear" w:color="auto" w:fill="FFFFFF"/>
        </w:rPr>
        <w:t xml:space="preserve">consisted of 24 papers on SSNS, 4 on SRNS, 5 on </w:t>
      </w:r>
      <w:proofErr w:type="spellStart"/>
      <w:r w:rsidR="003C0A99">
        <w:rPr>
          <w:rFonts w:cstheme="minorHAnsi"/>
          <w:color w:val="000000"/>
          <w:sz w:val="22"/>
          <w:szCs w:val="22"/>
          <w:shd w:val="clear" w:color="auto" w:fill="FFFFFF"/>
        </w:rPr>
        <w:t>IgAN</w:t>
      </w:r>
      <w:proofErr w:type="spellEnd"/>
      <w:r w:rsidR="003C0A99">
        <w:rPr>
          <w:rFonts w:cstheme="minorHAnsi"/>
          <w:color w:val="000000"/>
          <w:sz w:val="22"/>
          <w:szCs w:val="22"/>
          <w:shd w:val="clear" w:color="auto" w:fill="FFFFFF"/>
        </w:rPr>
        <w:t xml:space="preserve">, 8 on </w:t>
      </w:r>
      <w:proofErr w:type="spellStart"/>
      <w:r w:rsidR="003C0A99">
        <w:rPr>
          <w:rFonts w:cstheme="minorHAnsi"/>
          <w:color w:val="000000"/>
          <w:sz w:val="22"/>
          <w:szCs w:val="22"/>
          <w:shd w:val="clear" w:color="auto" w:fill="FFFFFF"/>
        </w:rPr>
        <w:t>IgAV</w:t>
      </w:r>
      <w:proofErr w:type="spellEnd"/>
      <w:r w:rsidR="003C0A99">
        <w:rPr>
          <w:rFonts w:cstheme="minorHAnsi"/>
          <w:color w:val="000000"/>
          <w:sz w:val="22"/>
          <w:szCs w:val="22"/>
          <w:shd w:val="clear" w:color="auto" w:fill="FFFFFF"/>
        </w:rPr>
        <w:t xml:space="preserve">-N, 5 on MN, 28 on LN, 13 on ANCA, 1 anti-GBM, 12 C3GN, 2 post infectious GN and 2 crescentic GN. </w:t>
      </w:r>
    </w:p>
    <w:p w14:paraId="6CE9DEBD" w14:textId="0B3AE1B1" w:rsidR="005D1469" w:rsidRDefault="001630D4" w:rsidP="00D82C4B">
      <w:pPr>
        <w:spacing w:before="480" w:after="120" w:line="360" w:lineRule="auto"/>
        <w:outlineLvl w:val="0"/>
        <w:rPr>
          <w:rFonts w:eastAsia="Arial" w:cstheme="minorHAnsi"/>
          <w:b/>
          <w:sz w:val="22"/>
          <w:szCs w:val="22"/>
          <w:u w:val="single"/>
          <w:lang w:val="en" w:eastAsia="en-GB"/>
        </w:rPr>
      </w:pPr>
      <w:bookmarkStart w:id="5" w:name="_vp4nfbi264e8" w:colFirst="0" w:colLast="0"/>
      <w:bookmarkEnd w:id="5"/>
      <w:r>
        <w:rPr>
          <w:rFonts w:eastAsia="Arial" w:cstheme="minorHAnsi"/>
          <w:b/>
          <w:sz w:val="22"/>
          <w:szCs w:val="22"/>
          <w:u w:val="single"/>
          <w:lang w:val="en" w:eastAsia="en-GB"/>
        </w:rPr>
        <w:t>General recommendation</w:t>
      </w:r>
      <w:r w:rsidR="00337D69">
        <w:rPr>
          <w:rFonts w:eastAsia="Arial" w:cstheme="minorHAnsi"/>
          <w:b/>
          <w:sz w:val="22"/>
          <w:szCs w:val="22"/>
          <w:u w:val="single"/>
          <w:lang w:val="en" w:eastAsia="en-GB"/>
        </w:rPr>
        <w:t>s for CYP with IM-</w:t>
      </w:r>
      <w:r w:rsidR="0055110B">
        <w:rPr>
          <w:rFonts w:eastAsia="Arial" w:cstheme="minorHAnsi"/>
          <w:b/>
          <w:sz w:val="22"/>
          <w:szCs w:val="22"/>
          <w:u w:val="single"/>
          <w:lang w:val="en" w:eastAsia="en-GB"/>
        </w:rPr>
        <w:t>GD</w:t>
      </w:r>
      <w:r>
        <w:rPr>
          <w:rFonts w:eastAsia="Arial" w:cstheme="minorHAnsi"/>
          <w:b/>
          <w:sz w:val="22"/>
          <w:szCs w:val="22"/>
          <w:u w:val="single"/>
          <w:lang w:val="en" w:eastAsia="en-GB"/>
        </w:rPr>
        <w:t xml:space="preserve"> </w:t>
      </w:r>
    </w:p>
    <w:tbl>
      <w:tblPr>
        <w:tblW w:w="10485" w:type="dxa"/>
        <w:tblInd w:w="-1" w:type="dxa"/>
        <w:tblBorders>
          <w:top w:val="nil"/>
          <w:left w:val="nil"/>
          <w:bottom w:val="nil"/>
          <w:right w:val="nil"/>
          <w:insideH w:val="nil"/>
          <w:insideV w:val="nil"/>
        </w:tblBorders>
        <w:tblLayout w:type="fixed"/>
        <w:tblLook w:val="0600" w:firstRow="0" w:lastRow="0" w:firstColumn="0" w:lastColumn="0" w:noHBand="1" w:noVBand="1"/>
      </w:tblPr>
      <w:tblGrid>
        <w:gridCol w:w="1155"/>
        <w:gridCol w:w="8196"/>
        <w:gridCol w:w="1134"/>
      </w:tblGrid>
      <w:tr w:rsidR="00837E18" w14:paraId="28142289" w14:textId="77777777" w:rsidTr="00D82C4B">
        <w:trPr>
          <w:trHeight w:val="300"/>
        </w:trPr>
        <w:tc>
          <w:tcPr>
            <w:tcW w:w="115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557E02CC" w14:textId="77777777" w:rsidR="005D1469" w:rsidRPr="00117750" w:rsidRDefault="001630D4" w:rsidP="00D82C4B">
            <w:pPr>
              <w:spacing w:before="240" w:line="360" w:lineRule="auto"/>
              <w:rPr>
                <w:rFonts w:eastAsia="Arial" w:cstheme="minorHAnsi"/>
                <w:b/>
                <w:sz w:val="22"/>
                <w:szCs w:val="22"/>
                <w:lang w:val="en" w:eastAsia="en-GB"/>
              </w:rPr>
            </w:pPr>
            <w:r w:rsidRPr="00117750">
              <w:rPr>
                <w:rFonts w:eastAsia="Arial" w:cstheme="minorHAnsi"/>
                <w:b/>
                <w:sz w:val="22"/>
                <w:szCs w:val="22"/>
                <w:lang w:val="en" w:eastAsia="en-GB"/>
              </w:rPr>
              <w:t>Number</w:t>
            </w:r>
          </w:p>
        </w:tc>
        <w:tc>
          <w:tcPr>
            <w:tcW w:w="8196" w:type="dxa"/>
            <w:tcBorders>
              <w:top w:val="single" w:sz="5" w:space="0" w:color="000000" w:themeColor="text1"/>
              <w:left w:val="nil"/>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5E3E330F" w14:textId="77777777" w:rsidR="005D1469" w:rsidRPr="00117750" w:rsidRDefault="001630D4" w:rsidP="00D82C4B">
            <w:pPr>
              <w:spacing w:before="240" w:line="360" w:lineRule="auto"/>
              <w:rPr>
                <w:rFonts w:eastAsia="Arial" w:cstheme="minorHAnsi"/>
                <w:b/>
                <w:sz w:val="22"/>
                <w:szCs w:val="22"/>
                <w:lang w:val="en" w:eastAsia="en-GB"/>
              </w:rPr>
            </w:pPr>
            <w:r w:rsidRPr="00117750">
              <w:rPr>
                <w:rFonts w:eastAsia="Arial" w:cstheme="minorHAnsi"/>
                <w:b/>
                <w:sz w:val="22"/>
                <w:szCs w:val="22"/>
                <w:lang w:val="en" w:eastAsia="en-GB"/>
              </w:rPr>
              <w:t>RECOMMENDATION</w:t>
            </w:r>
          </w:p>
        </w:tc>
        <w:tc>
          <w:tcPr>
            <w:tcW w:w="1134" w:type="dxa"/>
            <w:tcBorders>
              <w:top w:val="single" w:sz="5" w:space="0" w:color="000000" w:themeColor="text1"/>
              <w:left w:val="nil"/>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1339B652" w14:textId="77777777" w:rsidR="005D1469" w:rsidRPr="00117750" w:rsidRDefault="001630D4" w:rsidP="00D82C4B">
            <w:pPr>
              <w:spacing w:before="240" w:line="360" w:lineRule="auto"/>
              <w:jc w:val="center"/>
              <w:rPr>
                <w:rFonts w:eastAsia="Arial" w:cstheme="minorHAnsi"/>
                <w:b/>
                <w:sz w:val="22"/>
                <w:szCs w:val="22"/>
                <w:lang w:val="en" w:eastAsia="en-GB"/>
              </w:rPr>
            </w:pPr>
            <w:r w:rsidRPr="00117750">
              <w:rPr>
                <w:rFonts w:eastAsia="Arial" w:cstheme="minorHAnsi"/>
                <w:b/>
                <w:sz w:val="22"/>
                <w:szCs w:val="22"/>
                <w:lang w:val="en" w:eastAsia="en-GB"/>
              </w:rPr>
              <w:t>Grade</w:t>
            </w:r>
          </w:p>
        </w:tc>
      </w:tr>
      <w:tr w:rsidR="00D82C4B" w14:paraId="5B319FD4" w14:textId="77777777" w:rsidTr="00372C1E">
        <w:trPr>
          <w:trHeight w:val="697"/>
        </w:trPr>
        <w:tc>
          <w:tcPr>
            <w:tcW w:w="10485" w:type="dxa"/>
            <w:gridSpan w:val="3"/>
            <w:tcBorders>
              <w:top w:val="nil"/>
              <w:left w:val="single" w:sz="5" w:space="0" w:color="000000" w:themeColor="text1"/>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74116A8D" w14:textId="28BBDFCF" w:rsidR="00D82C4B" w:rsidRDefault="00D82C4B" w:rsidP="003F494F">
            <w:pPr>
              <w:spacing w:before="240" w:line="360" w:lineRule="auto"/>
              <w:rPr>
                <w:rFonts w:eastAsia="Arial" w:cstheme="minorHAnsi"/>
                <w:b/>
                <w:sz w:val="22"/>
                <w:szCs w:val="22"/>
                <w:lang w:val="en" w:eastAsia="en-GB"/>
              </w:rPr>
            </w:pPr>
            <w:r>
              <w:rPr>
                <w:rFonts w:eastAsia="Arial" w:cstheme="minorHAnsi"/>
                <w:b/>
                <w:sz w:val="22"/>
                <w:szCs w:val="22"/>
                <w:lang w:val="en" w:eastAsia="en-GB"/>
              </w:rPr>
              <w:t xml:space="preserve">Initial assessment </w:t>
            </w:r>
          </w:p>
        </w:tc>
      </w:tr>
      <w:tr w:rsidR="00837E18" w14:paraId="7963345E" w14:textId="77777777" w:rsidTr="00D82C4B">
        <w:trPr>
          <w:trHeight w:val="697"/>
        </w:trPr>
        <w:tc>
          <w:tcPr>
            <w:tcW w:w="1155" w:type="dxa"/>
            <w:tcBorders>
              <w:top w:val="nil"/>
              <w:left w:val="single" w:sz="5" w:space="0" w:color="000000" w:themeColor="text1"/>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7FF36B9F" w14:textId="1499F065" w:rsidR="00732764" w:rsidRPr="00117750" w:rsidRDefault="001630D4" w:rsidP="00D82C4B">
            <w:pPr>
              <w:spacing w:before="240" w:line="360" w:lineRule="auto"/>
              <w:rPr>
                <w:rFonts w:eastAsia="Arial" w:cstheme="minorHAnsi"/>
                <w:sz w:val="22"/>
                <w:szCs w:val="22"/>
                <w:lang w:val="en" w:eastAsia="en-GB"/>
              </w:rPr>
            </w:pPr>
            <w:r>
              <w:rPr>
                <w:rFonts w:eastAsia="Arial" w:cstheme="minorHAnsi"/>
                <w:sz w:val="22"/>
                <w:szCs w:val="22"/>
                <w:lang w:val="en" w:eastAsia="en-GB"/>
              </w:rPr>
              <w:t>General 1.0</w:t>
            </w:r>
          </w:p>
        </w:tc>
        <w:tc>
          <w:tcPr>
            <w:tcW w:w="8196" w:type="dxa"/>
            <w:tcBorders>
              <w:top w:val="nil"/>
              <w:left w:val="nil"/>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3874BD74" w14:textId="11D4DD72" w:rsidR="00732764" w:rsidRPr="00732764" w:rsidRDefault="001630D4" w:rsidP="00D82C4B">
            <w:pPr>
              <w:spacing w:before="240" w:line="360" w:lineRule="auto"/>
              <w:jc w:val="both"/>
              <w:rPr>
                <w:rFonts w:eastAsia="Arial" w:cstheme="minorHAnsi"/>
                <w:sz w:val="22"/>
                <w:szCs w:val="22"/>
                <w:u w:val="single"/>
                <w:lang w:val="en" w:eastAsia="en-GB"/>
              </w:rPr>
            </w:pPr>
            <w:r w:rsidRPr="00732764">
              <w:rPr>
                <w:rFonts w:eastAsia="Arial" w:cstheme="minorHAnsi"/>
                <w:bCs/>
                <w:iCs/>
                <w:color w:val="000000"/>
                <w:sz w:val="22"/>
                <w:szCs w:val="22"/>
                <w:u w:val="single"/>
              </w:rPr>
              <w:t>We suggest</w:t>
            </w:r>
            <w:r>
              <w:rPr>
                <w:rFonts w:eastAsia="Arial" w:cstheme="minorHAnsi"/>
                <w:bCs/>
                <w:iCs/>
                <w:color w:val="000000"/>
                <w:sz w:val="22"/>
                <w:szCs w:val="22"/>
              </w:rPr>
              <w:t xml:space="preserve"> </w:t>
            </w:r>
            <w:r w:rsidR="0055110B">
              <w:rPr>
                <w:rFonts w:eastAsia="Arial" w:cstheme="minorHAnsi"/>
                <w:bCs/>
                <w:iCs/>
                <w:color w:val="000000"/>
                <w:sz w:val="22"/>
                <w:szCs w:val="22"/>
              </w:rPr>
              <w:t>kidney</w:t>
            </w:r>
            <w:r w:rsidR="0055110B" w:rsidRPr="00C00DD6">
              <w:rPr>
                <w:rFonts w:eastAsia="Arial" w:cstheme="minorHAnsi"/>
                <w:bCs/>
                <w:iCs/>
                <w:color w:val="000000"/>
                <w:sz w:val="22"/>
                <w:szCs w:val="22"/>
              </w:rPr>
              <w:t xml:space="preserve"> </w:t>
            </w:r>
            <w:r w:rsidRPr="00C00DD6">
              <w:rPr>
                <w:rFonts w:eastAsia="Arial" w:cstheme="minorHAnsi"/>
                <w:bCs/>
                <w:iCs/>
                <w:color w:val="000000"/>
                <w:sz w:val="22"/>
                <w:szCs w:val="22"/>
              </w:rPr>
              <w:t>involvement should be assessed with clinical and laboratory findings in all children</w:t>
            </w:r>
            <w:r w:rsidR="00202A2F">
              <w:rPr>
                <w:rFonts w:eastAsia="Arial" w:cstheme="minorHAnsi"/>
                <w:bCs/>
                <w:iCs/>
                <w:color w:val="000000"/>
                <w:sz w:val="22"/>
                <w:szCs w:val="22"/>
              </w:rPr>
              <w:t xml:space="preserve"> using a minimum </w:t>
            </w:r>
            <w:proofErr w:type="gramStart"/>
            <w:r w:rsidR="00202A2F">
              <w:rPr>
                <w:rFonts w:eastAsia="Arial" w:cstheme="minorHAnsi"/>
                <w:bCs/>
                <w:iCs/>
                <w:color w:val="000000"/>
                <w:sz w:val="22"/>
                <w:szCs w:val="22"/>
              </w:rPr>
              <w:t>of</w:t>
            </w:r>
            <w:r w:rsidRPr="00C00DD6">
              <w:rPr>
                <w:rFonts w:eastAsia="Arial" w:cstheme="minorHAnsi"/>
                <w:bCs/>
                <w:iCs/>
                <w:color w:val="000000"/>
                <w:sz w:val="22"/>
                <w:szCs w:val="22"/>
              </w:rPr>
              <w:t>:</w:t>
            </w:r>
            <w:proofErr w:type="gramEnd"/>
            <w:r w:rsidRPr="00C00DD6">
              <w:rPr>
                <w:rFonts w:eastAsia="Arial" w:cstheme="minorHAnsi"/>
                <w:bCs/>
                <w:iCs/>
                <w:color w:val="000000"/>
                <w:sz w:val="22"/>
                <w:szCs w:val="22"/>
              </w:rPr>
              <w:t xml:space="preserve"> measurement of blood pressure; documentation of peripheral oedema; </w:t>
            </w:r>
            <w:r w:rsidR="00C9351E" w:rsidRPr="00C00DD6">
              <w:rPr>
                <w:rFonts w:eastAsia="Arial" w:cstheme="minorHAnsi"/>
                <w:bCs/>
                <w:iCs/>
                <w:color w:val="000000"/>
                <w:sz w:val="22"/>
                <w:szCs w:val="22"/>
              </w:rPr>
              <w:t>urin</w:t>
            </w:r>
            <w:r w:rsidR="00202A2F">
              <w:rPr>
                <w:rFonts w:eastAsia="Arial" w:cstheme="minorHAnsi"/>
                <w:bCs/>
                <w:iCs/>
                <w:color w:val="000000"/>
                <w:sz w:val="22"/>
                <w:szCs w:val="22"/>
              </w:rPr>
              <w:t>e dipstick analysis</w:t>
            </w:r>
            <w:r w:rsidR="00C9351E">
              <w:rPr>
                <w:rFonts w:eastAsia="Arial" w:cstheme="minorHAnsi"/>
                <w:bCs/>
                <w:iCs/>
                <w:color w:val="000000"/>
                <w:sz w:val="22"/>
                <w:szCs w:val="22"/>
              </w:rPr>
              <w:t xml:space="preserve">, measurement of serum kidney function to calculate </w:t>
            </w:r>
            <w:r w:rsidRPr="00C00DD6">
              <w:rPr>
                <w:rFonts w:eastAsia="Arial" w:cstheme="minorHAnsi"/>
                <w:bCs/>
                <w:iCs/>
                <w:color w:val="000000"/>
                <w:sz w:val="22"/>
                <w:szCs w:val="22"/>
              </w:rPr>
              <w:t xml:space="preserve">eGFR; </w:t>
            </w:r>
            <w:r w:rsidR="00C9351E">
              <w:rPr>
                <w:rFonts w:eastAsia="Arial" w:cstheme="minorHAnsi"/>
                <w:bCs/>
                <w:iCs/>
                <w:color w:val="000000"/>
                <w:sz w:val="22"/>
                <w:szCs w:val="22"/>
              </w:rPr>
              <w:t xml:space="preserve">full blood count, </w:t>
            </w:r>
            <w:r w:rsidR="0055110B">
              <w:rPr>
                <w:rFonts w:eastAsia="Arial" w:cstheme="minorHAnsi"/>
                <w:bCs/>
                <w:iCs/>
                <w:color w:val="000000"/>
                <w:sz w:val="22"/>
                <w:szCs w:val="22"/>
              </w:rPr>
              <w:t>serum</w:t>
            </w:r>
            <w:r w:rsidR="00DF774B">
              <w:rPr>
                <w:rFonts w:eastAsia="Arial" w:cstheme="minorHAnsi"/>
                <w:bCs/>
                <w:iCs/>
                <w:color w:val="000000"/>
                <w:sz w:val="22"/>
                <w:szCs w:val="22"/>
              </w:rPr>
              <w:t xml:space="preserve"> </w:t>
            </w:r>
            <w:r w:rsidRPr="00C00DD6">
              <w:rPr>
                <w:rFonts w:eastAsia="Arial" w:cstheme="minorHAnsi"/>
                <w:bCs/>
                <w:iCs/>
                <w:color w:val="000000"/>
                <w:sz w:val="22"/>
                <w:szCs w:val="22"/>
              </w:rPr>
              <w:t>albumin</w:t>
            </w:r>
            <w:r w:rsidR="00202A2F">
              <w:rPr>
                <w:rFonts w:eastAsia="Arial" w:cstheme="minorHAnsi"/>
                <w:bCs/>
                <w:iCs/>
                <w:color w:val="000000"/>
                <w:sz w:val="22"/>
                <w:szCs w:val="22"/>
              </w:rPr>
              <w:t xml:space="preserve">. Depending on the clinical history, </w:t>
            </w:r>
            <w:r w:rsidR="00181BAF">
              <w:rPr>
                <w:rFonts w:eastAsia="Arial" w:cstheme="minorHAnsi"/>
                <w:bCs/>
                <w:iCs/>
                <w:color w:val="000000"/>
                <w:sz w:val="22"/>
                <w:szCs w:val="22"/>
              </w:rPr>
              <w:t xml:space="preserve">a </w:t>
            </w:r>
            <w:r w:rsidR="00202A2F">
              <w:rPr>
                <w:rFonts w:eastAsia="Arial" w:cstheme="minorHAnsi"/>
                <w:bCs/>
                <w:iCs/>
                <w:color w:val="000000"/>
                <w:sz w:val="22"/>
                <w:szCs w:val="22"/>
              </w:rPr>
              <w:t xml:space="preserve">more extended glomerular disease screen may be applicable, </w:t>
            </w:r>
            <w:proofErr w:type="gramStart"/>
            <w:r w:rsidR="00202A2F">
              <w:rPr>
                <w:rFonts w:eastAsia="Arial" w:cstheme="minorHAnsi"/>
                <w:bCs/>
                <w:iCs/>
                <w:color w:val="000000"/>
                <w:sz w:val="22"/>
                <w:szCs w:val="22"/>
              </w:rPr>
              <w:t>including;</w:t>
            </w:r>
            <w:proofErr w:type="gramEnd"/>
            <w:r w:rsidRPr="00C00DD6">
              <w:rPr>
                <w:rFonts w:eastAsia="Arial" w:cstheme="minorHAnsi"/>
                <w:bCs/>
                <w:iCs/>
                <w:color w:val="000000"/>
                <w:sz w:val="22"/>
                <w:szCs w:val="22"/>
              </w:rPr>
              <w:t xml:space="preserve"> </w:t>
            </w:r>
            <w:r w:rsidR="00D20CBA">
              <w:rPr>
                <w:rFonts w:eastAsia="Arial" w:cstheme="minorHAnsi"/>
                <w:bCs/>
                <w:iCs/>
                <w:color w:val="000000"/>
                <w:sz w:val="22"/>
                <w:szCs w:val="22"/>
              </w:rPr>
              <w:t xml:space="preserve">complement C3, C4, </w:t>
            </w:r>
            <w:r w:rsidR="00C9351E">
              <w:rPr>
                <w:rFonts w:eastAsia="Arial" w:cstheme="minorHAnsi"/>
                <w:bCs/>
                <w:iCs/>
                <w:color w:val="000000"/>
                <w:sz w:val="22"/>
                <w:szCs w:val="22"/>
              </w:rPr>
              <w:t>anti-streptococcal antibody titres,</w:t>
            </w:r>
            <w:r w:rsidR="00181BAF">
              <w:rPr>
                <w:rFonts w:eastAsia="Arial" w:cstheme="minorHAnsi"/>
                <w:bCs/>
                <w:iCs/>
                <w:color w:val="000000"/>
                <w:sz w:val="22"/>
                <w:szCs w:val="22"/>
              </w:rPr>
              <w:t xml:space="preserve"> immunoglobulins,</w:t>
            </w:r>
            <w:r w:rsidR="00C9351E">
              <w:rPr>
                <w:rFonts w:eastAsia="Arial" w:cstheme="minorHAnsi"/>
                <w:bCs/>
                <w:iCs/>
                <w:color w:val="000000"/>
                <w:sz w:val="22"/>
                <w:szCs w:val="22"/>
              </w:rPr>
              <w:t xml:space="preserve"> </w:t>
            </w:r>
            <w:r w:rsidR="00202A2F">
              <w:rPr>
                <w:rFonts w:eastAsia="Arial" w:cstheme="minorHAnsi"/>
                <w:bCs/>
                <w:iCs/>
                <w:color w:val="000000"/>
                <w:sz w:val="22"/>
                <w:szCs w:val="22"/>
              </w:rPr>
              <w:t xml:space="preserve">genetic testing, </w:t>
            </w:r>
            <w:proofErr w:type="gramStart"/>
            <w:r w:rsidR="00C9351E">
              <w:rPr>
                <w:rFonts w:eastAsia="Arial" w:cstheme="minorHAnsi"/>
                <w:bCs/>
                <w:iCs/>
                <w:color w:val="000000"/>
                <w:sz w:val="22"/>
                <w:szCs w:val="22"/>
              </w:rPr>
              <w:t xml:space="preserve">and </w:t>
            </w:r>
            <w:r>
              <w:rPr>
                <w:rFonts w:eastAsia="Arial" w:cstheme="minorHAnsi"/>
                <w:bCs/>
                <w:iCs/>
                <w:color w:val="000000"/>
                <w:sz w:val="22"/>
                <w:szCs w:val="22"/>
              </w:rPr>
              <w:t xml:space="preserve"> immune</w:t>
            </w:r>
            <w:proofErr w:type="gramEnd"/>
            <w:r>
              <w:rPr>
                <w:rFonts w:eastAsia="Arial" w:cstheme="minorHAnsi"/>
                <w:bCs/>
                <w:iCs/>
                <w:color w:val="000000"/>
                <w:sz w:val="22"/>
                <w:szCs w:val="22"/>
              </w:rPr>
              <w:t xml:space="preserve"> profiling</w:t>
            </w:r>
            <w:r w:rsidR="00C9351E">
              <w:rPr>
                <w:rFonts w:eastAsia="Arial" w:cstheme="minorHAnsi"/>
                <w:bCs/>
                <w:iCs/>
                <w:color w:val="000000"/>
                <w:sz w:val="22"/>
                <w:szCs w:val="22"/>
              </w:rPr>
              <w:t xml:space="preserve"> (ANA, dsDNA, ANCA, Anti-GBM, membranous </w:t>
            </w:r>
            <w:proofErr w:type="gramStart"/>
            <w:r w:rsidR="00202A2F">
              <w:rPr>
                <w:rFonts w:eastAsia="Arial" w:cstheme="minorHAnsi"/>
                <w:bCs/>
                <w:iCs/>
                <w:color w:val="000000"/>
                <w:sz w:val="22"/>
                <w:szCs w:val="22"/>
              </w:rPr>
              <w:t>auto-</w:t>
            </w:r>
            <w:r w:rsidR="00C9351E">
              <w:rPr>
                <w:rFonts w:eastAsia="Arial" w:cstheme="minorHAnsi"/>
                <w:bCs/>
                <w:iCs/>
                <w:color w:val="000000"/>
                <w:sz w:val="22"/>
                <w:szCs w:val="22"/>
              </w:rPr>
              <w:t>antibodies</w:t>
            </w:r>
            <w:proofErr w:type="gramEnd"/>
            <w:r w:rsidR="00202A2F">
              <w:rPr>
                <w:rFonts w:eastAsia="Arial" w:cstheme="minorHAnsi"/>
                <w:bCs/>
                <w:iCs/>
                <w:color w:val="000000"/>
                <w:sz w:val="22"/>
                <w:szCs w:val="22"/>
              </w:rPr>
              <w:t xml:space="preserve"> such as PLA2R, TSHD7A or a </w:t>
            </w:r>
            <w:proofErr w:type="gramStart"/>
            <w:r w:rsidR="00202A2F">
              <w:rPr>
                <w:rFonts w:eastAsia="Arial" w:cstheme="minorHAnsi"/>
                <w:bCs/>
                <w:iCs/>
                <w:color w:val="000000"/>
                <w:sz w:val="22"/>
                <w:szCs w:val="22"/>
              </w:rPr>
              <w:t xml:space="preserve">suitable </w:t>
            </w:r>
            <w:r w:rsidR="00C9351E">
              <w:rPr>
                <w:rFonts w:eastAsia="Arial" w:cstheme="minorHAnsi"/>
                <w:bCs/>
                <w:iCs/>
                <w:color w:val="000000"/>
                <w:sz w:val="22"/>
                <w:szCs w:val="22"/>
              </w:rPr>
              <w:t xml:space="preserve"> panel</w:t>
            </w:r>
            <w:proofErr w:type="gramEnd"/>
            <w:r w:rsidR="00C9351E">
              <w:rPr>
                <w:rFonts w:eastAsia="Arial" w:cstheme="minorHAnsi"/>
                <w:bCs/>
                <w:iCs/>
                <w:color w:val="000000"/>
                <w:sz w:val="22"/>
                <w:szCs w:val="22"/>
              </w:rPr>
              <w:t>).</w:t>
            </w:r>
            <w:r w:rsidR="00181BAF">
              <w:rPr>
                <w:rFonts w:eastAsia="Arial" w:cstheme="minorHAnsi"/>
                <w:bCs/>
                <w:iCs/>
                <w:color w:val="000000"/>
                <w:sz w:val="22"/>
                <w:szCs w:val="22"/>
              </w:rPr>
              <w:t xml:space="preserve"> Differential diagnoses should also be considered according to the clinical history. </w:t>
            </w:r>
          </w:p>
        </w:tc>
        <w:tc>
          <w:tcPr>
            <w:tcW w:w="1134" w:type="dxa"/>
            <w:tcBorders>
              <w:top w:val="nil"/>
              <w:left w:val="nil"/>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7194ED5E" w14:textId="734DD562" w:rsidR="00732764" w:rsidRPr="00117750" w:rsidRDefault="001630D4" w:rsidP="00D82C4B">
            <w:pPr>
              <w:spacing w:before="240" w:line="360" w:lineRule="auto"/>
              <w:jc w:val="center"/>
              <w:rPr>
                <w:rFonts w:eastAsia="Arial" w:cstheme="minorHAnsi"/>
                <w:b/>
                <w:sz w:val="22"/>
                <w:szCs w:val="22"/>
                <w:lang w:val="en" w:eastAsia="en-GB"/>
              </w:rPr>
            </w:pPr>
            <w:r>
              <w:rPr>
                <w:rFonts w:eastAsia="Arial" w:cstheme="minorHAnsi"/>
                <w:b/>
                <w:sz w:val="22"/>
                <w:szCs w:val="22"/>
                <w:lang w:val="en" w:eastAsia="en-GB"/>
              </w:rPr>
              <w:t>2D</w:t>
            </w:r>
          </w:p>
        </w:tc>
      </w:tr>
      <w:tr w:rsidR="00D82C4B" w14:paraId="4864D960" w14:textId="77777777" w:rsidTr="007F374C">
        <w:trPr>
          <w:trHeight w:val="697"/>
        </w:trPr>
        <w:tc>
          <w:tcPr>
            <w:tcW w:w="10485" w:type="dxa"/>
            <w:gridSpan w:val="3"/>
            <w:tcBorders>
              <w:top w:val="nil"/>
              <w:left w:val="single" w:sz="5" w:space="0" w:color="000000" w:themeColor="text1"/>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14602B2B" w14:textId="036C598D" w:rsidR="00D82C4B" w:rsidRDefault="00D82C4B" w:rsidP="003F494F">
            <w:pPr>
              <w:spacing w:before="240" w:line="360" w:lineRule="auto"/>
              <w:jc w:val="both"/>
              <w:rPr>
                <w:rFonts w:eastAsia="Arial" w:cstheme="minorHAnsi"/>
                <w:b/>
                <w:sz w:val="22"/>
                <w:szCs w:val="22"/>
                <w:lang w:val="en" w:eastAsia="en-GB"/>
              </w:rPr>
            </w:pPr>
            <w:r>
              <w:rPr>
                <w:rFonts w:eastAsia="Arial" w:cstheme="minorHAnsi"/>
                <w:b/>
                <w:sz w:val="22"/>
                <w:szCs w:val="22"/>
                <w:lang w:val="en" w:eastAsia="en-GB"/>
              </w:rPr>
              <w:t>Definitions</w:t>
            </w:r>
          </w:p>
        </w:tc>
      </w:tr>
      <w:tr w:rsidR="00837E18" w14:paraId="5D288801" w14:textId="77777777" w:rsidTr="00D82C4B">
        <w:trPr>
          <w:trHeight w:val="697"/>
        </w:trPr>
        <w:tc>
          <w:tcPr>
            <w:tcW w:w="1155" w:type="dxa"/>
            <w:tcBorders>
              <w:top w:val="nil"/>
              <w:left w:val="single" w:sz="5" w:space="0" w:color="000000" w:themeColor="text1"/>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277DA4D5" w14:textId="027CB58F" w:rsidR="005D1469" w:rsidRPr="00117750" w:rsidRDefault="001630D4" w:rsidP="00D82C4B">
            <w:pPr>
              <w:spacing w:before="240" w:line="360" w:lineRule="auto"/>
              <w:rPr>
                <w:rFonts w:eastAsia="Arial" w:cstheme="minorHAnsi"/>
                <w:sz w:val="22"/>
                <w:szCs w:val="22"/>
                <w:lang w:val="en" w:eastAsia="en-GB"/>
              </w:rPr>
            </w:pPr>
            <w:r>
              <w:rPr>
                <w:rFonts w:eastAsia="Arial" w:cstheme="minorHAnsi"/>
                <w:sz w:val="22"/>
                <w:szCs w:val="22"/>
                <w:lang w:val="en" w:eastAsia="en-GB"/>
              </w:rPr>
              <w:t>General 1.1</w:t>
            </w:r>
          </w:p>
        </w:tc>
        <w:tc>
          <w:tcPr>
            <w:tcW w:w="8196" w:type="dxa"/>
            <w:tcBorders>
              <w:top w:val="nil"/>
              <w:left w:val="nil"/>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1A2948A9" w14:textId="15E30DBE" w:rsidR="005D1469" w:rsidRPr="00732764" w:rsidRDefault="001630D4" w:rsidP="00D82C4B">
            <w:pPr>
              <w:spacing w:before="240" w:line="360" w:lineRule="auto"/>
              <w:jc w:val="both"/>
              <w:rPr>
                <w:rFonts w:eastAsia="Arial" w:cstheme="minorHAnsi"/>
                <w:sz w:val="22"/>
                <w:szCs w:val="22"/>
                <w:lang w:val="en" w:eastAsia="en-GB"/>
              </w:rPr>
            </w:pPr>
            <w:r w:rsidRPr="00732764">
              <w:rPr>
                <w:rFonts w:eastAsia="Arial" w:cstheme="minorHAnsi"/>
                <w:bCs/>
                <w:color w:val="000000"/>
                <w:sz w:val="22"/>
                <w:szCs w:val="22"/>
                <w:u w:val="single"/>
              </w:rPr>
              <w:t>We suggest</w:t>
            </w:r>
            <w:r w:rsidRPr="00C00DD6">
              <w:rPr>
                <w:rFonts w:eastAsia="Arial" w:cstheme="minorHAnsi"/>
                <w:bCs/>
                <w:color w:val="000000"/>
                <w:sz w:val="22"/>
                <w:szCs w:val="22"/>
              </w:rPr>
              <w:t xml:space="preserve"> defining complete </w:t>
            </w:r>
            <w:r w:rsidR="00C0110F" w:rsidRPr="00C00DD6">
              <w:rPr>
                <w:rFonts w:eastAsia="Arial" w:cstheme="minorHAnsi"/>
                <w:bCs/>
                <w:color w:val="000000"/>
                <w:sz w:val="22"/>
                <w:szCs w:val="22"/>
              </w:rPr>
              <w:t>re</w:t>
            </w:r>
            <w:r w:rsidR="00C0110F">
              <w:rPr>
                <w:rFonts w:eastAsia="Arial" w:cstheme="minorHAnsi"/>
                <w:bCs/>
                <w:color w:val="000000"/>
                <w:sz w:val="22"/>
                <w:szCs w:val="22"/>
              </w:rPr>
              <w:t>sponse</w:t>
            </w:r>
            <w:r w:rsidR="00C0110F" w:rsidRPr="00C00DD6">
              <w:rPr>
                <w:rFonts w:eastAsia="Arial" w:cstheme="minorHAnsi"/>
                <w:bCs/>
                <w:color w:val="000000"/>
                <w:sz w:val="22"/>
                <w:szCs w:val="22"/>
              </w:rPr>
              <w:t xml:space="preserve"> </w:t>
            </w:r>
            <w:r w:rsidR="002255F3">
              <w:rPr>
                <w:rFonts w:eastAsia="Arial" w:cstheme="minorHAnsi"/>
                <w:bCs/>
                <w:color w:val="000000"/>
                <w:sz w:val="22"/>
                <w:szCs w:val="22"/>
              </w:rPr>
              <w:t>to treatment for IM-GD</w:t>
            </w:r>
            <w:r w:rsidRPr="00C00DD6">
              <w:rPr>
                <w:rFonts w:eastAsia="Arial" w:cstheme="minorHAnsi"/>
                <w:bCs/>
                <w:color w:val="000000"/>
                <w:sz w:val="22"/>
                <w:szCs w:val="22"/>
              </w:rPr>
              <w:t xml:space="preserve"> </w:t>
            </w:r>
            <w:r w:rsidR="00DF774B">
              <w:rPr>
                <w:rFonts w:eastAsia="Arial" w:cstheme="minorHAnsi"/>
                <w:bCs/>
                <w:color w:val="000000"/>
                <w:sz w:val="22"/>
                <w:szCs w:val="22"/>
              </w:rPr>
              <w:t xml:space="preserve">according to </w:t>
            </w:r>
            <w:r w:rsidR="002255F3">
              <w:rPr>
                <w:rFonts w:eastAsia="Arial" w:cstheme="minorHAnsi"/>
                <w:bCs/>
                <w:color w:val="000000"/>
                <w:sz w:val="22"/>
                <w:szCs w:val="22"/>
              </w:rPr>
              <w:t xml:space="preserve">low or no </w:t>
            </w:r>
            <w:r w:rsidR="00DF774B">
              <w:rPr>
                <w:rFonts w:eastAsia="Arial" w:cstheme="minorHAnsi"/>
                <w:bCs/>
                <w:color w:val="000000"/>
                <w:sz w:val="22"/>
                <w:szCs w:val="22"/>
              </w:rPr>
              <w:t>detectable levels of</w:t>
            </w:r>
            <w:r>
              <w:rPr>
                <w:rFonts w:eastAsia="Arial" w:cstheme="minorHAnsi"/>
                <w:sz w:val="22"/>
                <w:szCs w:val="22"/>
                <w:lang w:val="en" w:eastAsia="en-GB"/>
              </w:rPr>
              <w:t xml:space="preserve"> proteinuria</w:t>
            </w:r>
            <w:r w:rsidRPr="00C00DD6">
              <w:rPr>
                <w:rFonts w:eastAsia="Arial" w:cstheme="minorHAnsi"/>
                <w:bCs/>
                <w:color w:val="000000"/>
                <w:sz w:val="22"/>
                <w:szCs w:val="22"/>
              </w:rPr>
              <w:t xml:space="preserve"> (urine protein/creatinine </w:t>
            </w:r>
            <w:r w:rsidR="0014327C">
              <w:rPr>
                <w:rFonts w:eastAsia="Arial" w:cstheme="minorHAnsi"/>
                <w:bCs/>
                <w:color w:val="000000"/>
                <w:sz w:val="22"/>
                <w:szCs w:val="22"/>
              </w:rPr>
              <w:t>&lt;20</w:t>
            </w:r>
            <w:r w:rsidRPr="00C00DD6">
              <w:rPr>
                <w:rFonts w:eastAsia="Arial" w:cstheme="minorHAnsi"/>
                <w:bCs/>
                <w:color w:val="000000"/>
                <w:sz w:val="22"/>
                <w:szCs w:val="22"/>
              </w:rPr>
              <w:t xml:space="preserve"> mg/m</w:t>
            </w:r>
            <w:r w:rsidR="00202A2F">
              <w:rPr>
                <w:rFonts w:eastAsia="Arial" w:cstheme="minorHAnsi"/>
                <w:bCs/>
                <w:color w:val="000000"/>
                <w:sz w:val="22"/>
                <w:szCs w:val="22"/>
              </w:rPr>
              <w:t>mol</w:t>
            </w:r>
            <w:r w:rsidRPr="00C00DD6">
              <w:rPr>
                <w:rFonts w:eastAsia="Arial" w:cstheme="minorHAnsi"/>
                <w:bCs/>
                <w:color w:val="000000"/>
                <w:sz w:val="22"/>
                <w:szCs w:val="22"/>
              </w:rPr>
              <w:t xml:space="preserve"> on first morning void</w:t>
            </w:r>
            <w:r w:rsidR="002255F3">
              <w:rPr>
                <w:rFonts w:eastAsia="Arial" w:cstheme="minorHAnsi"/>
                <w:bCs/>
                <w:color w:val="000000"/>
                <w:sz w:val="22"/>
                <w:szCs w:val="22"/>
              </w:rPr>
              <w:t>)</w:t>
            </w:r>
            <w:r w:rsidR="00202A2F">
              <w:rPr>
                <w:rFonts w:eastAsia="Arial" w:cstheme="minorHAnsi"/>
                <w:bCs/>
                <w:color w:val="000000"/>
                <w:sz w:val="22"/>
                <w:szCs w:val="22"/>
              </w:rPr>
              <w:t xml:space="preserve">, or stable </w:t>
            </w:r>
            <w:r w:rsidR="00DF774B">
              <w:rPr>
                <w:rFonts w:eastAsia="Arial" w:cstheme="minorHAnsi"/>
                <w:bCs/>
                <w:color w:val="000000"/>
                <w:sz w:val="22"/>
                <w:szCs w:val="22"/>
              </w:rPr>
              <w:t xml:space="preserve">levels of </w:t>
            </w:r>
            <w:r w:rsidR="00202A2F">
              <w:rPr>
                <w:rFonts w:eastAsia="Arial" w:cstheme="minorHAnsi"/>
                <w:bCs/>
                <w:color w:val="000000"/>
                <w:sz w:val="22"/>
                <w:szCs w:val="22"/>
              </w:rPr>
              <w:t>proteinuria if proven to have chronic kidney damage</w:t>
            </w:r>
            <w:r>
              <w:rPr>
                <w:rFonts w:eastAsia="Arial" w:cstheme="minorHAnsi"/>
                <w:bCs/>
                <w:color w:val="000000"/>
                <w:sz w:val="22"/>
                <w:szCs w:val="22"/>
              </w:rPr>
              <w:t xml:space="preserve">, </w:t>
            </w:r>
            <w:r w:rsidR="00C9351E">
              <w:rPr>
                <w:rFonts w:eastAsia="Arial" w:cstheme="minorHAnsi"/>
                <w:bCs/>
                <w:color w:val="000000"/>
                <w:sz w:val="22"/>
                <w:szCs w:val="22"/>
              </w:rPr>
              <w:t>no</w:t>
            </w:r>
            <w:r w:rsidRPr="00C00DD6">
              <w:rPr>
                <w:rFonts w:eastAsia="Arial" w:cstheme="minorHAnsi"/>
                <w:bCs/>
                <w:color w:val="000000"/>
                <w:sz w:val="22"/>
                <w:szCs w:val="22"/>
              </w:rPr>
              <w:t xml:space="preserve"> </w:t>
            </w:r>
            <w:r w:rsidRPr="00C00DD6">
              <w:rPr>
                <w:rFonts w:eastAsia="Arial" w:cstheme="minorHAnsi"/>
                <w:bCs/>
                <w:color w:val="000000"/>
                <w:sz w:val="22"/>
                <w:szCs w:val="22"/>
              </w:rPr>
              <w:lastRenderedPageBreak/>
              <w:t>h</w:t>
            </w:r>
            <w:r w:rsidR="00D20CBA">
              <w:rPr>
                <w:rFonts w:eastAsia="Arial" w:cstheme="minorHAnsi"/>
                <w:bCs/>
                <w:color w:val="000000"/>
                <w:sz w:val="22"/>
                <w:szCs w:val="22"/>
              </w:rPr>
              <w:t>a</w:t>
            </w:r>
            <w:r w:rsidRPr="00C00DD6">
              <w:rPr>
                <w:rFonts w:eastAsia="Arial" w:cstheme="minorHAnsi"/>
                <w:bCs/>
                <w:color w:val="000000"/>
                <w:sz w:val="22"/>
                <w:szCs w:val="22"/>
              </w:rPr>
              <w:t>ematuria (negative dipstick for blood and/or &lt;5 red blood cells/high-power microscopic field</w:t>
            </w:r>
            <w:r w:rsidR="002255F3">
              <w:rPr>
                <w:rFonts w:eastAsia="Arial" w:cstheme="minorHAnsi"/>
                <w:bCs/>
                <w:color w:val="000000"/>
                <w:sz w:val="22"/>
                <w:szCs w:val="22"/>
              </w:rPr>
              <w:t xml:space="preserve">) </w:t>
            </w:r>
            <w:r w:rsidR="00202A2F">
              <w:rPr>
                <w:rFonts w:eastAsia="Arial" w:cstheme="minorHAnsi"/>
                <w:bCs/>
                <w:color w:val="000000"/>
                <w:sz w:val="22"/>
                <w:szCs w:val="22"/>
              </w:rPr>
              <w:t xml:space="preserve"> </w:t>
            </w:r>
            <w:r>
              <w:rPr>
                <w:rFonts w:eastAsia="Arial" w:cstheme="minorHAnsi"/>
                <w:bCs/>
                <w:color w:val="000000"/>
                <w:sz w:val="22"/>
                <w:szCs w:val="22"/>
              </w:rPr>
              <w:t>and</w:t>
            </w:r>
            <w:r w:rsidRPr="00C00DD6">
              <w:rPr>
                <w:rFonts w:eastAsia="Arial" w:cstheme="minorHAnsi"/>
                <w:bCs/>
                <w:color w:val="000000"/>
                <w:sz w:val="22"/>
                <w:szCs w:val="22"/>
              </w:rPr>
              <w:t xml:space="preserve"> </w:t>
            </w:r>
            <w:r w:rsidR="00202A2F">
              <w:rPr>
                <w:rFonts w:eastAsia="Arial" w:cstheme="minorHAnsi"/>
                <w:bCs/>
                <w:color w:val="000000"/>
                <w:sz w:val="22"/>
                <w:szCs w:val="22"/>
              </w:rPr>
              <w:t>stable</w:t>
            </w:r>
            <w:r w:rsidR="00202A2F" w:rsidRPr="00C00DD6">
              <w:rPr>
                <w:rFonts w:eastAsia="Arial" w:cstheme="minorHAnsi"/>
                <w:bCs/>
                <w:color w:val="000000"/>
                <w:sz w:val="22"/>
                <w:szCs w:val="22"/>
              </w:rPr>
              <w:t xml:space="preserve"> </w:t>
            </w:r>
            <w:r w:rsidR="002255F3">
              <w:rPr>
                <w:rFonts w:eastAsia="Arial" w:cstheme="minorHAnsi"/>
                <w:bCs/>
                <w:color w:val="000000"/>
                <w:sz w:val="22"/>
                <w:szCs w:val="22"/>
              </w:rPr>
              <w:t xml:space="preserve">(no worse than 15% from baseline if related to chronic changes) or normal </w:t>
            </w:r>
            <w:r w:rsidRPr="00C00DD6">
              <w:rPr>
                <w:rFonts w:eastAsia="Arial" w:cstheme="minorHAnsi"/>
                <w:bCs/>
                <w:color w:val="000000"/>
                <w:sz w:val="22"/>
                <w:szCs w:val="22"/>
              </w:rPr>
              <w:t>eGFR</w:t>
            </w:r>
            <w:r>
              <w:rPr>
                <w:rFonts w:eastAsia="Arial" w:cstheme="minorHAnsi"/>
                <w:bCs/>
                <w:color w:val="000000"/>
                <w:sz w:val="22"/>
                <w:szCs w:val="22"/>
              </w:rPr>
              <w:t xml:space="preserve"> (</w:t>
            </w:r>
            <w:r>
              <w:rPr>
                <w:rFonts w:eastAsia="Arial" w:cstheme="minorHAnsi"/>
                <w:sz w:val="22"/>
                <w:szCs w:val="22"/>
                <w:lang w:val="en" w:eastAsia="en-GB"/>
              </w:rPr>
              <w:t>&gt;90 ml/min/m</w:t>
            </w:r>
            <w:r w:rsidRPr="00732764">
              <w:rPr>
                <w:rFonts w:eastAsia="Arial" w:cstheme="minorHAnsi"/>
                <w:sz w:val="22"/>
                <w:szCs w:val="22"/>
                <w:vertAlign w:val="superscript"/>
                <w:lang w:val="en" w:eastAsia="en-GB"/>
              </w:rPr>
              <w:t>2</w:t>
            </w:r>
            <w:r>
              <w:rPr>
                <w:rFonts w:eastAsia="Arial" w:cstheme="minorHAnsi"/>
                <w:sz w:val="22"/>
                <w:szCs w:val="22"/>
                <w:lang w:val="en" w:eastAsia="en-GB"/>
              </w:rPr>
              <w:t>).</w:t>
            </w:r>
            <w:r w:rsidR="00C9351E">
              <w:rPr>
                <w:rFonts w:eastAsia="Arial" w:cstheme="minorHAnsi"/>
                <w:sz w:val="22"/>
                <w:szCs w:val="22"/>
                <w:lang w:val="en" w:eastAsia="en-GB"/>
              </w:rPr>
              <w:t xml:space="preserve"> </w:t>
            </w:r>
          </w:p>
        </w:tc>
        <w:tc>
          <w:tcPr>
            <w:tcW w:w="1134" w:type="dxa"/>
            <w:tcBorders>
              <w:top w:val="nil"/>
              <w:left w:val="nil"/>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3CD54799" w14:textId="4B2FD753" w:rsidR="005D1469" w:rsidRPr="00117750" w:rsidRDefault="001630D4" w:rsidP="00D82C4B">
            <w:pPr>
              <w:spacing w:before="240" w:line="360" w:lineRule="auto"/>
              <w:jc w:val="center"/>
              <w:rPr>
                <w:rFonts w:eastAsia="Arial" w:cstheme="minorHAnsi"/>
                <w:b/>
                <w:sz w:val="22"/>
                <w:szCs w:val="22"/>
                <w:lang w:val="en" w:eastAsia="en-GB"/>
              </w:rPr>
            </w:pPr>
            <w:r>
              <w:rPr>
                <w:rFonts w:eastAsia="Arial" w:cstheme="minorHAnsi"/>
                <w:b/>
                <w:sz w:val="22"/>
                <w:szCs w:val="22"/>
                <w:lang w:val="en" w:eastAsia="en-GB"/>
              </w:rPr>
              <w:lastRenderedPageBreak/>
              <w:t>2C</w:t>
            </w:r>
          </w:p>
        </w:tc>
      </w:tr>
      <w:tr w:rsidR="00D82C4B" w14:paraId="0200E966" w14:textId="77777777" w:rsidTr="00032159">
        <w:trPr>
          <w:trHeight w:val="697"/>
        </w:trPr>
        <w:tc>
          <w:tcPr>
            <w:tcW w:w="10485" w:type="dxa"/>
            <w:gridSpan w:val="3"/>
            <w:tcBorders>
              <w:top w:val="nil"/>
              <w:left w:val="single" w:sz="5" w:space="0" w:color="000000" w:themeColor="text1"/>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3D8A6992" w14:textId="1EA46B38" w:rsidR="00D82C4B" w:rsidRDefault="00D82C4B" w:rsidP="003F494F">
            <w:pPr>
              <w:spacing w:before="240" w:line="360" w:lineRule="auto"/>
              <w:jc w:val="both"/>
              <w:rPr>
                <w:rFonts w:eastAsia="Arial" w:cstheme="minorHAnsi"/>
                <w:b/>
                <w:sz w:val="22"/>
                <w:szCs w:val="22"/>
                <w:lang w:val="en" w:eastAsia="en-GB"/>
              </w:rPr>
            </w:pPr>
            <w:r>
              <w:rPr>
                <w:rFonts w:eastAsia="Arial" w:cstheme="minorHAnsi"/>
                <w:b/>
                <w:sz w:val="22"/>
                <w:szCs w:val="22"/>
                <w:lang w:val="en" w:eastAsia="en-GB"/>
              </w:rPr>
              <w:t xml:space="preserve">Management strategy </w:t>
            </w:r>
          </w:p>
        </w:tc>
      </w:tr>
      <w:tr w:rsidR="00837E18" w14:paraId="0397C045" w14:textId="77777777" w:rsidTr="00D82C4B">
        <w:trPr>
          <w:trHeight w:val="697"/>
        </w:trPr>
        <w:tc>
          <w:tcPr>
            <w:tcW w:w="1155" w:type="dxa"/>
            <w:tcBorders>
              <w:top w:val="nil"/>
              <w:left w:val="single" w:sz="5" w:space="0" w:color="000000" w:themeColor="text1"/>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41857DF1" w14:textId="6AE89015" w:rsidR="00C9351E" w:rsidRDefault="001630D4" w:rsidP="007A1513">
            <w:pPr>
              <w:spacing w:before="240" w:line="360" w:lineRule="auto"/>
              <w:rPr>
                <w:rFonts w:eastAsia="Arial" w:cstheme="minorHAnsi"/>
                <w:sz w:val="22"/>
                <w:szCs w:val="22"/>
                <w:lang w:val="en" w:eastAsia="en-GB"/>
              </w:rPr>
            </w:pPr>
            <w:r>
              <w:rPr>
                <w:rFonts w:eastAsia="Arial" w:cstheme="minorHAnsi"/>
                <w:sz w:val="22"/>
                <w:szCs w:val="22"/>
                <w:lang w:val="en" w:eastAsia="en-GB"/>
              </w:rPr>
              <w:t>General 1.2</w:t>
            </w:r>
          </w:p>
        </w:tc>
        <w:tc>
          <w:tcPr>
            <w:tcW w:w="8196" w:type="dxa"/>
            <w:tcBorders>
              <w:top w:val="nil"/>
              <w:left w:val="nil"/>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393D5FCB" w14:textId="5E4D373A" w:rsidR="00C9351E" w:rsidRDefault="001630D4" w:rsidP="007A1513">
            <w:pPr>
              <w:spacing w:before="240" w:line="360" w:lineRule="auto"/>
              <w:jc w:val="both"/>
              <w:rPr>
                <w:rFonts w:eastAsia="Arial" w:cstheme="minorHAnsi"/>
                <w:sz w:val="22"/>
                <w:szCs w:val="22"/>
                <w:lang w:val="en" w:eastAsia="en-GB"/>
              </w:rPr>
            </w:pPr>
            <w:r w:rsidRPr="00732764">
              <w:rPr>
                <w:rFonts w:eastAsia="Arial" w:cstheme="minorHAnsi"/>
                <w:sz w:val="22"/>
                <w:szCs w:val="22"/>
                <w:u w:val="single"/>
                <w:lang w:val="en" w:eastAsia="en-GB"/>
              </w:rPr>
              <w:t>We recommend</w:t>
            </w:r>
            <w:r>
              <w:rPr>
                <w:rFonts w:eastAsia="Arial" w:cstheme="minorHAnsi"/>
                <w:sz w:val="22"/>
                <w:szCs w:val="22"/>
                <w:lang w:val="en" w:eastAsia="en-GB"/>
              </w:rPr>
              <w:t xml:space="preserve"> that the treatment goal should be to achieve complete remission in children and young people with acute onset </w:t>
            </w:r>
            <w:r w:rsidR="002A4060">
              <w:rPr>
                <w:rFonts w:eastAsia="Arial" w:cstheme="minorHAnsi"/>
                <w:sz w:val="22"/>
                <w:szCs w:val="22"/>
                <w:lang w:val="en" w:eastAsia="en-GB"/>
              </w:rPr>
              <w:t>IM-GD</w:t>
            </w:r>
            <w:r>
              <w:rPr>
                <w:rFonts w:eastAsia="Arial" w:cstheme="minorHAnsi"/>
                <w:sz w:val="22"/>
                <w:szCs w:val="22"/>
                <w:lang w:val="en" w:eastAsia="en-GB"/>
              </w:rPr>
              <w:t>.</w:t>
            </w:r>
          </w:p>
        </w:tc>
        <w:tc>
          <w:tcPr>
            <w:tcW w:w="1134" w:type="dxa"/>
            <w:tcBorders>
              <w:top w:val="nil"/>
              <w:left w:val="nil"/>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0290AF0A" w14:textId="36673460" w:rsidR="00C9351E" w:rsidRDefault="001630D4" w:rsidP="007A1513">
            <w:pPr>
              <w:spacing w:before="240" w:line="360" w:lineRule="auto"/>
              <w:jc w:val="center"/>
              <w:rPr>
                <w:rFonts w:eastAsia="Arial" w:cstheme="minorHAnsi"/>
                <w:b/>
                <w:sz w:val="22"/>
                <w:szCs w:val="22"/>
                <w:lang w:val="en" w:eastAsia="en-GB"/>
              </w:rPr>
            </w:pPr>
            <w:r>
              <w:rPr>
                <w:rFonts w:eastAsia="Arial" w:cstheme="minorHAnsi"/>
                <w:b/>
                <w:sz w:val="22"/>
                <w:szCs w:val="22"/>
                <w:lang w:val="en" w:eastAsia="en-GB"/>
              </w:rPr>
              <w:t>1C</w:t>
            </w:r>
          </w:p>
        </w:tc>
      </w:tr>
      <w:tr w:rsidR="007A1513" w14:paraId="4F51F05E" w14:textId="77777777" w:rsidTr="00D82C4B">
        <w:trPr>
          <w:trHeight w:val="697"/>
        </w:trPr>
        <w:tc>
          <w:tcPr>
            <w:tcW w:w="1155" w:type="dxa"/>
            <w:tcBorders>
              <w:top w:val="nil"/>
              <w:left w:val="single" w:sz="5" w:space="0" w:color="000000" w:themeColor="text1"/>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5CDFFE4A" w14:textId="105CB6C1" w:rsidR="007A1513" w:rsidRDefault="007A1513" w:rsidP="007A1513">
            <w:pPr>
              <w:spacing w:before="240" w:line="360" w:lineRule="auto"/>
              <w:rPr>
                <w:rFonts w:eastAsia="Arial" w:cstheme="minorHAnsi"/>
                <w:sz w:val="22"/>
                <w:szCs w:val="22"/>
                <w:lang w:val="en" w:eastAsia="en-GB"/>
              </w:rPr>
            </w:pPr>
            <w:r>
              <w:rPr>
                <w:rFonts w:eastAsia="Arial" w:cstheme="minorHAnsi"/>
                <w:sz w:val="22"/>
                <w:szCs w:val="22"/>
                <w:lang w:val="en" w:eastAsia="en-GB"/>
              </w:rPr>
              <w:t>General 1.3</w:t>
            </w:r>
          </w:p>
        </w:tc>
        <w:tc>
          <w:tcPr>
            <w:tcW w:w="8196" w:type="dxa"/>
            <w:tcBorders>
              <w:top w:val="nil"/>
              <w:left w:val="nil"/>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182B40D7" w14:textId="5679A2F3" w:rsidR="007A1513" w:rsidRPr="003F494F" w:rsidRDefault="007A1513" w:rsidP="003F494F">
            <w:pPr>
              <w:pStyle w:val="NoSpacing"/>
              <w:spacing w:line="360" w:lineRule="auto"/>
              <w:rPr>
                <w:rFonts w:cstheme="minorHAnsi"/>
                <w:bCs/>
              </w:rPr>
            </w:pPr>
            <w:r w:rsidRPr="003F494F">
              <w:rPr>
                <w:rFonts w:cstheme="minorHAnsi"/>
                <w:bCs/>
                <w:u w:val="single"/>
              </w:rPr>
              <w:t>We suggest</w:t>
            </w:r>
            <w:r>
              <w:rPr>
                <w:rFonts w:cstheme="minorHAnsi"/>
                <w:bCs/>
              </w:rPr>
              <w:t xml:space="preserve"> a m</w:t>
            </w:r>
            <w:r w:rsidRPr="00117750">
              <w:rPr>
                <w:rFonts w:cstheme="minorHAnsi"/>
                <w:bCs/>
              </w:rPr>
              <w:t xml:space="preserve">aximum dose </w:t>
            </w:r>
            <w:r>
              <w:rPr>
                <w:rFonts w:cstheme="minorHAnsi"/>
                <w:bCs/>
              </w:rPr>
              <w:t>of</w:t>
            </w:r>
            <w:r w:rsidRPr="00117750">
              <w:rPr>
                <w:rFonts w:cstheme="minorHAnsi"/>
                <w:bCs/>
              </w:rPr>
              <w:t xml:space="preserve"> </w:t>
            </w:r>
            <w:r>
              <w:rPr>
                <w:rFonts w:cstheme="minorHAnsi"/>
                <w:bCs/>
              </w:rPr>
              <w:t>intravenous</w:t>
            </w:r>
            <w:r w:rsidRPr="00117750">
              <w:rPr>
                <w:rFonts w:cstheme="minorHAnsi"/>
                <w:bCs/>
              </w:rPr>
              <w:t xml:space="preserve"> methylprednisolone </w:t>
            </w:r>
            <w:r>
              <w:rPr>
                <w:rFonts w:cstheme="minorHAnsi"/>
                <w:bCs/>
              </w:rPr>
              <w:t xml:space="preserve">at </w:t>
            </w:r>
            <w:r w:rsidRPr="00117750">
              <w:rPr>
                <w:rFonts w:cstheme="minorHAnsi"/>
                <w:bCs/>
              </w:rPr>
              <w:t xml:space="preserve">500mg for 3 days </w:t>
            </w:r>
            <w:r>
              <w:rPr>
                <w:rFonts w:cstheme="minorHAnsi"/>
                <w:bCs/>
              </w:rPr>
              <w:t xml:space="preserve">for routine use, to be </w:t>
            </w:r>
            <w:r w:rsidRPr="00117750">
              <w:rPr>
                <w:rFonts w:cstheme="minorHAnsi"/>
                <w:bCs/>
              </w:rPr>
              <w:t xml:space="preserve">aligned with </w:t>
            </w:r>
            <w:r>
              <w:rPr>
                <w:rFonts w:cstheme="minorHAnsi"/>
                <w:bCs/>
              </w:rPr>
              <w:t xml:space="preserve">the maximum dose used for </w:t>
            </w:r>
            <w:r w:rsidRPr="00117750">
              <w:rPr>
                <w:rFonts w:cstheme="minorHAnsi"/>
                <w:bCs/>
              </w:rPr>
              <w:t xml:space="preserve">adult </w:t>
            </w:r>
            <w:r>
              <w:rPr>
                <w:rFonts w:cstheme="minorHAnsi"/>
                <w:bCs/>
              </w:rPr>
              <w:t>patients.</w:t>
            </w:r>
          </w:p>
        </w:tc>
        <w:tc>
          <w:tcPr>
            <w:tcW w:w="1134" w:type="dxa"/>
            <w:tcBorders>
              <w:top w:val="nil"/>
              <w:left w:val="nil"/>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4E63376B" w14:textId="711DF0F2" w:rsidR="007A1513" w:rsidRDefault="002255F3" w:rsidP="007A1513">
            <w:pPr>
              <w:spacing w:before="240" w:line="360" w:lineRule="auto"/>
              <w:jc w:val="center"/>
              <w:rPr>
                <w:rFonts w:eastAsia="Arial" w:cstheme="minorHAnsi"/>
                <w:b/>
                <w:sz w:val="22"/>
                <w:szCs w:val="22"/>
                <w:lang w:val="en" w:eastAsia="en-GB"/>
              </w:rPr>
            </w:pPr>
            <w:r>
              <w:rPr>
                <w:rFonts w:eastAsia="Arial" w:cstheme="minorHAnsi"/>
                <w:b/>
                <w:sz w:val="22"/>
                <w:szCs w:val="22"/>
                <w:lang w:val="en" w:eastAsia="en-GB"/>
              </w:rPr>
              <w:t>2C</w:t>
            </w:r>
          </w:p>
        </w:tc>
      </w:tr>
      <w:tr w:rsidR="00837E18" w14:paraId="4212E237" w14:textId="77777777" w:rsidTr="00D82C4B">
        <w:trPr>
          <w:trHeight w:val="697"/>
        </w:trPr>
        <w:tc>
          <w:tcPr>
            <w:tcW w:w="1155" w:type="dxa"/>
            <w:tcBorders>
              <w:top w:val="nil"/>
              <w:left w:val="single" w:sz="5" w:space="0" w:color="000000" w:themeColor="text1"/>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608E01D8" w14:textId="534C8FF3" w:rsidR="00C9351E" w:rsidRDefault="001630D4" w:rsidP="003F494F">
            <w:pPr>
              <w:spacing w:before="240" w:line="360" w:lineRule="auto"/>
              <w:rPr>
                <w:rFonts w:eastAsia="Arial" w:cstheme="minorHAnsi"/>
                <w:sz w:val="22"/>
                <w:szCs w:val="22"/>
                <w:lang w:val="en" w:eastAsia="en-GB"/>
              </w:rPr>
            </w:pPr>
            <w:r>
              <w:rPr>
                <w:rFonts w:eastAsia="Arial" w:cstheme="minorHAnsi"/>
                <w:sz w:val="22"/>
                <w:szCs w:val="22"/>
                <w:lang w:val="en" w:eastAsia="en-GB"/>
              </w:rPr>
              <w:t>General 1.</w:t>
            </w:r>
            <w:r w:rsidR="007A1513">
              <w:rPr>
                <w:rFonts w:eastAsia="Arial" w:cstheme="minorHAnsi"/>
                <w:sz w:val="22"/>
                <w:szCs w:val="22"/>
                <w:lang w:val="en" w:eastAsia="en-GB"/>
              </w:rPr>
              <w:t>4</w:t>
            </w:r>
          </w:p>
        </w:tc>
        <w:tc>
          <w:tcPr>
            <w:tcW w:w="8196" w:type="dxa"/>
            <w:tcBorders>
              <w:top w:val="nil"/>
              <w:left w:val="nil"/>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42E9B6E1" w14:textId="6A792329" w:rsidR="00C9351E" w:rsidRPr="00732764" w:rsidRDefault="001630D4" w:rsidP="003F494F">
            <w:pPr>
              <w:spacing w:before="240" w:line="360" w:lineRule="auto"/>
              <w:jc w:val="both"/>
              <w:rPr>
                <w:rFonts w:eastAsia="Arial" w:cstheme="minorHAnsi"/>
                <w:bCs/>
                <w:color w:val="000000"/>
                <w:sz w:val="22"/>
                <w:szCs w:val="22"/>
                <w:u w:val="single"/>
              </w:rPr>
            </w:pPr>
            <w:r w:rsidRPr="00C9351E">
              <w:rPr>
                <w:rFonts w:eastAsia="Arial" w:cstheme="minorHAnsi"/>
                <w:sz w:val="22"/>
                <w:szCs w:val="22"/>
                <w:u w:val="single"/>
                <w:lang w:val="en" w:eastAsia="en-GB"/>
              </w:rPr>
              <w:t>We suggest</w:t>
            </w:r>
            <w:r>
              <w:rPr>
                <w:rFonts w:eastAsia="Arial" w:cstheme="minorHAnsi"/>
                <w:sz w:val="22"/>
                <w:szCs w:val="22"/>
                <w:lang w:val="en" w:eastAsia="en-GB"/>
              </w:rPr>
              <w:t xml:space="preserve"> that in cases of </w:t>
            </w:r>
            <w:r w:rsidR="002A4060">
              <w:rPr>
                <w:rFonts w:eastAsia="Arial" w:cstheme="minorHAnsi"/>
                <w:sz w:val="22"/>
                <w:szCs w:val="22"/>
                <w:lang w:val="en" w:eastAsia="en-GB"/>
              </w:rPr>
              <w:t>IM-GD</w:t>
            </w:r>
            <w:r>
              <w:rPr>
                <w:rFonts w:eastAsia="Arial" w:cstheme="minorHAnsi"/>
                <w:sz w:val="22"/>
                <w:szCs w:val="22"/>
                <w:lang w:val="en" w:eastAsia="en-GB"/>
              </w:rPr>
              <w:t xml:space="preserve"> with histological evidence of chronic damage complete </w:t>
            </w:r>
            <w:r w:rsidR="009B3C16">
              <w:rPr>
                <w:rFonts w:eastAsia="Arial" w:cstheme="minorHAnsi"/>
                <w:sz w:val="22"/>
                <w:szCs w:val="22"/>
                <w:lang w:val="en" w:eastAsia="en-GB"/>
              </w:rPr>
              <w:t xml:space="preserve">response </w:t>
            </w:r>
            <w:r>
              <w:rPr>
                <w:rFonts w:eastAsia="Arial" w:cstheme="minorHAnsi"/>
                <w:sz w:val="22"/>
                <w:szCs w:val="22"/>
                <w:lang w:val="en" w:eastAsia="en-GB"/>
              </w:rPr>
              <w:t xml:space="preserve">may be an unrealistic goal when the aim should be to achieve nephroprotection by reduction of residual proteinuria and maintaining a </w:t>
            </w:r>
            <w:r>
              <w:rPr>
                <w:rFonts w:eastAsia="Arial" w:cstheme="minorHAnsi"/>
                <w:bCs/>
                <w:color w:val="000000"/>
                <w:sz w:val="22"/>
                <w:szCs w:val="22"/>
              </w:rPr>
              <w:t>stable eGFR.</w:t>
            </w:r>
          </w:p>
        </w:tc>
        <w:tc>
          <w:tcPr>
            <w:tcW w:w="1134" w:type="dxa"/>
            <w:tcBorders>
              <w:top w:val="nil"/>
              <w:left w:val="nil"/>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1B19A670" w14:textId="228F7662" w:rsidR="00C9351E" w:rsidRDefault="001630D4" w:rsidP="003F494F">
            <w:pPr>
              <w:spacing w:before="240" w:line="360" w:lineRule="auto"/>
              <w:jc w:val="center"/>
              <w:rPr>
                <w:rFonts w:eastAsia="Arial" w:cstheme="minorHAnsi"/>
                <w:b/>
                <w:sz w:val="22"/>
                <w:szCs w:val="22"/>
                <w:lang w:val="en" w:eastAsia="en-GB"/>
              </w:rPr>
            </w:pPr>
            <w:r>
              <w:rPr>
                <w:rFonts w:eastAsia="Arial" w:cstheme="minorHAnsi"/>
                <w:b/>
                <w:sz w:val="22"/>
                <w:szCs w:val="22"/>
                <w:lang w:val="en" w:eastAsia="en-GB"/>
              </w:rPr>
              <w:t>2C</w:t>
            </w:r>
          </w:p>
        </w:tc>
      </w:tr>
      <w:tr w:rsidR="00837E18" w14:paraId="67B52BAD" w14:textId="77777777" w:rsidTr="00D82C4B">
        <w:trPr>
          <w:trHeight w:val="697"/>
        </w:trPr>
        <w:tc>
          <w:tcPr>
            <w:tcW w:w="1155" w:type="dxa"/>
            <w:tcBorders>
              <w:top w:val="nil"/>
              <w:left w:val="single" w:sz="5" w:space="0" w:color="000000" w:themeColor="text1"/>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287E4DDA" w14:textId="4446DC52" w:rsidR="00D20CBA" w:rsidRDefault="001630D4" w:rsidP="003F494F">
            <w:pPr>
              <w:spacing w:before="240" w:line="360" w:lineRule="auto"/>
              <w:rPr>
                <w:rFonts w:eastAsia="Arial" w:cstheme="minorHAnsi"/>
                <w:sz w:val="22"/>
                <w:szCs w:val="22"/>
                <w:lang w:val="en" w:eastAsia="en-GB"/>
              </w:rPr>
            </w:pPr>
            <w:r>
              <w:rPr>
                <w:rFonts w:eastAsia="Arial" w:cstheme="minorHAnsi"/>
                <w:sz w:val="22"/>
                <w:szCs w:val="22"/>
                <w:lang w:val="en" w:eastAsia="en-GB"/>
              </w:rPr>
              <w:t>General 1.</w:t>
            </w:r>
            <w:r w:rsidR="007A1513">
              <w:rPr>
                <w:rFonts w:eastAsia="Arial" w:cstheme="minorHAnsi"/>
                <w:sz w:val="22"/>
                <w:szCs w:val="22"/>
                <w:lang w:val="en" w:eastAsia="en-GB"/>
              </w:rPr>
              <w:t>5</w:t>
            </w:r>
          </w:p>
        </w:tc>
        <w:tc>
          <w:tcPr>
            <w:tcW w:w="8196" w:type="dxa"/>
            <w:tcBorders>
              <w:top w:val="nil"/>
              <w:left w:val="nil"/>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107D64DD" w14:textId="5C3E9437" w:rsidR="00D20CBA" w:rsidRPr="00D20CBA" w:rsidRDefault="74A0DB8C" w:rsidP="003F494F">
            <w:pPr>
              <w:spacing w:before="240" w:line="360" w:lineRule="auto"/>
              <w:jc w:val="both"/>
              <w:rPr>
                <w:rFonts w:eastAsia="Arial"/>
                <w:sz w:val="22"/>
                <w:szCs w:val="22"/>
                <w:lang w:val="en-US" w:eastAsia="en-GB"/>
              </w:rPr>
            </w:pPr>
            <w:r w:rsidRPr="102F4F22">
              <w:rPr>
                <w:rFonts w:eastAsia="Arial"/>
                <w:sz w:val="22"/>
                <w:szCs w:val="22"/>
                <w:u w:val="single"/>
                <w:lang w:val="en-US" w:eastAsia="en-GB"/>
              </w:rPr>
              <w:t>We</w:t>
            </w:r>
            <w:r w:rsidR="15B50CEB" w:rsidRPr="102F4F22">
              <w:rPr>
                <w:rFonts w:eastAsia="Arial"/>
                <w:sz w:val="22"/>
                <w:szCs w:val="22"/>
                <w:u w:val="single"/>
                <w:lang w:val="en-US" w:eastAsia="en-GB"/>
              </w:rPr>
              <w:t xml:space="preserve"> </w:t>
            </w:r>
            <w:proofErr w:type="gramStart"/>
            <w:r w:rsidRPr="102F4F22">
              <w:rPr>
                <w:rFonts w:eastAsia="Arial"/>
                <w:sz w:val="22"/>
                <w:szCs w:val="22"/>
                <w:u w:val="single"/>
                <w:lang w:val="en-US" w:eastAsia="en-GB"/>
              </w:rPr>
              <w:t>suggest</w:t>
            </w:r>
            <w:r w:rsidRPr="102F4F22">
              <w:rPr>
                <w:rFonts w:eastAsia="Arial"/>
                <w:sz w:val="22"/>
                <w:szCs w:val="22"/>
                <w:lang w:val="en-US" w:eastAsia="en-GB"/>
              </w:rPr>
              <w:t xml:space="preserve"> the use</w:t>
            </w:r>
            <w:proofErr w:type="gramEnd"/>
            <w:r w:rsidRPr="102F4F22">
              <w:rPr>
                <w:rFonts w:eastAsia="Arial"/>
                <w:sz w:val="22"/>
                <w:szCs w:val="22"/>
                <w:lang w:val="en-US" w:eastAsia="en-GB"/>
              </w:rPr>
              <w:t xml:space="preserve"> intravenous cyclophosphamide or high dose </w:t>
            </w:r>
            <w:r w:rsidR="00C0110F">
              <w:rPr>
                <w:rFonts w:eastAsia="Arial"/>
                <w:sz w:val="22"/>
                <w:szCs w:val="22"/>
                <w:lang w:val="en-US" w:eastAsia="en-GB"/>
              </w:rPr>
              <w:t>mycophenolate mofetil (</w:t>
            </w:r>
            <w:r w:rsidRPr="102F4F22">
              <w:rPr>
                <w:rFonts w:eastAsia="Arial"/>
                <w:sz w:val="22"/>
                <w:szCs w:val="22"/>
                <w:lang w:val="en-US" w:eastAsia="en-GB"/>
              </w:rPr>
              <w:t>MMF</w:t>
            </w:r>
            <w:proofErr w:type="gramStart"/>
            <w:r w:rsidR="00C0110F">
              <w:rPr>
                <w:rFonts w:eastAsia="Arial"/>
                <w:sz w:val="22"/>
                <w:szCs w:val="22"/>
                <w:lang w:val="en-US" w:eastAsia="en-GB"/>
              </w:rPr>
              <w:t>)</w:t>
            </w:r>
            <w:r w:rsidRPr="102F4F22">
              <w:rPr>
                <w:rFonts w:eastAsia="Arial"/>
                <w:sz w:val="22"/>
                <w:szCs w:val="22"/>
                <w:lang w:val="en-US" w:eastAsia="en-GB"/>
              </w:rPr>
              <w:t xml:space="preserve"> </w:t>
            </w:r>
            <w:r w:rsidR="00D87215">
              <w:rPr>
                <w:rFonts w:eastAsia="Arial"/>
                <w:sz w:val="22"/>
                <w:szCs w:val="22"/>
                <w:lang w:val="en-US" w:eastAsia="en-GB"/>
              </w:rPr>
              <w:t>,</w:t>
            </w:r>
            <w:proofErr w:type="gramEnd"/>
            <w:r w:rsidR="00D87215">
              <w:rPr>
                <w:rFonts w:eastAsia="Arial"/>
                <w:sz w:val="22"/>
                <w:szCs w:val="22"/>
                <w:lang w:val="en-US" w:eastAsia="en-GB"/>
              </w:rPr>
              <w:t xml:space="preserve"> </w:t>
            </w:r>
            <w:r w:rsidRPr="102F4F22">
              <w:rPr>
                <w:rFonts w:eastAsia="Arial"/>
                <w:sz w:val="22"/>
                <w:szCs w:val="22"/>
                <w:lang w:val="en-US" w:eastAsia="en-GB"/>
              </w:rPr>
              <w:t>together with</w:t>
            </w:r>
            <w:r w:rsidR="00C0110F" w:rsidRPr="102F4F22">
              <w:rPr>
                <w:rFonts w:eastAsia="Arial"/>
                <w:sz w:val="22"/>
                <w:szCs w:val="22"/>
                <w:lang w:val="en-US" w:eastAsia="en-GB"/>
              </w:rPr>
              <w:t xml:space="preserve"> intravenous methylprednisolone, and </w:t>
            </w:r>
            <w:r w:rsidRPr="102F4F22">
              <w:rPr>
                <w:rFonts w:eastAsia="Arial"/>
                <w:sz w:val="22"/>
                <w:szCs w:val="22"/>
                <w:lang w:val="en-US" w:eastAsia="en-GB"/>
              </w:rPr>
              <w:t xml:space="preserve">consideration of </w:t>
            </w:r>
            <w:r w:rsidR="00C0110F">
              <w:rPr>
                <w:rFonts w:eastAsia="Arial"/>
                <w:sz w:val="22"/>
                <w:szCs w:val="22"/>
                <w:lang w:val="en-US" w:eastAsia="en-GB"/>
              </w:rPr>
              <w:t xml:space="preserve">additional </w:t>
            </w:r>
            <w:r w:rsidRPr="102F4F22">
              <w:rPr>
                <w:rFonts w:eastAsia="Arial"/>
                <w:sz w:val="22"/>
                <w:szCs w:val="22"/>
                <w:lang w:val="en-US" w:eastAsia="en-GB"/>
              </w:rPr>
              <w:t xml:space="preserve">rituximab in children with </w:t>
            </w:r>
            <w:r w:rsidR="002A4060">
              <w:rPr>
                <w:rFonts w:eastAsia="Arial"/>
                <w:sz w:val="22"/>
                <w:szCs w:val="22"/>
                <w:lang w:val="en-US" w:eastAsia="en-GB"/>
              </w:rPr>
              <w:t>IM-GD</w:t>
            </w:r>
            <w:r w:rsidRPr="102F4F22">
              <w:rPr>
                <w:rFonts w:eastAsia="Arial"/>
                <w:sz w:val="22"/>
                <w:szCs w:val="22"/>
                <w:lang w:val="en-US" w:eastAsia="en-GB"/>
              </w:rPr>
              <w:t xml:space="preserve"> and rapidly progressive </w:t>
            </w:r>
            <w:r w:rsidR="002A4060">
              <w:rPr>
                <w:rFonts w:eastAsia="Arial"/>
                <w:sz w:val="22"/>
                <w:szCs w:val="22"/>
                <w:lang w:val="en-US" w:eastAsia="en-GB"/>
              </w:rPr>
              <w:t xml:space="preserve">disease </w:t>
            </w:r>
            <w:r w:rsidRPr="102F4F22">
              <w:rPr>
                <w:rFonts w:eastAsia="Arial"/>
                <w:sz w:val="22"/>
                <w:szCs w:val="22"/>
                <w:lang w:val="en-US" w:eastAsia="en-GB"/>
              </w:rPr>
              <w:t xml:space="preserve">where there is deteriorating kidney function.   </w:t>
            </w:r>
            <w:r w:rsidR="00F81122">
              <w:rPr>
                <w:rFonts w:eastAsia="Arial" w:cstheme="minorHAnsi"/>
                <w:sz w:val="22"/>
                <w:szCs w:val="22"/>
                <w:lang w:val="en" w:eastAsia="en-GB"/>
              </w:rPr>
              <w:t xml:space="preserve"> </w:t>
            </w:r>
          </w:p>
        </w:tc>
        <w:tc>
          <w:tcPr>
            <w:tcW w:w="1134" w:type="dxa"/>
            <w:tcBorders>
              <w:top w:val="nil"/>
              <w:left w:val="nil"/>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35931C65" w14:textId="152EF66D" w:rsidR="00D20CBA" w:rsidRDefault="001630D4" w:rsidP="003F494F">
            <w:pPr>
              <w:spacing w:before="240" w:line="360" w:lineRule="auto"/>
              <w:jc w:val="center"/>
              <w:rPr>
                <w:rFonts w:eastAsia="Arial" w:cstheme="minorHAnsi"/>
                <w:b/>
                <w:sz w:val="22"/>
                <w:szCs w:val="22"/>
                <w:lang w:val="en" w:eastAsia="en-GB"/>
              </w:rPr>
            </w:pPr>
            <w:r>
              <w:rPr>
                <w:rFonts w:eastAsia="Arial" w:cstheme="minorHAnsi"/>
                <w:b/>
                <w:sz w:val="22"/>
                <w:szCs w:val="22"/>
                <w:lang w:val="en" w:eastAsia="en-GB"/>
              </w:rPr>
              <w:t>2D</w:t>
            </w:r>
          </w:p>
        </w:tc>
      </w:tr>
      <w:tr w:rsidR="00837E18" w14:paraId="6B9D551B" w14:textId="77777777" w:rsidTr="00D82C4B">
        <w:trPr>
          <w:trHeight w:val="697"/>
        </w:trPr>
        <w:tc>
          <w:tcPr>
            <w:tcW w:w="1155" w:type="dxa"/>
            <w:tcBorders>
              <w:top w:val="nil"/>
              <w:left w:val="single" w:sz="5" w:space="0" w:color="000000" w:themeColor="text1"/>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79195F58" w14:textId="67C8DCDE" w:rsidR="009B7867" w:rsidRDefault="001630D4" w:rsidP="003F494F">
            <w:pPr>
              <w:spacing w:before="240" w:line="360" w:lineRule="auto"/>
              <w:rPr>
                <w:rFonts w:eastAsia="Arial" w:cstheme="minorHAnsi"/>
                <w:sz w:val="22"/>
                <w:szCs w:val="22"/>
                <w:lang w:val="en" w:eastAsia="en-GB"/>
              </w:rPr>
            </w:pPr>
            <w:r>
              <w:rPr>
                <w:rFonts w:eastAsia="Arial" w:cstheme="minorHAnsi"/>
                <w:sz w:val="22"/>
                <w:szCs w:val="22"/>
                <w:lang w:val="en" w:eastAsia="en-GB"/>
              </w:rPr>
              <w:t>General 1.</w:t>
            </w:r>
            <w:r w:rsidR="007A1513">
              <w:rPr>
                <w:rFonts w:eastAsia="Arial" w:cstheme="minorHAnsi"/>
                <w:sz w:val="22"/>
                <w:szCs w:val="22"/>
                <w:lang w:val="en" w:eastAsia="en-GB"/>
              </w:rPr>
              <w:t>6</w:t>
            </w:r>
          </w:p>
        </w:tc>
        <w:tc>
          <w:tcPr>
            <w:tcW w:w="8196" w:type="dxa"/>
            <w:tcBorders>
              <w:top w:val="nil"/>
              <w:left w:val="nil"/>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5D6BB977" w14:textId="2861CC41" w:rsidR="009B7867" w:rsidRPr="009B7867" w:rsidRDefault="001630D4" w:rsidP="003F494F">
            <w:pPr>
              <w:spacing w:before="240" w:line="360" w:lineRule="auto"/>
              <w:jc w:val="both"/>
              <w:rPr>
                <w:rFonts w:eastAsia="Arial" w:cstheme="minorHAnsi"/>
                <w:sz w:val="22"/>
                <w:szCs w:val="22"/>
                <w:lang w:val="en" w:eastAsia="en-GB"/>
              </w:rPr>
            </w:pPr>
            <w:r>
              <w:rPr>
                <w:rFonts w:eastAsia="Arial" w:cstheme="minorHAnsi"/>
                <w:sz w:val="22"/>
                <w:szCs w:val="22"/>
                <w:u w:val="single"/>
                <w:lang w:val="en" w:eastAsia="en-GB"/>
              </w:rPr>
              <w:t xml:space="preserve">We suggest </w:t>
            </w:r>
            <w:r>
              <w:rPr>
                <w:rFonts w:eastAsia="Arial" w:cstheme="minorHAnsi"/>
                <w:sz w:val="22"/>
                <w:szCs w:val="22"/>
                <w:lang w:val="en" w:eastAsia="en-GB"/>
              </w:rPr>
              <w:t xml:space="preserve">repeating a kidney biopsy for histological analysis if there is uncertainty regarding whether </w:t>
            </w:r>
            <w:r w:rsidR="008437F5">
              <w:rPr>
                <w:rFonts w:eastAsia="Arial" w:cstheme="minorHAnsi"/>
                <w:sz w:val="22"/>
                <w:szCs w:val="22"/>
                <w:lang w:val="en" w:eastAsia="en-GB"/>
              </w:rPr>
              <w:t xml:space="preserve">the clinical features of </w:t>
            </w:r>
            <w:r>
              <w:rPr>
                <w:rFonts w:eastAsia="Arial" w:cstheme="minorHAnsi"/>
                <w:sz w:val="22"/>
                <w:szCs w:val="22"/>
                <w:lang w:val="en" w:eastAsia="en-GB"/>
              </w:rPr>
              <w:t xml:space="preserve">IM-GD </w:t>
            </w:r>
            <w:r w:rsidR="00181BAF">
              <w:rPr>
                <w:rFonts w:eastAsia="Arial" w:cstheme="minorHAnsi"/>
                <w:sz w:val="22"/>
                <w:szCs w:val="22"/>
                <w:lang w:val="en" w:eastAsia="en-GB"/>
              </w:rPr>
              <w:t>are</w:t>
            </w:r>
            <w:r w:rsidR="008437F5">
              <w:rPr>
                <w:rFonts w:eastAsia="Arial" w:cstheme="minorHAnsi"/>
                <w:sz w:val="22"/>
                <w:szCs w:val="22"/>
                <w:lang w:val="en" w:eastAsia="en-GB"/>
              </w:rPr>
              <w:t xml:space="preserve"> due to</w:t>
            </w:r>
            <w:r>
              <w:rPr>
                <w:rFonts w:eastAsia="Arial" w:cstheme="minorHAnsi"/>
                <w:sz w:val="22"/>
                <w:szCs w:val="22"/>
                <w:lang w:val="en" w:eastAsia="en-GB"/>
              </w:rPr>
              <w:t xml:space="preserve"> active</w:t>
            </w:r>
            <w:r w:rsidR="008437F5">
              <w:rPr>
                <w:rFonts w:eastAsia="Arial" w:cstheme="minorHAnsi"/>
                <w:sz w:val="22"/>
                <w:szCs w:val="22"/>
                <w:lang w:val="en" w:eastAsia="en-GB"/>
              </w:rPr>
              <w:t xml:space="preserve"> disease</w:t>
            </w:r>
            <w:r>
              <w:rPr>
                <w:rFonts w:eastAsia="Arial" w:cstheme="minorHAnsi"/>
                <w:sz w:val="22"/>
                <w:szCs w:val="22"/>
                <w:lang w:val="en" w:eastAsia="en-GB"/>
              </w:rPr>
              <w:t xml:space="preserve">. </w:t>
            </w:r>
          </w:p>
        </w:tc>
        <w:tc>
          <w:tcPr>
            <w:tcW w:w="1134" w:type="dxa"/>
            <w:tcBorders>
              <w:top w:val="nil"/>
              <w:left w:val="nil"/>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08B6E5DF" w14:textId="77777777" w:rsidR="009B7867" w:rsidRDefault="009B7867" w:rsidP="003F494F">
            <w:pPr>
              <w:spacing w:before="240" w:line="360" w:lineRule="auto"/>
              <w:jc w:val="center"/>
              <w:rPr>
                <w:rFonts w:eastAsia="Arial" w:cstheme="minorHAnsi"/>
                <w:b/>
                <w:sz w:val="22"/>
                <w:szCs w:val="22"/>
                <w:lang w:val="en" w:eastAsia="en-GB"/>
              </w:rPr>
            </w:pPr>
          </w:p>
        </w:tc>
      </w:tr>
      <w:tr w:rsidR="00D82C4B" w14:paraId="02E076E7" w14:textId="77777777" w:rsidTr="00C03FBF">
        <w:trPr>
          <w:trHeight w:val="697"/>
        </w:trPr>
        <w:tc>
          <w:tcPr>
            <w:tcW w:w="10485" w:type="dxa"/>
            <w:gridSpan w:val="3"/>
            <w:tcBorders>
              <w:top w:val="nil"/>
              <w:left w:val="single" w:sz="5" w:space="0" w:color="000000" w:themeColor="text1"/>
              <w:bottom w:val="single" w:sz="4" w:space="0" w:color="auto"/>
              <w:right w:val="single" w:sz="5" w:space="0" w:color="000000" w:themeColor="text1"/>
            </w:tcBorders>
            <w:shd w:val="clear" w:color="auto" w:fill="auto"/>
            <w:tcMar>
              <w:top w:w="0" w:type="dxa"/>
              <w:left w:w="100" w:type="dxa"/>
              <w:bottom w:w="0" w:type="dxa"/>
              <w:right w:w="100" w:type="dxa"/>
            </w:tcMar>
          </w:tcPr>
          <w:p w14:paraId="54776166" w14:textId="6B9E7AAA" w:rsidR="00D82C4B" w:rsidRDefault="00D82C4B" w:rsidP="003F494F">
            <w:pPr>
              <w:spacing w:before="240" w:line="360" w:lineRule="auto"/>
              <w:rPr>
                <w:rFonts w:eastAsia="Arial" w:cstheme="minorHAnsi"/>
                <w:b/>
                <w:sz w:val="22"/>
                <w:szCs w:val="22"/>
                <w:lang w:val="en" w:eastAsia="en-GB"/>
              </w:rPr>
            </w:pPr>
            <w:r>
              <w:rPr>
                <w:rFonts w:eastAsia="Arial" w:cstheme="minorHAnsi"/>
                <w:b/>
                <w:sz w:val="22"/>
                <w:szCs w:val="22"/>
                <w:lang w:val="en" w:eastAsia="en-GB"/>
              </w:rPr>
              <w:t>Research and follow up</w:t>
            </w:r>
          </w:p>
        </w:tc>
      </w:tr>
      <w:tr w:rsidR="00837E18" w14:paraId="65D34125" w14:textId="77777777" w:rsidTr="00D82C4B">
        <w:trPr>
          <w:trHeight w:val="697"/>
        </w:trPr>
        <w:tc>
          <w:tcPr>
            <w:tcW w:w="1155" w:type="dxa"/>
            <w:tcBorders>
              <w:top w:val="nil"/>
              <w:left w:val="single" w:sz="5" w:space="0" w:color="000000" w:themeColor="text1"/>
              <w:bottom w:val="single" w:sz="4" w:space="0" w:color="auto"/>
              <w:right w:val="single" w:sz="5" w:space="0" w:color="000000" w:themeColor="text1"/>
            </w:tcBorders>
            <w:shd w:val="clear" w:color="auto" w:fill="auto"/>
            <w:tcMar>
              <w:top w:w="0" w:type="dxa"/>
              <w:left w:w="100" w:type="dxa"/>
              <w:bottom w:w="0" w:type="dxa"/>
              <w:right w:w="100" w:type="dxa"/>
            </w:tcMar>
          </w:tcPr>
          <w:p w14:paraId="001AC2BB" w14:textId="1FCE1727" w:rsidR="00BB65B8" w:rsidRDefault="001630D4" w:rsidP="00D82C4B">
            <w:pPr>
              <w:spacing w:before="240" w:line="360" w:lineRule="auto"/>
              <w:rPr>
                <w:rFonts w:eastAsia="Arial" w:cstheme="minorHAnsi"/>
                <w:sz w:val="22"/>
                <w:szCs w:val="22"/>
                <w:lang w:val="en" w:eastAsia="en-GB"/>
              </w:rPr>
            </w:pPr>
            <w:bookmarkStart w:id="6" w:name="_Hlk187353624"/>
            <w:r>
              <w:rPr>
                <w:rFonts w:eastAsia="Arial" w:cstheme="minorHAnsi"/>
                <w:sz w:val="22"/>
                <w:szCs w:val="22"/>
                <w:lang w:val="en" w:eastAsia="en-GB"/>
              </w:rPr>
              <w:t>General 1.</w:t>
            </w:r>
            <w:r w:rsidR="007A1513">
              <w:rPr>
                <w:rFonts w:eastAsia="Arial" w:cstheme="minorHAnsi"/>
                <w:sz w:val="22"/>
                <w:szCs w:val="22"/>
                <w:lang w:val="en" w:eastAsia="en-GB"/>
              </w:rPr>
              <w:t>7</w:t>
            </w:r>
            <w:bookmarkEnd w:id="6"/>
          </w:p>
        </w:tc>
        <w:tc>
          <w:tcPr>
            <w:tcW w:w="8196" w:type="dxa"/>
            <w:tcBorders>
              <w:top w:val="nil"/>
              <w:left w:val="nil"/>
              <w:bottom w:val="single" w:sz="4" w:space="0" w:color="auto"/>
              <w:right w:val="single" w:sz="5" w:space="0" w:color="000000" w:themeColor="text1"/>
            </w:tcBorders>
            <w:shd w:val="clear" w:color="auto" w:fill="auto"/>
            <w:tcMar>
              <w:top w:w="0" w:type="dxa"/>
              <w:left w:w="100" w:type="dxa"/>
              <w:bottom w:w="0" w:type="dxa"/>
              <w:right w:w="100" w:type="dxa"/>
            </w:tcMar>
          </w:tcPr>
          <w:p w14:paraId="1DAD4180" w14:textId="24115730" w:rsidR="00BB65B8" w:rsidRPr="00732764" w:rsidRDefault="001630D4" w:rsidP="00D82C4B">
            <w:pPr>
              <w:spacing w:before="240" w:line="360" w:lineRule="auto"/>
              <w:jc w:val="both"/>
              <w:rPr>
                <w:rFonts w:eastAsia="Arial" w:cstheme="minorHAnsi"/>
                <w:sz w:val="22"/>
                <w:szCs w:val="22"/>
                <w:u w:val="single"/>
                <w:lang w:val="en" w:eastAsia="en-GB"/>
              </w:rPr>
            </w:pPr>
            <w:r w:rsidRPr="00732764">
              <w:rPr>
                <w:rFonts w:eastAsia="Arial" w:cstheme="minorHAnsi"/>
                <w:sz w:val="22"/>
                <w:szCs w:val="22"/>
                <w:u w:val="single"/>
                <w:lang w:val="en" w:eastAsia="en-GB"/>
              </w:rPr>
              <w:t>We recommend</w:t>
            </w:r>
            <w:r>
              <w:rPr>
                <w:rFonts w:eastAsia="Arial" w:cstheme="minorHAnsi"/>
                <w:sz w:val="22"/>
                <w:szCs w:val="22"/>
                <w:lang w:val="en" w:eastAsia="en-GB"/>
              </w:rPr>
              <w:t xml:space="preserve"> that all children</w:t>
            </w:r>
            <w:r w:rsidR="00C0110F">
              <w:rPr>
                <w:rFonts w:eastAsia="Arial" w:cstheme="minorHAnsi"/>
                <w:sz w:val="22"/>
                <w:szCs w:val="22"/>
                <w:lang w:val="en" w:eastAsia="en-GB"/>
              </w:rPr>
              <w:t xml:space="preserve"> and their primary caregivers, </w:t>
            </w:r>
            <w:r>
              <w:rPr>
                <w:rFonts w:eastAsia="Arial" w:cstheme="minorHAnsi"/>
                <w:sz w:val="22"/>
                <w:szCs w:val="22"/>
                <w:lang w:val="en" w:eastAsia="en-GB"/>
              </w:rPr>
              <w:t>should be offered the opportunity to participate in research</w:t>
            </w:r>
            <w:r w:rsidR="00C0110F">
              <w:rPr>
                <w:rFonts w:eastAsia="Arial" w:cstheme="minorHAnsi"/>
                <w:sz w:val="22"/>
                <w:szCs w:val="22"/>
                <w:lang w:val="en" w:eastAsia="en-GB"/>
              </w:rPr>
              <w:t>. This includes</w:t>
            </w:r>
            <w:r>
              <w:rPr>
                <w:rFonts w:eastAsia="Arial" w:cstheme="minorHAnsi"/>
                <w:sz w:val="22"/>
                <w:szCs w:val="22"/>
                <w:lang w:val="en" w:eastAsia="en-GB"/>
              </w:rPr>
              <w:t xml:space="preserve"> registries</w:t>
            </w:r>
            <w:r w:rsidR="00E34BCA">
              <w:rPr>
                <w:rFonts w:eastAsia="Arial" w:cstheme="minorHAnsi"/>
                <w:sz w:val="22"/>
                <w:szCs w:val="22"/>
                <w:lang w:val="en" w:eastAsia="en-GB"/>
              </w:rPr>
              <w:t xml:space="preserve"> (</w:t>
            </w:r>
            <w:r w:rsidR="00C0110F">
              <w:rPr>
                <w:rFonts w:eastAsia="Arial" w:cstheme="minorHAnsi"/>
                <w:sz w:val="22"/>
                <w:szCs w:val="22"/>
                <w:lang w:val="en" w:eastAsia="en-GB"/>
              </w:rPr>
              <w:t xml:space="preserve">such as the National registry of rare kidney disease, </w:t>
            </w:r>
            <w:proofErr w:type="spellStart"/>
            <w:r w:rsidR="00E34BCA">
              <w:rPr>
                <w:rFonts w:eastAsia="Arial" w:cstheme="minorHAnsi"/>
                <w:sz w:val="22"/>
                <w:szCs w:val="22"/>
                <w:lang w:val="en" w:eastAsia="en-GB"/>
              </w:rPr>
              <w:t>RaDaR</w:t>
            </w:r>
            <w:proofErr w:type="spellEnd"/>
            <w:r w:rsidR="00E34BCA">
              <w:rPr>
                <w:rFonts w:eastAsia="Arial" w:cstheme="minorHAnsi"/>
                <w:sz w:val="22"/>
                <w:szCs w:val="22"/>
                <w:lang w:val="en" w:eastAsia="en-GB"/>
              </w:rPr>
              <w:t>)</w:t>
            </w:r>
            <w:r>
              <w:rPr>
                <w:rFonts w:eastAsia="Arial" w:cstheme="minorHAnsi"/>
                <w:sz w:val="22"/>
                <w:szCs w:val="22"/>
                <w:lang w:val="en" w:eastAsia="en-GB"/>
              </w:rPr>
              <w:t xml:space="preserve">, </w:t>
            </w:r>
            <w:r w:rsidR="00C0110F">
              <w:rPr>
                <w:rFonts w:eastAsia="Arial" w:cstheme="minorHAnsi"/>
                <w:sz w:val="22"/>
                <w:szCs w:val="22"/>
                <w:lang w:val="en" w:eastAsia="en-GB"/>
              </w:rPr>
              <w:t xml:space="preserve">contributing to </w:t>
            </w:r>
            <w:proofErr w:type="spellStart"/>
            <w:r w:rsidR="00C0110F">
              <w:rPr>
                <w:rFonts w:eastAsia="Arial" w:cstheme="minorHAnsi"/>
                <w:sz w:val="22"/>
                <w:szCs w:val="22"/>
                <w:lang w:val="en" w:eastAsia="en-GB"/>
              </w:rPr>
              <w:t>biosampling</w:t>
            </w:r>
            <w:proofErr w:type="spellEnd"/>
            <w:r w:rsidR="00C0110F">
              <w:rPr>
                <w:rFonts w:eastAsia="Arial" w:cstheme="minorHAnsi"/>
                <w:sz w:val="22"/>
                <w:szCs w:val="22"/>
                <w:lang w:val="en" w:eastAsia="en-GB"/>
              </w:rPr>
              <w:t xml:space="preserve">, </w:t>
            </w:r>
            <w:r>
              <w:rPr>
                <w:rFonts w:eastAsia="Arial" w:cstheme="minorHAnsi"/>
                <w:sz w:val="22"/>
                <w:szCs w:val="22"/>
                <w:lang w:val="en" w:eastAsia="en-GB"/>
              </w:rPr>
              <w:t>clinical trials</w:t>
            </w:r>
            <w:r w:rsidR="00D20CBA">
              <w:rPr>
                <w:rFonts w:eastAsia="Arial" w:cstheme="minorHAnsi"/>
                <w:sz w:val="22"/>
                <w:szCs w:val="22"/>
                <w:lang w:val="en" w:eastAsia="en-GB"/>
              </w:rPr>
              <w:t>,</w:t>
            </w:r>
            <w:r>
              <w:rPr>
                <w:rFonts w:eastAsia="Arial" w:cstheme="minorHAnsi"/>
                <w:sz w:val="22"/>
                <w:szCs w:val="22"/>
                <w:lang w:val="en" w:eastAsia="en-GB"/>
              </w:rPr>
              <w:t xml:space="preserve"> and any other advances to improve the </w:t>
            </w:r>
            <w:r w:rsidR="00D20CBA">
              <w:rPr>
                <w:rFonts w:eastAsia="Arial" w:cstheme="minorHAnsi"/>
                <w:sz w:val="22"/>
                <w:szCs w:val="22"/>
                <w:lang w:val="en" w:eastAsia="en-GB"/>
              </w:rPr>
              <w:t xml:space="preserve">future </w:t>
            </w:r>
            <w:r>
              <w:rPr>
                <w:rFonts w:eastAsia="Arial" w:cstheme="minorHAnsi"/>
                <w:sz w:val="22"/>
                <w:szCs w:val="22"/>
                <w:lang w:val="en" w:eastAsia="en-GB"/>
              </w:rPr>
              <w:t>understanding of these diseases.</w:t>
            </w:r>
          </w:p>
        </w:tc>
        <w:tc>
          <w:tcPr>
            <w:tcW w:w="1134" w:type="dxa"/>
            <w:tcBorders>
              <w:top w:val="nil"/>
              <w:left w:val="nil"/>
              <w:bottom w:val="single" w:sz="4" w:space="0" w:color="auto"/>
              <w:right w:val="single" w:sz="5" w:space="0" w:color="000000" w:themeColor="text1"/>
            </w:tcBorders>
            <w:shd w:val="clear" w:color="auto" w:fill="auto"/>
            <w:tcMar>
              <w:top w:w="0" w:type="dxa"/>
              <w:left w:w="100" w:type="dxa"/>
              <w:bottom w:w="0" w:type="dxa"/>
              <w:right w:w="100" w:type="dxa"/>
            </w:tcMar>
          </w:tcPr>
          <w:p w14:paraId="1AB67C82" w14:textId="2C8838EC" w:rsidR="00BB65B8" w:rsidRPr="00117750" w:rsidRDefault="001630D4" w:rsidP="00D82C4B">
            <w:pPr>
              <w:spacing w:before="240" w:line="360" w:lineRule="auto"/>
              <w:jc w:val="center"/>
              <w:rPr>
                <w:rFonts w:eastAsia="Arial" w:cstheme="minorHAnsi"/>
                <w:b/>
                <w:sz w:val="22"/>
                <w:szCs w:val="22"/>
                <w:lang w:val="en" w:eastAsia="en-GB"/>
              </w:rPr>
            </w:pPr>
            <w:r>
              <w:rPr>
                <w:rFonts w:eastAsia="Arial" w:cstheme="minorHAnsi"/>
                <w:b/>
                <w:sz w:val="22"/>
                <w:szCs w:val="22"/>
                <w:lang w:val="en" w:eastAsia="en-GB"/>
              </w:rPr>
              <w:t>1D</w:t>
            </w:r>
          </w:p>
        </w:tc>
      </w:tr>
      <w:tr w:rsidR="00837E18" w14:paraId="0B885C95" w14:textId="77777777" w:rsidTr="00D82C4B">
        <w:trPr>
          <w:trHeight w:val="1235"/>
        </w:trPr>
        <w:tc>
          <w:tcPr>
            <w:tcW w:w="1155" w:type="dxa"/>
            <w:tcBorders>
              <w:top w:val="single" w:sz="4" w:space="0" w:color="auto"/>
              <w:left w:val="single" w:sz="4" w:space="0" w:color="auto"/>
              <w:bottom w:val="single" w:sz="4" w:space="0" w:color="auto"/>
              <w:right w:val="single" w:sz="6" w:space="0" w:color="000000" w:themeColor="text1"/>
            </w:tcBorders>
            <w:shd w:val="clear" w:color="auto" w:fill="auto"/>
            <w:tcMar>
              <w:top w:w="0" w:type="dxa"/>
              <w:left w:w="100" w:type="dxa"/>
              <w:bottom w:w="0" w:type="dxa"/>
              <w:right w:w="100" w:type="dxa"/>
            </w:tcMar>
          </w:tcPr>
          <w:p w14:paraId="76F67CE1" w14:textId="484A81C9" w:rsidR="005D1469" w:rsidRPr="00117750" w:rsidRDefault="001630D4" w:rsidP="003938D5">
            <w:pPr>
              <w:spacing w:before="240" w:line="360" w:lineRule="auto"/>
              <w:rPr>
                <w:rFonts w:eastAsia="Arial" w:cstheme="minorHAnsi"/>
                <w:sz w:val="22"/>
                <w:szCs w:val="22"/>
                <w:lang w:val="en" w:eastAsia="en-GB"/>
              </w:rPr>
            </w:pPr>
            <w:r>
              <w:rPr>
                <w:rFonts w:eastAsia="Arial" w:cstheme="minorHAnsi"/>
                <w:sz w:val="22"/>
                <w:szCs w:val="22"/>
                <w:lang w:val="en" w:eastAsia="en-GB"/>
              </w:rPr>
              <w:t>General 1.</w:t>
            </w:r>
            <w:r w:rsidR="007A1513">
              <w:rPr>
                <w:rFonts w:eastAsia="Arial" w:cstheme="minorHAnsi"/>
                <w:sz w:val="22"/>
                <w:szCs w:val="22"/>
                <w:lang w:val="en" w:eastAsia="en-GB"/>
              </w:rPr>
              <w:t>8</w:t>
            </w:r>
          </w:p>
        </w:tc>
        <w:tc>
          <w:tcPr>
            <w:tcW w:w="8196" w:type="dxa"/>
            <w:tcBorders>
              <w:top w:val="single" w:sz="4" w:space="0" w:color="auto"/>
              <w:left w:val="single" w:sz="6" w:space="0" w:color="000000" w:themeColor="text1"/>
              <w:bottom w:val="single" w:sz="4" w:space="0" w:color="auto"/>
              <w:right w:val="single" w:sz="6" w:space="0" w:color="000000" w:themeColor="text1"/>
            </w:tcBorders>
            <w:shd w:val="clear" w:color="auto" w:fill="auto"/>
            <w:tcMar>
              <w:top w:w="0" w:type="dxa"/>
              <w:left w:w="100" w:type="dxa"/>
              <w:bottom w:w="0" w:type="dxa"/>
              <w:right w:w="100" w:type="dxa"/>
            </w:tcMar>
          </w:tcPr>
          <w:p w14:paraId="6921C0DE" w14:textId="34A069F6" w:rsidR="00BB65B8" w:rsidRPr="00D20CBA" w:rsidRDefault="001630D4" w:rsidP="003938D5">
            <w:pPr>
              <w:spacing w:before="240" w:line="360" w:lineRule="auto"/>
              <w:jc w:val="both"/>
              <w:rPr>
                <w:rFonts w:eastAsia="Arial" w:cstheme="minorHAnsi"/>
                <w:bCs/>
                <w:color w:val="000000"/>
                <w:sz w:val="22"/>
                <w:szCs w:val="22"/>
              </w:rPr>
            </w:pPr>
            <w:r w:rsidRPr="00D20CBA">
              <w:rPr>
                <w:rFonts w:eastAsia="Arial" w:cstheme="minorHAnsi"/>
                <w:bCs/>
                <w:color w:val="000000"/>
                <w:sz w:val="22"/>
                <w:szCs w:val="22"/>
                <w:u w:val="single"/>
              </w:rPr>
              <w:t>We suggest</w:t>
            </w:r>
            <w:r>
              <w:rPr>
                <w:rFonts w:eastAsia="Arial" w:cstheme="minorHAnsi"/>
                <w:bCs/>
                <w:color w:val="000000"/>
                <w:sz w:val="22"/>
                <w:szCs w:val="22"/>
              </w:rPr>
              <w:t xml:space="preserve"> that p</w:t>
            </w:r>
            <w:r w:rsidRPr="00BB65B8">
              <w:rPr>
                <w:rFonts w:eastAsia="Arial" w:cstheme="minorHAnsi"/>
                <w:bCs/>
                <w:color w:val="000000"/>
                <w:sz w:val="22"/>
                <w:szCs w:val="22"/>
              </w:rPr>
              <w:t xml:space="preserve">atients who </w:t>
            </w:r>
            <w:r>
              <w:rPr>
                <w:rFonts w:eastAsia="Arial" w:cstheme="minorHAnsi"/>
                <w:bCs/>
                <w:color w:val="000000"/>
                <w:sz w:val="22"/>
                <w:szCs w:val="22"/>
              </w:rPr>
              <w:t xml:space="preserve">have </w:t>
            </w:r>
            <w:r w:rsidRPr="00BB65B8">
              <w:rPr>
                <w:rFonts w:eastAsia="Arial" w:cstheme="minorHAnsi"/>
                <w:bCs/>
                <w:color w:val="000000"/>
                <w:sz w:val="22"/>
                <w:szCs w:val="22"/>
              </w:rPr>
              <w:t xml:space="preserve">had </w:t>
            </w:r>
            <w:r w:rsidR="002A4060">
              <w:rPr>
                <w:rFonts w:eastAsia="Arial" w:cstheme="minorHAnsi"/>
                <w:bCs/>
                <w:color w:val="000000"/>
                <w:sz w:val="22"/>
                <w:szCs w:val="22"/>
              </w:rPr>
              <w:t>IM-GD</w:t>
            </w:r>
            <w:r w:rsidRPr="00BB65B8">
              <w:rPr>
                <w:rFonts w:eastAsia="Arial" w:cstheme="minorHAnsi"/>
                <w:bCs/>
                <w:color w:val="000000"/>
                <w:sz w:val="22"/>
                <w:szCs w:val="22"/>
              </w:rPr>
              <w:t xml:space="preserve"> should be followed </w:t>
            </w:r>
            <w:r>
              <w:rPr>
                <w:rFonts w:eastAsia="Arial" w:cstheme="minorHAnsi"/>
                <w:bCs/>
                <w:color w:val="000000"/>
                <w:sz w:val="22"/>
                <w:szCs w:val="22"/>
              </w:rPr>
              <w:t>up</w:t>
            </w:r>
            <w:r w:rsidRPr="00BB65B8">
              <w:rPr>
                <w:rFonts w:eastAsia="Arial" w:cstheme="minorHAnsi"/>
                <w:bCs/>
                <w:color w:val="000000"/>
                <w:sz w:val="22"/>
                <w:szCs w:val="22"/>
              </w:rPr>
              <w:t xml:space="preserve"> for at least 5 years; </w:t>
            </w:r>
            <w:r>
              <w:rPr>
                <w:rFonts w:eastAsia="Arial" w:cstheme="minorHAnsi"/>
                <w:bCs/>
                <w:color w:val="000000"/>
                <w:sz w:val="22"/>
                <w:szCs w:val="22"/>
              </w:rPr>
              <w:t xml:space="preserve">the </w:t>
            </w:r>
            <w:r w:rsidRPr="00BB65B8">
              <w:rPr>
                <w:rFonts w:eastAsia="Arial" w:cstheme="minorHAnsi"/>
                <w:bCs/>
                <w:color w:val="000000"/>
                <w:sz w:val="22"/>
                <w:szCs w:val="22"/>
              </w:rPr>
              <w:t xml:space="preserve">frequency of these assessments should be </w:t>
            </w:r>
            <w:r w:rsidRPr="00BB65B8">
              <w:rPr>
                <w:rFonts w:eastAsia="Arial" w:cstheme="minorHAnsi"/>
                <w:bCs/>
                <w:sz w:val="22"/>
                <w:szCs w:val="22"/>
              </w:rPr>
              <w:t>individuali</w:t>
            </w:r>
            <w:r w:rsidR="00B12265">
              <w:rPr>
                <w:rFonts w:eastAsia="Arial" w:cstheme="minorHAnsi"/>
                <w:bCs/>
                <w:sz w:val="22"/>
                <w:szCs w:val="22"/>
              </w:rPr>
              <w:t>s</w:t>
            </w:r>
            <w:r w:rsidRPr="00BB65B8">
              <w:rPr>
                <w:rFonts w:eastAsia="Arial" w:cstheme="minorHAnsi"/>
                <w:bCs/>
                <w:sz w:val="22"/>
                <w:szCs w:val="22"/>
              </w:rPr>
              <w:t>ed</w:t>
            </w:r>
            <w:r w:rsidRPr="00BB65B8">
              <w:rPr>
                <w:rFonts w:eastAsia="Arial" w:cstheme="minorHAnsi"/>
                <w:bCs/>
                <w:color w:val="000000"/>
                <w:sz w:val="22"/>
                <w:szCs w:val="22"/>
              </w:rPr>
              <w:t xml:space="preserve"> according to the response to treatment</w:t>
            </w:r>
            <w:r w:rsidR="00C0110F">
              <w:rPr>
                <w:rFonts w:eastAsia="Arial" w:cstheme="minorHAnsi"/>
                <w:bCs/>
                <w:color w:val="000000"/>
                <w:sz w:val="22"/>
                <w:szCs w:val="22"/>
              </w:rPr>
              <w:t xml:space="preserve"> and the local infrastructure which is likely to vary across the UK</w:t>
            </w:r>
            <w:r w:rsidRPr="00BB65B8">
              <w:rPr>
                <w:rFonts w:eastAsia="Arial" w:cstheme="minorHAnsi"/>
                <w:bCs/>
                <w:color w:val="000000"/>
                <w:sz w:val="22"/>
                <w:szCs w:val="22"/>
              </w:rPr>
              <w:t xml:space="preserve">. Follow up may be conducted </w:t>
            </w:r>
            <w:r>
              <w:rPr>
                <w:rFonts w:eastAsia="Arial" w:cstheme="minorHAnsi"/>
                <w:bCs/>
                <w:color w:val="000000"/>
                <w:sz w:val="22"/>
                <w:szCs w:val="22"/>
              </w:rPr>
              <w:t>in partnership with</w:t>
            </w:r>
            <w:r w:rsidRPr="00BB65B8">
              <w:rPr>
                <w:rFonts w:eastAsia="Arial" w:cstheme="minorHAnsi"/>
                <w:bCs/>
                <w:color w:val="000000"/>
                <w:sz w:val="22"/>
                <w:szCs w:val="22"/>
              </w:rPr>
              <w:t xml:space="preserve"> primary</w:t>
            </w:r>
            <w:r>
              <w:rPr>
                <w:rFonts w:eastAsia="Arial" w:cstheme="minorHAnsi"/>
                <w:bCs/>
                <w:color w:val="000000"/>
                <w:sz w:val="22"/>
                <w:szCs w:val="22"/>
              </w:rPr>
              <w:t xml:space="preserve"> or secondary</w:t>
            </w:r>
            <w:r w:rsidRPr="00BB65B8">
              <w:rPr>
                <w:rFonts w:eastAsia="Arial" w:cstheme="minorHAnsi"/>
                <w:bCs/>
                <w:color w:val="000000"/>
                <w:sz w:val="22"/>
                <w:szCs w:val="22"/>
              </w:rPr>
              <w:t xml:space="preserve"> care </w:t>
            </w:r>
            <w:r w:rsidR="00102804">
              <w:rPr>
                <w:rFonts w:eastAsia="Arial" w:cstheme="minorHAnsi"/>
                <w:bCs/>
                <w:sz w:val="22"/>
                <w:szCs w:val="22"/>
              </w:rPr>
              <w:t>colleagues</w:t>
            </w:r>
            <w:r w:rsidRPr="00BB65B8">
              <w:rPr>
                <w:rFonts w:eastAsia="Arial" w:cstheme="minorHAnsi"/>
                <w:bCs/>
                <w:color w:val="000000"/>
                <w:sz w:val="22"/>
                <w:szCs w:val="22"/>
              </w:rPr>
              <w:t>.</w:t>
            </w:r>
            <w:r w:rsidRPr="00BB65B8">
              <w:rPr>
                <w:rFonts w:eastAsia="Arial" w:cstheme="minorHAnsi"/>
                <w:bCs/>
                <w:sz w:val="22"/>
                <w:szCs w:val="22"/>
              </w:rPr>
              <w:t xml:space="preserve"> A suggested frequency of </w:t>
            </w:r>
            <w:r>
              <w:rPr>
                <w:rFonts w:eastAsia="Arial" w:cstheme="minorHAnsi"/>
                <w:bCs/>
                <w:sz w:val="22"/>
                <w:szCs w:val="22"/>
              </w:rPr>
              <w:t>follow up is</w:t>
            </w:r>
            <w:r w:rsidRPr="00BB65B8">
              <w:rPr>
                <w:rFonts w:eastAsia="Arial" w:cstheme="minorHAnsi"/>
                <w:bCs/>
                <w:sz w:val="22"/>
                <w:szCs w:val="22"/>
              </w:rPr>
              <w:t xml:space="preserve"> </w:t>
            </w:r>
            <w:r>
              <w:rPr>
                <w:rFonts w:eastAsia="Arial" w:cstheme="minorHAnsi"/>
                <w:bCs/>
                <w:sz w:val="22"/>
                <w:szCs w:val="22"/>
              </w:rPr>
              <w:t xml:space="preserve">approximately </w:t>
            </w:r>
            <w:r w:rsidRPr="00BB65B8">
              <w:rPr>
                <w:rFonts w:eastAsia="Arial" w:cstheme="minorHAnsi"/>
                <w:bCs/>
                <w:sz w:val="22"/>
                <w:szCs w:val="22"/>
              </w:rPr>
              <w:t xml:space="preserve">monthly for </w:t>
            </w:r>
            <w:r>
              <w:rPr>
                <w:rFonts w:eastAsia="Arial" w:cstheme="minorHAnsi"/>
                <w:bCs/>
                <w:sz w:val="22"/>
                <w:szCs w:val="22"/>
              </w:rPr>
              <w:t>the first 3</w:t>
            </w:r>
            <w:r w:rsidRPr="00BB65B8">
              <w:rPr>
                <w:rFonts w:eastAsia="Arial" w:cstheme="minorHAnsi"/>
                <w:bCs/>
                <w:sz w:val="22"/>
                <w:szCs w:val="22"/>
              </w:rPr>
              <w:t xml:space="preserve"> months, 3</w:t>
            </w:r>
            <w:r w:rsidR="00102804">
              <w:rPr>
                <w:rFonts w:eastAsia="Arial" w:cstheme="minorHAnsi"/>
                <w:bCs/>
                <w:sz w:val="22"/>
                <w:szCs w:val="22"/>
              </w:rPr>
              <w:t>-4</w:t>
            </w:r>
            <w:r w:rsidRPr="00BB65B8">
              <w:rPr>
                <w:rFonts w:eastAsia="Arial" w:cstheme="minorHAnsi"/>
                <w:bCs/>
                <w:sz w:val="22"/>
                <w:szCs w:val="22"/>
              </w:rPr>
              <w:t xml:space="preserve"> monthly </w:t>
            </w:r>
            <w:r>
              <w:rPr>
                <w:rFonts w:eastAsia="Arial" w:cstheme="minorHAnsi"/>
                <w:bCs/>
                <w:sz w:val="22"/>
                <w:szCs w:val="22"/>
              </w:rPr>
              <w:t xml:space="preserve">until 12 </w:t>
            </w:r>
            <w:r w:rsidRPr="00BB65B8">
              <w:rPr>
                <w:rFonts w:eastAsia="Arial" w:cstheme="minorHAnsi"/>
                <w:bCs/>
                <w:sz w:val="22"/>
                <w:szCs w:val="22"/>
              </w:rPr>
              <w:t>months</w:t>
            </w:r>
            <w:r w:rsidR="00102804">
              <w:rPr>
                <w:rFonts w:eastAsia="Arial" w:cstheme="minorHAnsi"/>
                <w:bCs/>
                <w:sz w:val="22"/>
                <w:szCs w:val="22"/>
              </w:rPr>
              <w:t xml:space="preserve"> or whilst </w:t>
            </w:r>
            <w:r w:rsidR="00A96E8A">
              <w:rPr>
                <w:rFonts w:eastAsia="Arial" w:cstheme="minorHAnsi"/>
                <w:bCs/>
                <w:sz w:val="22"/>
                <w:szCs w:val="22"/>
              </w:rPr>
              <w:t>taking</w:t>
            </w:r>
            <w:r w:rsidR="00102804">
              <w:rPr>
                <w:rFonts w:eastAsia="Arial" w:cstheme="minorHAnsi"/>
                <w:bCs/>
                <w:sz w:val="22"/>
                <w:szCs w:val="22"/>
              </w:rPr>
              <w:t xml:space="preserve"> immunosuppression</w:t>
            </w:r>
            <w:r>
              <w:rPr>
                <w:rFonts w:eastAsia="Arial" w:cstheme="minorHAnsi"/>
                <w:bCs/>
                <w:sz w:val="22"/>
                <w:szCs w:val="22"/>
              </w:rPr>
              <w:t>,</w:t>
            </w:r>
            <w:r w:rsidRPr="00BB65B8">
              <w:rPr>
                <w:rFonts w:eastAsia="Arial" w:cstheme="minorHAnsi"/>
                <w:bCs/>
                <w:sz w:val="22"/>
                <w:szCs w:val="22"/>
              </w:rPr>
              <w:t xml:space="preserve"> </w:t>
            </w:r>
            <w:r>
              <w:rPr>
                <w:rFonts w:eastAsia="Arial" w:cstheme="minorHAnsi"/>
                <w:bCs/>
                <w:sz w:val="22"/>
                <w:szCs w:val="22"/>
              </w:rPr>
              <w:t>then</w:t>
            </w:r>
            <w:r w:rsidRPr="00BB65B8">
              <w:rPr>
                <w:rFonts w:eastAsia="Arial" w:cstheme="minorHAnsi"/>
                <w:bCs/>
                <w:sz w:val="22"/>
                <w:szCs w:val="22"/>
              </w:rPr>
              <w:t xml:space="preserve"> 6 monthly </w:t>
            </w:r>
            <w:r w:rsidR="00102804">
              <w:rPr>
                <w:rFonts w:eastAsia="Arial" w:cstheme="minorHAnsi"/>
                <w:bCs/>
                <w:sz w:val="22"/>
                <w:szCs w:val="22"/>
              </w:rPr>
              <w:t xml:space="preserve">thereafter </w:t>
            </w:r>
            <w:r>
              <w:rPr>
                <w:rFonts w:eastAsia="Arial" w:cstheme="minorHAnsi"/>
                <w:bCs/>
                <w:sz w:val="22"/>
                <w:szCs w:val="22"/>
              </w:rPr>
              <w:t xml:space="preserve">progressing to </w:t>
            </w:r>
            <w:r>
              <w:rPr>
                <w:rFonts w:eastAsia="Arial" w:cstheme="minorHAnsi"/>
                <w:bCs/>
                <w:sz w:val="22"/>
                <w:szCs w:val="22"/>
              </w:rPr>
              <w:lastRenderedPageBreak/>
              <w:t xml:space="preserve">annual reviews once disease stability has been achieved. If the patient develops secondary </w:t>
            </w:r>
            <w:proofErr w:type="gramStart"/>
            <w:r>
              <w:rPr>
                <w:rFonts w:eastAsia="Arial" w:cstheme="minorHAnsi"/>
                <w:bCs/>
                <w:sz w:val="22"/>
                <w:szCs w:val="22"/>
              </w:rPr>
              <w:t>CKD</w:t>
            </w:r>
            <w:proofErr w:type="gramEnd"/>
            <w:r>
              <w:rPr>
                <w:rFonts w:eastAsia="Arial" w:cstheme="minorHAnsi"/>
                <w:bCs/>
                <w:sz w:val="22"/>
                <w:szCs w:val="22"/>
              </w:rPr>
              <w:t xml:space="preserve"> then follow up should be according to the CKD stage. </w:t>
            </w:r>
          </w:p>
        </w:tc>
        <w:tc>
          <w:tcPr>
            <w:tcW w:w="1134" w:type="dxa"/>
            <w:tcBorders>
              <w:top w:val="single" w:sz="4" w:space="0" w:color="auto"/>
              <w:left w:val="single" w:sz="6" w:space="0" w:color="000000" w:themeColor="text1"/>
              <w:bottom w:val="single" w:sz="4" w:space="0" w:color="auto"/>
              <w:right w:val="single" w:sz="4" w:space="0" w:color="auto"/>
            </w:tcBorders>
            <w:shd w:val="clear" w:color="auto" w:fill="auto"/>
            <w:tcMar>
              <w:top w:w="0" w:type="dxa"/>
              <w:left w:w="100" w:type="dxa"/>
              <w:bottom w:w="0" w:type="dxa"/>
              <w:right w:w="100" w:type="dxa"/>
            </w:tcMar>
          </w:tcPr>
          <w:p w14:paraId="4EF0EB86" w14:textId="4D86028D" w:rsidR="005D1469" w:rsidRPr="00117750" w:rsidRDefault="001630D4" w:rsidP="003938D5">
            <w:pPr>
              <w:spacing w:before="240" w:line="360" w:lineRule="auto"/>
              <w:jc w:val="center"/>
              <w:rPr>
                <w:rFonts w:eastAsia="Arial" w:cstheme="minorHAnsi"/>
                <w:b/>
                <w:sz w:val="22"/>
                <w:szCs w:val="22"/>
                <w:lang w:val="en" w:eastAsia="en-GB"/>
              </w:rPr>
            </w:pPr>
            <w:r>
              <w:rPr>
                <w:rFonts w:eastAsia="Arial" w:cstheme="minorHAnsi"/>
                <w:b/>
                <w:sz w:val="22"/>
                <w:szCs w:val="22"/>
                <w:lang w:val="en" w:eastAsia="en-GB"/>
              </w:rPr>
              <w:lastRenderedPageBreak/>
              <w:t>2D</w:t>
            </w:r>
          </w:p>
        </w:tc>
      </w:tr>
      <w:tr w:rsidR="003938D5" w14:paraId="1A5D6806" w14:textId="77777777" w:rsidTr="00D82C4B">
        <w:trPr>
          <w:trHeight w:val="1235"/>
        </w:trPr>
        <w:tc>
          <w:tcPr>
            <w:tcW w:w="1155" w:type="dxa"/>
            <w:tcBorders>
              <w:top w:val="single" w:sz="4" w:space="0" w:color="auto"/>
              <w:left w:val="single" w:sz="4" w:space="0" w:color="auto"/>
              <w:bottom w:val="single" w:sz="4" w:space="0" w:color="auto"/>
              <w:right w:val="single" w:sz="6" w:space="0" w:color="000000" w:themeColor="text1"/>
            </w:tcBorders>
            <w:shd w:val="clear" w:color="auto" w:fill="auto"/>
            <w:tcMar>
              <w:top w:w="0" w:type="dxa"/>
              <w:left w:w="100" w:type="dxa"/>
              <w:bottom w:w="0" w:type="dxa"/>
              <w:right w:w="100" w:type="dxa"/>
            </w:tcMar>
          </w:tcPr>
          <w:p w14:paraId="01470C97" w14:textId="088AC943" w:rsidR="003938D5" w:rsidRDefault="003938D5" w:rsidP="003938D5">
            <w:pPr>
              <w:spacing w:before="240" w:line="360" w:lineRule="auto"/>
              <w:rPr>
                <w:rFonts w:eastAsia="Arial" w:cstheme="minorHAnsi"/>
                <w:sz w:val="22"/>
                <w:szCs w:val="22"/>
                <w:lang w:val="en" w:eastAsia="en-GB"/>
              </w:rPr>
            </w:pPr>
            <w:r>
              <w:rPr>
                <w:rFonts w:eastAsia="Arial" w:cstheme="minorHAnsi"/>
                <w:sz w:val="22"/>
                <w:szCs w:val="22"/>
                <w:lang w:val="en" w:eastAsia="en-GB"/>
              </w:rPr>
              <w:t>General 1.</w:t>
            </w:r>
            <w:r w:rsidR="007A1513">
              <w:rPr>
                <w:rFonts w:eastAsia="Arial" w:cstheme="minorHAnsi"/>
                <w:sz w:val="22"/>
                <w:szCs w:val="22"/>
                <w:lang w:val="en" w:eastAsia="en-GB"/>
              </w:rPr>
              <w:t>9</w:t>
            </w:r>
          </w:p>
        </w:tc>
        <w:tc>
          <w:tcPr>
            <w:tcW w:w="8196" w:type="dxa"/>
            <w:tcBorders>
              <w:top w:val="single" w:sz="4" w:space="0" w:color="auto"/>
              <w:left w:val="single" w:sz="6" w:space="0" w:color="000000" w:themeColor="text1"/>
              <w:bottom w:val="single" w:sz="4" w:space="0" w:color="auto"/>
              <w:right w:val="single" w:sz="6" w:space="0" w:color="000000" w:themeColor="text1"/>
            </w:tcBorders>
            <w:shd w:val="clear" w:color="auto" w:fill="auto"/>
            <w:tcMar>
              <w:top w:w="0" w:type="dxa"/>
              <w:left w:w="100" w:type="dxa"/>
              <w:bottom w:w="0" w:type="dxa"/>
              <w:right w:w="100" w:type="dxa"/>
            </w:tcMar>
          </w:tcPr>
          <w:p w14:paraId="1DBAB5E1" w14:textId="06329894" w:rsidR="003938D5" w:rsidRPr="00D20CBA" w:rsidRDefault="00DF774B" w:rsidP="003938D5">
            <w:pPr>
              <w:spacing w:before="240" w:line="360" w:lineRule="auto"/>
              <w:jc w:val="both"/>
              <w:rPr>
                <w:rFonts w:eastAsia="Arial" w:cstheme="minorHAnsi"/>
                <w:bCs/>
                <w:color w:val="000000"/>
                <w:sz w:val="22"/>
                <w:szCs w:val="22"/>
                <w:u w:val="single"/>
              </w:rPr>
            </w:pPr>
            <w:r w:rsidRPr="003F494F">
              <w:rPr>
                <w:rFonts w:cstheme="minorHAnsi"/>
                <w:sz w:val="22"/>
                <w:szCs w:val="22"/>
                <w:u w:val="single"/>
              </w:rPr>
              <w:t>We suggest</w:t>
            </w:r>
            <w:r>
              <w:rPr>
                <w:rFonts w:cstheme="minorHAnsi"/>
                <w:sz w:val="22"/>
                <w:szCs w:val="22"/>
              </w:rPr>
              <w:t xml:space="preserve"> that children and young people</w:t>
            </w:r>
            <w:r w:rsidR="003938D5" w:rsidRPr="00C00DD6">
              <w:rPr>
                <w:rFonts w:cstheme="minorHAnsi"/>
                <w:sz w:val="22"/>
                <w:szCs w:val="22"/>
              </w:rPr>
              <w:t xml:space="preserve"> with</w:t>
            </w:r>
            <w:r w:rsidR="00D82C4B">
              <w:rPr>
                <w:rFonts w:cstheme="minorHAnsi"/>
                <w:sz w:val="22"/>
                <w:szCs w:val="22"/>
              </w:rPr>
              <w:t xml:space="preserve"> </w:t>
            </w:r>
            <w:r>
              <w:rPr>
                <w:rFonts w:cstheme="minorHAnsi"/>
                <w:sz w:val="22"/>
                <w:szCs w:val="22"/>
              </w:rPr>
              <w:t>IM-GD</w:t>
            </w:r>
            <w:r w:rsidR="003938D5" w:rsidRPr="00C00DD6">
              <w:rPr>
                <w:rFonts w:cstheme="minorHAnsi"/>
                <w:sz w:val="22"/>
                <w:szCs w:val="22"/>
              </w:rPr>
              <w:t xml:space="preserve"> </w:t>
            </w:r>
            <w:r>
              <w:rPr>
                <w:rFonts w:cstheme="minorHAnsi"/>
                <w:sz w:val="22"/>
                <w:szCs w:val="22"/>
              </w:rPr>
              <w:t>are managed</w:t>
            </w:r>
            <w:r w:rsidR="003938D5" w:rsidRPr="00C00DD6">
              <w:rPr>
                <w:rFonts w:cstheme="minorHAnsi"/>
                <w:sz w:val="22"/>
                <w:szCs w:val="22"/>
              </w:rPr>
              <w:t xml:space="preserve"> </w:t>
            </w:r>
            <w:r>
              <w:rPr>
                <w:rFonts w:cstheme="minorHAnsi"/>
                <w:sz w:val="22"/>
                <w:szCs w:val="22"/>
              </w:rPr>
              <w:t>by clinicians with suitable expertise</w:t>
            </w:r>
            <w:r w:rsidR="003938D5" w:rsidRPr="00C00DD6">
              <w:rPr>
                <w:rFonts w:cstheme="minorHAnsi"/>
                <w:sz w:val="22"/>
                <w:szCs w:val="22"/>
              </w:rPr>
              <w:t>.</w:t>
            </w:r>
          </w:p>
        </w:tc>
        <w:tc>
          <w:tcPr>
            <w:tcW w:w="1134" w:type="dxa"/>
            <w:tcBorders>
              <w:top w:val="single" w:sz="4" w:space="0" w:color="auto"/>
              <w:left w:val="single" w:sz="6" w:space="0" w:color="000000" w:themeColor="text1"/>
              <w:bottom w:val="single" w:sz="4" w:space="0" w:color="auto"/>
              <w:right w:val="single" w:sz="4" w:space="0" w:color="auto"/>
            </w:tcBorders>
            <w:shd w:val="clear" w:color="auto" w:fill="auto"/>
            <w:tcMar>
              <w:top w:w="0" w:type="dxa"/>
              <w:left w:w="100" w:type="dxa"/>
              <w:bottom w:w="0" w:type="dxa"/>
              <w:right w:w="100" w:type="dxa"/>
            </w:tcMar>
          </w:tcPr>
          <w:p w14:paraId="1EE034FC" w14:textId="6199DF59" w:rsidR="003938D5" w:rsidRDefault="00DF774B" w:rsidP="003938D5">
            <w:pPr>
              <w:spacing w:before="240" w:line="360" w:lineRule="auto"/>
              <w:jc w:val="center"/>
              <w:rPr>
                <w:rFonts w:eastAsia="Arial" w:cstheme="minorHAnsi"/>
                <w:b/>
                <w:sz w:val="22"/>
                <w:szCs w:val="22"/>
                <w:lang w:val="en" w:eastAsia="en-GB"/>
              </w:rPr>
            </w:pPr>
            <w:r>
              <w:rPr>
                <w:rFonts w:eastAsia="Arial" w:cstheme="minorHAnsi"/>
                <w:b/>
                <w:sz w:val="22"/>
                <w:szCs w:val="22"/>
                <w:lang w:val="en" w:eastAsia="en-GB"/>
              </w:rPr>
              <w:t>2D</w:t>
            </w:r>
          </w:p>
        </w:tc>
      </w:tr>
    </w:tbl>
    <w:p w14:paraId="59F8A9D3" w14:textId="78F59BA3" w:rsidR="00D20CBA" w:rsidRPr="00D20CBA" w:rsidRDefault="001630D4" w:rsidP="003F494F">
      <w:pPr>
        <w:spacing w:before="480" w:after="120" w:line="360" w:lineRule="auto"/>
        <w:jc w:val="both"/>
        <w:outlineLvl w:val="0"/>
        <w:rPr>
          <w:rFonts w:eastAsia="Arial" w:cstheme="minorHAnsi"/>
          <w:bCs/>
          <w:sz w:val="22"/>
          <w:szCs w:val="22"/>
          <w:lang w:val="en" w:eastAsia="en-GB"/>
        </w:rPr>
      </w:pPr>
      <w:r w:rsidRPr="00D20CBA">
        <w:rPr>
          <w:rFonts w:eastAsia="Arial" w:cstheme="minorHAnsi"/>
          <w:bCs/>
          <w:sz w:val="22"/>
          <w:szCs w:val="22"/>
          <w:lang w:val="en" w:eastAsia="en-GB"/>
        </w:rPr>
        <w:t xml:space="preserve">The assessment of </w:t>
      </w:r>
      <w:r>
        <w:rPr>
          <w:rFonts w:eastAsia="Arial" w:cstheme="minorHAnsi"/>
          <w:bCs/>
          <w:sz w:val="22"/>
          <w:szCs w:val="22"/>
          <w:lang w:val="en" w:eastAsia="en-GB"/>
        </w:rPr>
        <w:t xml:space="preserve">a patient with </w:t>
      </w:r>
      <w:r w:rsidR="002A4060">
        <w:rPr>
          <w:rFonts w:eastAsia="Arial" w:cstheme="minorHAnsi"/>
          <w:bCs/>
          <w:sz w:val="22"/>
          <w:szCs w:val="22"/>
          <w:lang w:val="en" w:eastAsia="en-GB"/>
        </w:rPr>
        <w:t>IM-GD</w:t>
      </w:r>
      <w:r>
        <w:rPr>
          <w:rFonts w:eastAsia="Arial" w:cstheme="minorHAnsi"/>
          <w:bCs/>
          <w:sz w:val="22"/>
          <w:szCs w:val="22"/>
          <w:lang w:val="en" w:eastAsia="en-GB"/>
        </w:rPr>
        <w:t xml:space="preserve"> has been outlined in a succinct recommendation using extracted information from existing guidelines. The complete </w:t>
      </w:r>
      <w:r w:rsidR="00A96E8A">
        <w:rPr>
          <w:rFonts w:eastAsia="Arial" w:cstheme="minorHAnsi"/>
          <w:bCs/>
          <w:sz w:val="22"/>
          <w:szCs w:val="22"/>
          <w:lang w:val="en" w:eastAsia="en-GB"/>
        </w:rPr>
        <w:t xml:space="preserve">response </w:t>
      </w:r>
      <w:r>
        <w:rPr>
          <w:rFonts w:eastAsia="Arial" w:cstheme="minorHAnsi"/>
          <w:bCs/>
          <w:sz w:val="22"/>
          <w:szCs w:val="22"/>
          <w:lang w:val="en" w:eastAsia="en-GB"/>
        </w:rPr>
        <w:t xml:space="preserve">definition uses a combination of the international guidelines and the threshold of proteinuria accepted by the regulatory authorities. There is a ‘dose’ effect of proteinuria in the causal relationship with CKD progression and this threshold has been described to preserve kidney health in the long </w:t>
      </w:r>
      <w:r w:rsidR="00104C86">
        <w:rPr>
          <w:rFonts w:eastAsia="Arial" w:cstheme="minorHAnsi"/>
          <w:bCs/>
          <w:sz w:val="22"/>
          <w:szCs w:val="22"/>
          <w:lang w:val="en" w:eastAsia="en-GB"/>
        </w:rPr>
        <w:t>term a</w:t>
      </w:r>
      <w:r>
        <w:rPr>
          <w:rFonts w:eastAsia="Arial" w:cstheme="minorHAnsi"/>
          <w:bCs/>
          <w:sz w:val="22"/>
          <w:szCs w:val="22"/>
          <w:lang w:val="en" w:eastAsia="en-GB"/>
        </w:rPr>
        <w:t>nd aligned with clinical practice goals</w:t>
      </w:r>
      <w:r w:rsidR="00343156">
        <w:rPr>
          <w:rFonts w:eastAsia="Arial" w:cstheme="minorHAnsi"/>
          <w:bCs/>
          <w:sz w:val="22"/>
          <w:szCs w:val="22"/>
          <w:lang w:val="en" w:eastAsia="en-GB"/>
        </w:rPr>
        <w:t xml:space="preserve"> </w:t>
      </w:r>
      <w:r w:rsidR="00343156">
        <w:rPr>
          <w:rFonts w:eastAsia="Arial" w:cstheme="minorHAnsi"/>
          <w:bCs/>
          <w:sz w:val="22"/>
          <w:szCs w:val="22"/>
          <w:lang w:val="en" w:eastAsia="en-GB"/>
        </w:rPr>
        <w:fldChar w:fldCharType="begin"/>
      </w:r>
      <w:r w:rsidR="00642970">
        <w:rPr>
          <w:rFonts w:eastAsia="Arial" w:cstheme="minorHAnsi"/>
          <w:bCs/>
          <w:sz w:val="22"/>
          <w:szCs w:val="22"/>
          <w:lang w:val="en" w:eastAsia="en-GB"/>
        </w:rPr>
        <w:instrText xml:space="preserve"> ADDIN ZOTERO_ITEM CSL_CITATION {"citationID":"Gc9oBrqG","properties":{"formattedCitation":"(118)","plainCitation":"(118)","noteIndex":0},"citationItems":[{"id":282,"uris":["http://zotero.org/users/local/lvPLY4Gu/items/G92HQGMU"],"itemData":{"id":282,"type":"article-journal","abstract":"IgA nephropathy (IgAN) is an important cause of ESKD for which there are no approved therapies. A challenge for evaluating treatments for IgAN is the usual long time course for progression to ESKD. The aim of this Kidney Health Initiative project was to identify surrogate end points that could serve as reliable predictors of a treatment’s effect on long-term kidney outcomes in IgAN and be used as a basis for approval. Proteinuria was identified as the most widely recognized and well studied risk factor for progression to ESKD in IgAN. The workgroup performed a critical review of the data on proteinuria reduction as a surrogate end point for a treatment’s effect on progression to ESKD in IgAN. Epidemiologic data indicate a strong and consistent relationship between the level and duration of proteinuria and loss of kidney function. Trial-level analyses of data from 13 controlled trials also show an association between treatment effects on percent reduction of proteinuria and treatment effects on a composite of time to doubling of serum creatinine, ESKD, or death. We conclude that data support the use of proteinuria reduction as a reasonably likely surrogate end point for a treatment’s effect on progression to ESKD in IgAN. In the United States, reasonably likely surrogate end points can be used as a basis for accelerated approval of therapies intended to treat serious or life-threatening conditions, such as IgAN. The clinical benefit of products approved under this program would need to be verified in a postmarketing confirmatory trial.","container-title":"Clinical Journal of the American Society of Nephrology : CJASN","DOI":"10.2215/CJN.08600718","ISSN":"1555-9041","issue":"3","journalAbbreviation":"Clin J Am Soc Nephrol","note":"PMID: 30635299\nPMCID: PMC6419287","page":"469-481","source":"PubMed Central","title":"Proteinuria Reduction as a Surrogate End Point in Trials of IgA Nephropathy","volume":"14","author":[{"family":"Thompson","given":"Aliza"},{"family":"Carroll","given":"Kevin"},{"family":"A. Inker","given":"Lesley"},{"family":"Floege","given":"Jürgen"},{"family":"Perkovic","given":"Vlado"},{"family":"Boyer-Suavet","given":"Sonia"},{"family":"W. Major","given":"Rupert"},{"family":"I. Schimpf","given":"Judith"},{"family":"Barratt","given":"Jonathan"},{"family":"Cattran","given":"Daniel C."},{"family":"S. Gillespie","given":"Barbara"},{"family":"Kausz","given":"Annamaria"},{"family":"W. Mercer","given":"Alex"},{"family":"Reich","given":"Heather N."},{"family":"H. Rovin","given":"Brad"},{"family":"West","given":"Melissa"},{"family":"Nachman","given":"Patrick H."}],"issued":{"date-parts":[["2019",3,7]]}}}],"schema":"https://github.com/citation-style-language/schema/raw/master/csl-citation.json"} </w:instrText>
      </w:r>
      <w:r w:rsidR="00343156">
        <w:rPr>
          <w:rFonts w:eastAsia="Arial" w:cstheme="minorHAnsi"/>
          <w:bCs/>
          <w:sz w:val="22"/>
          <w:szCs w:val="22"/>
          <w:lang w:val="en" w:eastAsia="en-GB"/>
        </w:rPr>
        <w:fldChar w:fldCharType="separate"/>
      </w:r>
      <w:r w:rsidR="00642970">
        <w:rPr>
          <w:rFonts w:eastAsia="Arial" w:cstheme="minorHAnsi"/>
          <w:bCs/>
          <w:noProof/>
          <w:sz w:val="22"/>
          <w:szCs w:val="22"/>
          <w:lang w:val="en" w:eastAsia="en-GB"/>
        </w:rPr>
        <w:t>(118)</w:t>
      </w:r>
      <w:r w:rsidR="00343156">
        <w:rPr>
          <w:rFonts w:eastAsia="Arial" w:cstheme="minorHAnsi"/>
          <w:bCs/>
          <w:sz w:val="22"/>
          <w:szCs w:val="22"/>
          <w:lang w:val="en" w:eastAsia="en-GB"/>
        </w:rPr>
        <w:fldChar w:fldCharType="end"/>
      </w:r>
      <w:r>
        <w:rPr>
          <w:rFonts w:eastAsia="Arial" w:cstheme="minorHAnsi"/>
          <w:bCs/>
          <w:sz w:val="22"/>
          <w:szCs w:val="22"/>
          <w:lang w:val="en" w:eastAsia="en-GB"/>
        </w:rPr>
        <w:t xml:space="preserve">. </w:t>
      </w:r>
    </w:p>
    <w:p w14:paraId="25E2B6C9" w14:textId="05645735" w:rsidR="001D1F02" w:rsidRPr="00536009" w:rsidRDefault="001630D4" w:rsidP="003F494F">
      <w:pPr>
        <w:spacing w:before="480" w:after="120" w:line="360" w:lineRule="auto"/>
        <w:outlineLvl w:val="0"/>
        <w:rPr>
          <w:rFonts w:eastAsia="Arial" w:cstheme="minorHAnsi"/>
          <w:b/>
          <w:sz w:val="22"/>
          <w:szCs w:val="22"/>
          <w:u w:val="single"/>
          <w:lang w:val="en" w:eastAsia="en-GB"/>
        </w:rPr>
      </w:pPr>
      <w:r>
        <w:rPr>
          <w:rFonts w:eastAsia="Arial" w:cstheme="minorHAnsi"/>
          <w:b/>
          <w:sz w:val="22"/>
          <w:szCs w:val="22"/>
          <w:u w:val="single"/>
          <w:lang w:val="en" w:eastAsia="en-GB"/>
        </w:rPr>
        <w:t>GN sub</w:t>
      </w:r>
      <w:r w:rsidR="00732764">
        <w:rPr>
          <w:rFonts w:eastAsia="Arial" w:cstheme="minorHAnsi"/>
          <w:b/>
          <w:sz w:val="22"/>
          <w:szCs w:val="22"/>
          <w:u w:val="single"/>
          <w:lang w:val="en" w:eastAsia="en-GB"/>
        </w:rPr>
        <w:t>t</w:t>
      </w:r>
      <w:r>
        <w:rPr>
          <w:rFonts w:eastAsia="Arial" w:cstheme="minorHAnsi"/>
          <w:b/>
          <w:sz w:val="22"/>
          <w:szCs w:val="22"/>
          <w:u w:val="single"/>
          <w:lang w:val="en" w:eastAsia="en-GB"/>
        </w:rPr>
        <w:t>ype 1: I</w:t>
      </w:r>
      <w:r w:rsidRPr="00536009">
        <w:rPr>
          <w:rFonts w:eastAsia="Arial" w:cstheme="minorHAnsi"/>
          <w:b/>
          <w:sz w:val="22"/>
          <w:szCs w:val="22"/>
          <w:u w:val="single"/>
          <w:lang w:val="en" w:eastAsia="en-GB"/>
        </w:rPr>
        <w:t>diopathic nephrotic syndrome</w:t>
      </w:r>
      <w:r w:rsidR="00BF3151">
        <w:rPr>
          <w:rFonts w:eastAsia="Arial" w:cstheme="minorHAnsi"/>
          <w:b/>
          <w:sz w:val="22"/>
          <w:szCs w:val="22"/>
          <w:u w:val="single"/>
          <w:lang w:val="en" w:eastAsia="en-GB"/>
        </w:rPr>
        <w:t xml:space="preserve"> (INS)</w:t>
      </w:r>
    </w:p>
    <w:p w14:paraId="7767F064" w14:textId="4A489553" w:rsidR="00BF3151" w:rsidRDefault="001630D4" w:rsidP="003F494F">
      <w:pPr>
        <w:spacing w:line="360" w:lineRule="auto"/>
        <w:rPr>
          <w:b/>
          <w:bCs/>
          <w:lang w:val="en" w:eastAsia="en-GB"/>
        </w:rPr>
      </w:pPr>
      <w:bookmarkStart w:id="7" w:name="_4bbtc6nb1zc5" w:colFirst="0" w:colLast="0"/>
      <w:bookmarkEnd w:id="7"/>
      <w:r w:rsidRPr="00536009">
        <w:rPr>
          <w:b/>
          <w:bCs/>
          <w:lang w:val="en" w:eastAsia="en-GB"/>
        </w:rPr>
        <w:t>Definitions</w:t>
      </w:r>
    </w:p>
    <w:p w14:paraId="3900D34B" w14:textId="269F690A" w:rsidR="001D1F02" w:rsidRPr="00117750" w:rsidRDefault="001630D4" w:rsidP="003F494F">
      <w:pPr>
        <w:spacing w:before="240" w:after="240" w:line="360" w:lineRule="auto"/>
        <w:jc w:val="both"/>
        <w:rPr>
          <w:rFonts w:eastAsia="Arial" w:cstheme="minorHAnsi"/>
          <w:sz w:val="22"/>
          <w:szCs w:val="22"/>
          <w:lang w:val="en" w:eastAsia="en-GB"/>
        </w:rPr>
      </w:pPr>
      <w:r>
        <w:rPr>
          <w:rFonts w:eastAsia="Arial" w:cstheme="minorHAnsi"/>
          <w:sz w:val="22"/>
          <w:szCs w:val="22"/>
          <w:lang w:val="en" w:eastAsia="en-GB"/>
        </w:rPr>
        <w:t>To</w:t>
      </w:r>
      <w:r w:rsidRPr="00117750">
        <w:rPr>
          <w:rFonts w:eastAsia="Arial" w:cstheme="minorHAnsi"/>
          <w:sz w:val="22"/>
          <w:szCs w:val="22"/>
          <w:lang w:val="en" w:eastAsia="en-GB"/>
        </w:rPr>
        <w:t xml:space="preserve"> align </w:t>
      </w:r>
      <w:r>
        <w:rPr>
          <w:rFonts w:eastAsia="Arial" w:cstheme="minorHAnsi"/>
          <w:sz w:val="22"/>
          <w:szCs w:val="22"/>
          <w:lang w:val="en" w:eastAsia="en-GB"/>
        </w:rPr>
        <w:t>terminology</w:t>
      </w:r>
      <w:r w:rsidRPr="00117750">
        <w:rPr>
          <w:rFonts w:eastAsia="Arial" w:cstheme="minorHAnsi"/>
          <w:sz w:val="22"/>
          <w:szCs w:val="22"/>
          <w:lang w:val="en" w:eastAsia="en-GB"/>
        </w:rPr>
        <w:t xml:space="preserve">, we suggest that the following definitions for idiopathic nephrotic syndrome (INS) are </w:t>
      </w:r>
      <w:r>
        <w:rPr>
          <w:rFonts w:eastAsia="Arial" w:cstheme="minorHAnsi"/>
          <w:sz w:val="22"/>
          <w:szCs w:val="22"/>
          <w:lang w:val="en" w:eastAsia="en-GB"/>
        </w:rPr>
        <w:t>used.</w:t>
      </w:r>
      <w:r w:rsidRPr="00601B86">
        <w:rPr>
          <w:rFonts w:eastAsia="Arial" w:cstheme="minorHAnsi"/>
          <w:sz w:val="22"/>
          <w:szCs w:val="22"/>
          <w:lang w:val="en" w:eastAsia="en-GB"/>
        </w:rPr>
        <w:t xml:space="preserve"> </w:t>
      </w:r>
      <w:r w:rsidRPr="00117750">
        <w:rPr>
          <w:rFonts w:eastAsia="Arial" w:cstheme="minorHAnsi"/>
          <w:sz w:val="22"/>
          <w:szCs w:val="22"/>
          <w:lang w:val="en" w:eastAsia="en-GB"/>
        </w:rPr>
        <w:t xml:space="preserve">Definitions are taken from the IPNA SSNS guidelines </w:t>
      </w:r>
      <w:r w:rsidR="00C9351E">
        <w:rPr>
          <w:rFonts w:eastAsia="Arial" w:cstheme="minorHAnsi"/>
          <w:sz w:val="22"/>
          <w:szCs w:val="22"/>
          <w:lang w:val="en" w:eastAsia="en-GB"/>
        </w:rPr>
        <w:fldChar w:fldCharType="begin"/>
      </w:r>
      <w:r w:rsidR="00642970">
        <w:rPr>
          <w:rFonts w:eastAsia="Arial" w:cstheme="minorHAnsi"/>
          <w:sz w:val="22"/>
          <w:szCs w:val="22"/>
          <w:lang w:val="en" w:eastAsia="en-GB"/>
        </w:rPr>
        <w:instrText xml:space="preserve"> ADDIN ZOTERO_ITEM CSL_CITATION {"citationID":"qL577eZX","properties":{"formattedCitation":"(4)","plainCitation":"(4)","noteIndex":0},"citationItems":[{"id":8,"uris":["http://zotero.org/users/local/lvPLY4Gu/items/LPZFJLIB"],"itemData":{"id":8,"type":"article-journal","abstract":"Idiopathic nephrotic syndrome is the most frequent pediatric glomerular disease, affecting from 1.15 to 16.9 per 100,000 children per year globally. It is characterized by massive proteinuria, hypoalbuminemia, and/or concomitant edema. Approximately 85-90% of patients attain complete remission of proteinuria within 4-6 weeks of treatment with glucocorticoids, and therefore, have steroid-sensitive nephrotic syndrome (SSNS). Among those patients who are steroid sensitive, 70-80% will have at least one relapse during follow-up, and up to 50% of these patients will experience frequent relapses or become dependent on glucocorticoids to maintain remission. The dose and duration of steroid treatment to prolong time between relapses remains a subject of much debate, and patients continue to experience a high prevalence of steroid-related morbidity. Various steroid-sparing immunosuppressive drugs have been used in clinical practice; however, there is marked practice variation in the selection of these drugs and timing of their introduction during the course of the disease. Therefore, international evidence-based clinical practice recommendations (CPRs) are needed to guide clinical practice and reduce practice variation. The International Pediatric Nephrology Association (IPNA) convened a team of experts including pediatric nephrologists, an adult nephrologist, and a patient representative to develop comprehensive CPRs on the diagnosis and management of SSNS in children. After performing a systematic literature review on 12 clinically relevant PICO (Patient or Population covered, Intervention, Comparator, Outcome) questions, recommendations were formulated and formally graded at several virtual consensus meetings. New definitions for treatment outcomes to help guide change of therapy and recommendations for important research questions are given.","container-title":"Pediatric Nephrology (Berlin, Germany)","DOI":"10.1007/s00467-022-05739-3","ISSN":"1432-198X","issue":"3","journalAbbreviation":"Pediatr Nephrol","language":"eng","note":"PMID: 36269406\nPMCID: PMC9589698","page":"877-919","source":"PubMed","title":"IPNA clinical practice recommendations for the diagnosis and management of children with steroid-sensitive nephrotic syndrome","volume":"38","author":[{"family":"Trautmann","given":"Agnes"},{"family":"Boyer","given":"Olivia"},{"family":"Hodson","given":"Elisabeth"},{"family":"Bagga","given":"Arvind"},{"family":"Gipson","given":"Debbie S."},{"family":"Samuel","given":"Susan"},{"family":"Wetzels","given":"Jack"},{"family":"Alhasan","given":"Khalid"},{"family":"Banerjee","given":"Sushmita"},{"family":"Bhimma","given":"Rajendra"},{"family":"Bonilla-Felix","given":"Melvin"},{"family":"Cano","given":"Francisco"},{"family":"Christian","given":"Martin"},{"family":"Hahn","given":"Deirdre"},{"family":"Kang","given":"Hee Gyung"},{"family":"Nakanishi","given":"Koichi"},{"family":"Safouh","given":"Hesham"},{"family":"Trachtman","given":"Howard"},{"family":"Xu","given":"Hong"},{"family":"Cook","given":"Wendy"},{"family":"Vivarelli","given":"Marina"},{"family":"Haffner","given":"Dieter"},{"literal":"International Pediatric Nephrology Association"}],"issued":{"date-parts":[["2023",3]]}}}],"schema":"https://github.com/citation-style-language/schema/raw/master/csl-citation.json"} </w:instrText>
      </w:r>
      <w:r w:rsidR="00C9351E">
        <w:rPr>
          <w:rFonts w:eastAsia="Arial" w:cstheme="minorHAnsi"/>
          <w:sz w:val="22"/>
          <w:szCs w:val="22"/>
          <w:lang w:val="en" w:eastAsia="en-GB"/>
        </w:rPr>
        <w:fldChar w:fldCharType="separate"/>
      </w:r>
      <w:r w:rsidR="00642970">
        <w:rPr>
          <w:rFonts w:eastAsia="Arial" w:cstheme="minorHAnsi"/>
          <w:noProof/>
          <w:sz w:val="22"/>
          <w:szCs w:val="22"/>
          <w:lang w:val="en" w:eastAsia="en-GB"/>
        </w:rPr>
        <w:t>(4)</w:t>
      </w:r>
      <w:r w:rsidR="00C9351E">
        <w:rPr>
          <w:rFonts w:eastAsia="Arial" w:cstheme="minorHAnsi"/>
          <w:sz w:val="22"/>
          <w:szCs w:val="22"/>
          <w:lang w:val="en" w:eastAsia="en-GB"/>
        </w:rPr>
        <w:fldChar w:fldCharType="end"/>
      </w:r>
      <w:r w:rsidR="00C9351E">
        <w:rPr>
          <w:rFonts w:eastAsia="Arial" w:cstheme="minorHAnsi"/>
          <w:color w:val="000000"/>
          <w:sz w:val="22"/>
          <w:szCs w:val="22"/>
          <w:lang w:val="en" w:eastAsia="en-GB"/>
        </w:rPr>
        <w:t xml:space="preserve"> </w:t>
      </w:r>
      <w:r w:rsidRPr="00117750">
        <w:rPr>
          <w:rFonts w:eastAsia="Arial" w:cstheme="minorHAnsi"/>
          <w:sz w:val="22"/>
          <w:szCs w:val="22"/>
          <w:lang w:val="en" w:eastAsia="en-GB"/>
        </w:rPr>
        <w:t xml:space="preserve">and SRNS guidelines </w:t>
      </w:r>
      <w:r w:rsidR="00C9351E">
        <w:rPr>
          <w:rFonts w:eastAsia="Arial" w:cstheme="minorHAnsi"/>
          <w:sz w:val="22"/>
          <w:szCs w:val="22"/>
          <w:lang w:val="en" w:eastAsia="en-GB"/>
        </w:rPr>
        <w:fldChar w:fldCharType="begin"/>
      </w:r>
      <w:r w:rsidR="00642970">
        <w:rPr>
          <w:rFonts w:eastAsia="Arial" w:cstheme="minorHAnsi"/>
          <w:sz w:val="22"/>
          <w:szCs w:val="22"/>
          <w:lang w:val="en" w:eastAsia="en-GB"/>
        </w:rPr>
        <w:instrText xml:space="preserve"> ADDIN ZOTERO_ITEM CSL_CITATION {"citationID":"ieWlM1bX","properties":{"formattedCitation":"(3)","plainCitation":"(3)","noteIndex":0},"citationItems":[{"id":5,"uris":["http://zotero.org/users/local/lvPLY4Gu/items/N8V5SKMZ"],"itemData":{"id":5,"type":"article-journal","abstract":"Idiopathic nephrotic syndrome newly affects 1-3 per 100,000 children per year. Approximately 85% of cases show complete remission of proteinuria following glucocorticoid treatment. Patients who do not achieve complete remission within 4-6 weeks of glucocorticoid treatment have steroid-resistant nephrotic syndrome (SRNS). In 10-30% of steroid-resistant patients, mutations in podocyte-associated genes can be detected, whereas an undefined circulating factor of immune origin is assumed in the remaining ones. Diagnosis and management of SRNS is a great challenge due to its heterogeneous etiology, frequent lack of remission by further immunosuppressive treatment, and severe complications including the development of end-stage kidney disease and recurrence after renal transplantation. A team of experts including pediatric nephrologists and renal geneticists from the International Pediatric Nephrology Association (IPNA), a renal pathologist, and an adult nephrologist have now developed comprehensive clinical practice recommendations on the diagnosis and management of SRNS in children. The team performed a systematic literature review on 9 clinically relevant PICO (Patient or Population covered, Intervention, Comparator, Outcome) questions, formulated recommendations and formally graded them at a consensus meeting, with input from patient representatives and a dietician acting as external advisors and a voting panel of pediatric nephrologists. Research recommendations are also given.","container-title":"Pediatric Nephrology (Berlin, Germany)","DOI":"10.1007/s00467-020-04519-1","ISSN":"1432-198X","issue":"8","journalAbbreviation":"Pediatr Nephrol","language":"eng","note":"PMID: 32382828\nPMCID: PMC7316686","page":"1529-1561","source":"PubMed","title":"IPNA clinical practice recommendations for the diagnosis and management of children with steroid-resistant nephrotic syndrome","volume":"35","author":[{"family":"Trautmann","given":"Agnes"},{"family":"Vivarelli","given":"Marina"},{"family":"Samuel","given":"Susan"},{"family":"Gipson","given":"Debbie"},{"family":"Sinha","given":"Aditi"},{"family":"Schaefer","given":"Franz"},{"family":"Hui","given":"Ng Kar"},{"family":"Boyer","given":"Olivia"},{"family":"Saleem","given":"Moin A."},{"family":"Feltran","given":"Luciana"},{"family":"Müller-Deile","given":"Janina"},{"family":"Becker","given":"Jan Ulrich"},{"family":"Cano","given":"Francisco"},{"family":"Xu","given":"Hong"},{"family":"Lim","given":"Yam Ngo"},{"family":"Smoyer","given":"William"},{"family":"Anochie","given":"Ifeoma"},{"family":"Nakanishi","given":"Koichi"},{"family":"Hodson","given":"Elisabeth"},{"family":"Haffner","given":"Dieter"},{"literal":"International Pediatric Nephrology Association"}],"issued":{"date-parts":[["2020",8]]}}}],"schema":"https://github.com/citation-style-language/schema/raw/master/csl-citation.json"} </w:instrText>
      </w:r>
      <w:r w:rsidR="00C9351E">
        <w:rPr>
          <w:rFonts w:eastAsia="Arial" w:cstheme="minorHAnsi"/>
          <w:sz w:val="22"/>
          <w:szCs w:val="22"/>
          <w:lang w:val="en" w:eastAsia="en-GB"/>
        </w:rPr>
        <w:fldChar w:fldCharType="separate"/>
      </w:r>
      <w:r w:rsidR="00642970">
        <w:rPr>
          <w:rFonts w:eastAsia="Arial" w:cstheme="minorHAnsi"/>
          <w:noProof/>
          <w:sz w:val="22"/>
          <w:szCs w:val="22"/>
          <w:lang w:val="en" w:eastAsia="en-GB"/>
        </w:rPr>
        <w:t>(3)</w:t>
      </w:r>
      <w:r w:rsidR="00C9351E">
        <w:rPr>
          <w:rFonts w:eastAsia="Arial" w:cstheme="minorHAnsi"/>
          <w:sz w:val="22"/>
          <w:szCs w:val="22"/>
          <w:lang w:val="en" w:eastAsia="en-GB"/>
        </w:rPr>
        <w:fldChar w:fldCharType="end"/>
      </w:r>
      <w:r w:rsidR="00C9351E">
        <w:rPr>
          <w:rFonts w:eastAsia="Arial" w:cstheme="minorHAnsi"/>
          <w:sz w:val="22"/>
          <w:szCs w:val="22"/>
          <w:lang w:val="en" w:eastAsia="en-GB"/>
        </w:rPr>
        <w:t xml:space="preserve"> </w:t>
      </w:r>
      <w:r w:rsidRPr="00117750">
        <w:rPr>
          <w:rFonts w:eastAsia="Arial" w:cstheme="minorHAnsi"/>
          <w:sz w:val="22"/>
          <w:szCs w:val="22"/>
          <w:lang w:val="en" w:eastAsia="en-GB"/>
        </w:rPr>
        <w:t xml:space="preserve">with minor modifications for standard UK practice.  </w:t>
      </w:r>
      <w:bookmarkStart w:id="8" w:name="_iwnrklwafyb8" w:colFirst="0" w:colLast="0"/>
      <w:bookmarkEnd w:id="8"/>
    </w:p>
    <w:tbl>
      <w:tblPr>
        <w:tblStyle w:val="TableGrid"/>
        <w:tblW w:w="0" w:type="auto"/>
        <w:tblLook w:val="04A0" w:firstRow="1" w:lastRow="0" w:firstColumn="1" w:lastColumn="0" w:noHBand="0" w:noVBand="1"/>
      </w:tblPr>
      <w:tblGrid>
        <w:gridCol w:w="846"/>
        <w:gridCol w:w="9497"/>
      </w:tblGrid>
      <w:tr w:rsidR="00837E18" w14:paraId="50176A21" w14:textId="77777777" w:rsidTr="102F4F22">
        <w:tc>
          <w:tcPr>
            <w:tcW w:w="10343" w:type="dxa"/>
            <w:gridSpan w:val="2"/>
          </w:tcPr>
          <w:p w14:paraId="6FB6BA56" w14:textId="77777777" w:rsidR="001D1F02" w:rsidRPr="00117750" w:rsidRDefault="001630D4" w:rsidP="003F494F">
            <w:pPr>
              <w:spacing w:before="240" w:line="360" w:lineRule="auto"/>
              <w:rPr>
                <w:rFonts w:eastAsia="Arial" w:cstheme="minorHAnsi"/>
                <w:b/>
                <w:sz w:val="22"/>
                <w:szCs w:val="22"/>
                <w:lang w:val="en" w:eastAsia="en-GB"/>
              </w:rPr>
            </w:pPr>
            <w:r w:rsidRPr="00117750">
              <w:rPr>
                <w:rFonts w:eastAsia="Arial" w:cstheme="minorHAnsi"/>
                <w:b/>
                <w:sz w:val="22"/>
                <w:szCs w:val="22"/>
                <w:lang w:val="en" w:eastAsia="en-GB"/>
              </w:rPr>
              <w:t>Initial presentation and steroid sensitivity</w:t>
            </w:r>
          </w:p>
        </w:tc>
      </w:tr>
      <w:tr w:rsidR="00837E18" w14:paraId="140EC18E" w14:textId="77777777" w:rsidTr="102F4F22">
        <w:tc>
          <w:tcPr>
            <w:tcW w:w="846" w:type="dxa"/>
          </w:tcPr>
          <w:p w14:paraId="2D4F5B9E" w14:textId="77777777" w:rsidR="001D1F02" w:rsidRPr="00117750" w:rsidRDefault="001630D4" w:rsidP="003F494F">
            <w:pPr>
              <w:spacing w:before="240" w:line="360" w:lineRule="auto"/>
              <w:rPr>
                <w:rFonts w:eastAsia="Arial" w:cstheme="minorHAnsi"/>
                <w:sz w:val="22"/>
                <w:szCs w:val="22"/>
                <w:lang w:val="en" w:eastAsia="en-GB"/>
              </w:rPr>
            </w:pPr>
            <w:r w:rsidRPr="00117750">
              <w:rPr>
                <w:rFonts w:eastAsia="Arial" w:cstheme="minorHAnsi"/>
                <w:sz w:val="22"/>
                <w:szCs w:val="22"/>
                <w:lang w:val="en" w:eastAsia="en-GB"/>
              </w:rPr>
              <w:t>a</w:t>
            </w:r>
          </w:p>
        </w:tc>
        <w:tc>
          <w:tcPr>
            <w:tcW w:w="9497" w:type="dxa"/>
          </w:tcPr>
          <w:p w14:paraId="587A77E4" w14:textId="77777777" w:rsidR="001D1F02" w:rsidRPr="00117750" w:rsidRDefault="001630D4" w:rsidP="003F494F">
            <w:pPr>
              <w:spacing w:before="240" w:line="360" w:lineRule="auto"/>
              <w:rPr>
                <w:rFonts w:eastAsia="Arial" w:cstheme="minorHAnsi"/>
                <w:sz w:val="22"/>
                <w:szCs w:val="22"/>
                <w:lang w:val="en" w:eastAsia="en-GB"/>
              </w:rPr>
            </w:pPr>
            <w:r w:rsidRPr="00117750">
              <w:rPr>
                <w:rFonts w:eastAsia="Arial" w:cstheme="minorHAnsi"/>
                <w:sz w:val="22"/>
                <w:szCs w:val="22"/>
                <w:lang w:val="en" w:eastAsia="en-GB"/>
              </w:rPr>
              <w:t>A ‘typical’ or uncomplicated initial presentation of childhood idiopathic nephrotic syndrome (INS) is defined by:</w:t>
            </w:r>
          </w:p>
          <w:p w14:paraId="6D564835" w14:textId="4790910B" w:rsidR="001D1F02" w:rsidRPr="00117750" w:rsidRDefault="001630D4" w:rsidP="003F494F">
            <w:pPr>
              <w:pStyle w:val="ListParagraph"/>
              <w:numPr>
                <w:ilvl w:val="0"/>
                <w:numId w:val="12"/>
              </w:numPr>
              <w:spacing w:before="240" w:line="360" w:lineRule="auto"/>
              <w:rPr>
                <w:rFonts w:eastAsia="Arial" w:cstheme="minorHAnsi"/>
                <w:sz w:val="22"/>
                <w:szCs w:val="22"/>
                <w:lang w:val="en" w:eastAsia="en-GB"/>
              </w:rPr>
            </w:pPr>
            <w:r w:rsidRPr="00117750">
              <w:rPr>
                <w:rFonts w:eastAsia="Arial" w:cstheme="minorHAnsi"/>
                <w:sz w:val="22"/>
                <w:szCs w:val="22"/>
                <w:lang w:val="en" w:eastAsia="en-GB"/>
              </w:rPr>
              <w:t>Onset in early childhood with a</w:t>
            </w:r>
            <w:r w:rsidR="00A96E8A">
              <w:rPr>
                <w:rFonts w:eastAsia="Arial" w:cstheme="minorHAnsi"/>
                <w:sz w:val="22"/>
                <w:szCs w:val="22"/>
                <w:lang w:val="en" w:eastAsia="en-GB"/>
              </w:rPr>
              <w:t xml:space="preserve"> typical</w:t>
            </w:r>
            <w:r w:rsidRPr="00117750">
              <w:rPr>
                <w:rFonts w:eastAsia="Arial" w:cstheme="minorHAnsi"/>
                <w:sz w:val="22"/>
                <w:szCs w:val="22"/>
                <w:lang w:val="en" w:eastAsia="en-GB"/>
              </w:rPr>
              <w:t xml:space="preserve"> age of 18 months to </w:t>
            </w:r>
            <w:r w:rsidR="00856ED7">
              <w:rPr>
                <w:rFonts w:eastAsia="Arial" w:cstheme="minorHAnsi"/>
                <w:sz w:val="22"/>
                <w:szCs w:val="22"/>
                <w:lang w:val="en" w:eastAsia="en-GB"/>
              </w:rPr>
              <w:t xml:space="preserve">3 years with a range up to </w:t>
            </w:r>
            <w:r w:rsidRPr="00117750">
              <w:rPr>
                <w:rFonts w:eastAsia="Arial" w:cstheme="minorHAnsi"/>
                <w:sz w:val="22"/>
                <w:szCs w:val="22"/>
                <w:lang w:val="en" w:eastAsia="en-GB"/>
              </w:rPr>
              <w:t>12 years</w:t>
            </w:r>
          </w:p>
          <w:p w14:paraId="221D060D" w14:textId="361C707B" w:rsidR="001D1F02" w:rsidRPr="00117750" w:rsidRDefault="001630D4" w:rsidP="003F494F">
            <w:pPr>
              <w:pStyle w:val="ListParagraph"/>
              <w:numPr>
                <w:ilvl w:val="0"/>
                <w:numId w:val="12"/>
              </w:numPr>
              <w:spacing w:before="240" w:line="360" w:lineRule="auto"/>
              <w:rPr>
                <w:rFonts w:eastAsia="Arial" w:cstheme="minorHAnsi"/>
                <w:sz w:val="22"/>
                <w:szCs w:val="22"/>
                <w:lang w:val="en" w:eastAsia="en-GB"/>
              </w:rPr>
            </w:pPr>
            <w:r w:rsidRPr="00117750">
              <w:rPr>
                <w:rFonts w:eastAsia="Arial" w:cstheme="minorHAnsi"/>
                <w:sz w:val="22"/>
                <w:szCs w:val="22"/>
                <w:lang w:val="en" w:eastAsia="en-GB"/>
              </w:rPr>
              <w:t xml:space="preserve">Nephrotic range proteinuria as defined by urine </w:t>
            </w:r>
            <w:proofErr w:type="spellStart"/>
            <w:r w:rsidRPr="00117750">
              <w:rPr>
                <w:rFonts w:eastAsia="Arial" w:cstheme="minorHAnsi"/>
                <w:sz w:val="22"/>
                <w:szCs w:val="22"/>
                <w:lang w:val="en" w:eastAsia="en-GB"/>
              </w:rPr>
              <w:t>protein:creatinine</w:t>
            </w:r>
            <w:proofErr w:type="spellEnd"/>
            <w:r w:rsidRPr="00117750">
              <w:rPr>
                <w:rFonts w:eastAsia="Arial" w:cstheme="minorHAnsi"/>
                <w:sz w:val="22"/>
                <w:szCs w:val="22"/>
                <w:lang w:val="en" w:eastAsia="en-GB"/>
              </w:rPr>
              <w:t xml:space="preserve"> ratio &gt;200 mg/mmol</w:t>
            </w:r>
            <w:r w:rsidR="00856ED7">
              <w:rPr>
                <w:rFonts w:eastAsia="Arial" w:cstheme="minorHAnsi"/>
                <w:sz w:val="22"/>
                <w:szCs w:val="22"/>
                <w:lang w:val="en" w:eastAsia="en-GB"/>
              </w:rPr>
              <w:t xml:space="preserve"> together with </w:t>
            </w:r>
            <w:proofErr w:type="spellStart"/>
            <w:r w:rsidR="00856ED7">
              <w:rPr>
                <w:rFonts w:eastAsia="Arial" w:cstheme="minorHAnsi"/>
                <w:sz w:val="22"/>
                <w:szCs w:val="22"/>
                <w:lang w:val="en" w:eastAsia="en-GB"/>
              </w:rPr>
              <w:t>hypoalbuminaemia</w:t>
            </w:r>
            <w:proofErr w:type="spellEnd"/>
            <w:r w:rsidR="00856ED7">
              <w:rPr>
                <w:rFonts w:eastAsia="Arial" w:cstheme="minorHAnsi"/>
                <w:sz w:val="22"/>
                <w:szCs w:val="22"/>
                <w:lang w:val="en" w:eastAsia="en-GB"/>
              </w:rPr>
              <w:t xml:space="preserve"> and clinically detectable oedema. </w:t>
            </w:r>
          </w:p>
          <w:p w14:paraId="5DDBFE5E" w14:textId="4292F409" w:rsidR="001D1F02" w:rsidRPr="00117750" w:rsidRDefault="00856ED7" w:rsidP="003F494F">
            <w:pPr>
              <w:pStyle w:val="ListParagraph"/>
              <w:numPr>
                <w:ilvl w:val="0"/>
                <w:numId w:val="12"/>
              </w:numPr>
              <w:spacing w:before="240" w:line="360" w:lineRule="auto"/>
              <w:rPr>
                <w:rFonts w:eastAsia="Arial" w:cstheme="minorHAnsi"/>
                <w:sz w:val="22"/>
                <w:szCs w:val="22"/>
                <w:lang w:val="en" w:eastAsia="en-GB"/>
              </w:rPr>
            </w:pPr>
            <w:r>
              <w:rPr>
                <w:rFonts w:eastAsia="Arial" w:cstheme="minorHAnsi"/>
                <w:sz w:val="22"/>
                <w:szCs w:val="22"/>
                <w:lang w:val="en" w:eastAsia="en-GB"/>
              </w:rPr>
              <w:t>Exclusion</w:t>
            </w:r>
            <w:r w:rsidRPr="00117750">
              <w:rPr>
                <w:rFonts w:eastAsia="Arial" w:cstheme="minorHAnsi"/>
                <w:sz w:val="22"/>
                <w:szCs w:val="22"/>
                <w:lang w:val="en" w:eastAsia="en-GB"/>
              </w:rPr>
              <w:t xml:space="preserve"> </w:t>
            </w:r>
            <w:r w:rsidR="001630D4" w:rsidRPr="00117750">
              <w:rPr>
                <w:rFonts w:eastAsia="Arial" w:cstheme="minorHAnsi"/>
                <w:sz w:val="22"/>
                <w:szCs w:val="22"/>
                <w:lang w:val="en" w:eastAsia="en-GB"/>
              </w:rPr>
              <w:t xml:space="preserve">of atypical features </w:t>
            </w:r>
            <w:r w:rsidR="001F6973">
              <w:rPr>
                <w:rFonts w:eastAsia="Arial" w:cstheme="minorHAnsi"/>
                <w:sz w:val="22"/>
                <w:szCs w:val="22"/>
                <w:lang w:val="en" w:eastAsia="en-GB"/>
              </w:rPr>
              <w:t>such as</w:t>
            </w:r>
            <w:r w:rsidR="001630D4" w:rsidRPr="00117750">
              <w:rPr>
                <w:rFonts w:eastAsia="Arial" w:cstheme="minorHAnsi"/>
                <w:sz w:val="22"/>
                <w:szCs w:val="22"/>
                <w:lang w:val="en" w:eastAsia="en-GB"/>
              </w:rPr>
              <w:t xml:space="preserve"> </w:t>
            </w:r>
            <w:r w:rsidR="00406F4D">
              <w:rPr>
                <w:rFonts w:eastAsia="Arial" w:cstheme="minorHAnsi"/>
                <w:sz w:val="22"/>
                <w:szCs w:val="22"/>
                <w:lang w:val="en" w:eastAsia="en-GB"/>
              </w:rPr>
              <w:t>faltering growth</w:t>
            </w:r>
            <w:r>
              <w:rPr>
                <w:rFonts w:eastAsia="Arial" w:cstheme="minorHAnsi"/>
                <w:sz w:val="22"/>
                <w:szCs w:val="22"/>
                <w:lang w:val="en" w:eastAsia="en-GB"/>
              </w:rPr>
              <w:t>, fatigue,</w:t>
            </w:r>
            <w:r w:rsidR="001630D4" w:rsidRPr="00117750">
              <w:rPr>
                <w:rFonts w:eastAsia="Arial" w:cstheme="minorHAnsi"/>
                <w:sz w:val="22"/>
                <w:szCs w:val="22"/>
                <w:lang w:val="en" w:eastAsia="en-GB"/>
              </w:rPr>
              <w:t xml:space="preserve"> </w:t>
            </w:r>
            <w:r>
              <w:rPr>
                <w:rFonts w:eastAsia="Arial" w:cstheme="minorHAnsi"/>
                <w:sz w:val="22"/>
                <w:szCs w:val="22"/>
                <w:lang w:val="en" w:eastAsia="en-GB"/>
              </w:rPr>
              <w:t xml:space="preserve">chronic kidney disease, </w:t>
            </w:r>
            <w:r w:rsidR="001630D4" w:rsidRPr="00117750">
              <w:rPr>
                <w:rFonts w:eastAsia="Arial" w:cstheme="minorHAnsi"/>
                <w:sz w:val="22"/>
                <w:szCs w:val="22"/>
                <w:lang w:val="en" w:eastAsia="en-GB"/>
              </w:rPr>
              <w:t xml:space="preserve">macroscopic </w:t>
            </w:r>
            <w:proofErr w:type="spellStart"/>
            <w:r w:rsidR="001630D4" w:rsidRPr="00117750">
              <w:rPr>
                <w:rFonts w:eastAsia="Arial" w:cstheme="minorHAnsi"/>
                <w:sz w:val="22"/>
                <w:szCs w:val="22"/>
                <w:lang w:val="en" w:eastAsia="en-GB"/>
              </w:rPr>
              <w:t>haematuria</w:t>
            </w:r>
            <w:proofErr w:type="spellEnd"/>
            <w:r w:rsidR="001630D4" w:rsidRPr="00117750">
              <w:rPr>
                <w:rFonts w:eastAsia="Arial" w:cstheme="minorHAnsi"/>
                <w:sz w:val="22"/>
                <w:szCs w:val="22"/>
                <w:lang w:val="en" w:eastAsia="en-GB"/>
              </w:rPr>
              <w:t xml:space="preserve">, </w:t>
            </w:r>
            <w:r w:rsidR="001F6973">
              <w:rPr>
                <w:rFonts w:eastAsia="Arial" w:cstheme="minorHAnsi"/>
                <w:sz w:val="22"/>
                <w:szCs w:val="22"/>
                <w:lang w:val="en" w:eastAsia="en-GB"/>
              </w:rPr>
              <w:t>systemic symptoms including</w:t>
            </w:r>
            <w:r w:rsidR="00225DAC">
              <w:rPr>
                <w:rFonts w:eastAsia="Arial" w:cstheme="minorHAnsi"/>
                <w:sz w:val="22"/>
                <w:szCs w:val="22"/>
                <w:lang w:val="en" w:eastAsia="en-GB"/>
              </w:rPr>
              <w:t xml:space="preserve"> rash,</w:t>
            </w:r>
            <w:r w:rsidR="001F6973">
              <w:rPr>
                <w:rFonts w:eastAsia="Arial" w:cstheme="minorHAnsi"/>
                <w:sz w:val="22"/>
                <w:szCs w:val="22"/>
                <w:lang w:val="en" w:eastAsia="en-GB"/>
              </w:rPr>
              <w:t xml:space="preserve"> </w:t>
            </w:r>
            <w:r w:rsidR="001630D4" w:rsidRPr="00117750">
              <w:rPr>
                <w:rFonts w:eastAsia="Arial" w:cstheme="minorHAnsi"/>
                <w:sz w:val="22"/>
                <w:szCs w:val="22"/>
                <w:lang w:val="en" w:eastAsia="en-GB"/>
              </w:rPr>
              <w:t>joint pain or swelling</w:t>
            </w:r>
            <w:r w:rsidR="001F6973">
              <w:rPr>
                <w:rFonts w:eastAsia="Arial" w:cstheme="minorHAnsi"/>
                <w:sz w:val="22"/>
                <w:szCs w:val="22"/>
                <w:lang w:val="en" w:eastAsia="en-GB"/>
              </w:rPr>
              <w:t xml:space="preserve">, </w:t>
            </w:r>
            <w:r w:rsidR="001630D4" w:rsidRPr="00117750">
              <w:rPr>
                <w:rFonts w:eastAsia="Arial" w:cstheme="minorHAnsi"/>
                <w:sz w:val="22"/>
                <w:szCs w:val="22"/>
                <w:lang w:val="en" w:eastAsia="en-GB"/>
              </w:rPr>
              <w:t>sustained hypertension</w:t>
            </w:r>
            <w:r w:rsidR="00225DAC">
              <w:rPr>
                <w:rFonts w:eastAsia="Arial" w:cstheme="minorHAnsi"/>
                <w:sz w:val="22"/>
                <w:szCs w:val="22"/>
                <w:lang w:val="en" w:eastAsia="en-GB"/>
              </w:rPr>
              <w:t xml:space="preserve">, </w:t>
            </w:r>
            <w:r w:rsidR="001630D4" w:rsidRPr="00117750">
              <w:rPr>
                <w:rFonts w:eastAsia="Arial" w:cstheme="minorHAnsi"/>
                <w:sz w:val="22"/>
                <w:szCs w:val="22"/>
                <w:lang w:val="en" w:eastAsia="en-GB"/>
              </w:rPr>
              <w:t>ab</w:t>
            </w:r>
            <w:r w:rsidR="00566D06">
              <w:rPr>
                <w:rFonts w:eastAsia="Arial" w:cstheme="minorHAnsi"/>
                <w:sz w:val="22"/>
                <w:szCs w:val="22"/>
                <w:lang w:val="en" w:eastAsia="en-GB"/>
              </w:rPr>
              <w:t>n</w:t>
            </w:r>
            <w:r w:rsidR="001630D4" w:rsidRPr="00117750">
              <w:rPr>
                <w:rFonts w:eastAsia="Arial" w:cstheme="minorHAnsi"/>
                <w:sz w:val="22"/>
                <w:szCs w:val="22"/>
                <w:lang w:val="en" w:eastAsia="en-GB"/>
              </w:rPr>
              <w:t xml:space="preserve">ormal </w:t>
            </w:r>
            <w:r w:rsidR="00225DAC">
              <w:rPr>
                <w:rFonts w:eastAsia="Arial" w:cstheme="minorHAnsi"/>
                <w:sz w:val="22"/>
                <w:szCs w:val="22"/>
                <w:lang w:val="en" w:eastAsia="en-GB"/>
              </w:rPr>
              <w:t xml:space="preserve">autoantibody profile or </w:t>
            </w:r>
            <w:r w:rsidR="001630D4" w:rsidRPr="00117750">
              <w:rPr>
                <w:rFonts w:eastAsia="Arial" w:cstheme="minorHAnsi"/>
                <w:sz w:val="22"/>
                <w:szCs w:val="22"/>
                <w:lang w:val="en" w:eastAsia="en-GB"/>
              </w:rPr>
              <w:t>complement (if measured)</w:t>
            </w:r>
            <w:r w:rsidR="00A96E8A">
              <w:rPr>
                <w:rFonts w:eastAsia="Arial" w:cstheme="minorHAnsi"/>
                <w:sz w:val="22"/>
                <w:szCs w:val="22"/>
                <w:lang w:val="en" w:eastAsia="en-GB"/>
              </w:rPr>
              <w:t>.</w:t>
            </w:r>
          </w:p>
          <w:p w14:paraId="5BBA45A5" w14:textId="76527709" w:rsidR="001D1F02" w:rsidRPr="00117750" w:rsidRDefault="001630D4" w:rsidP="003F494F">
            <w:pPr>
              <w:pStyle w:val="ListParagraph"/>
              <w:numPr>
                <w:ilvl w:val="0"/>
                <w:numId w:val="12"/>
              </w:numPr>
              <w:spacing w:before="240" w:line="360" w:lineRule="auto"/>
              <w:rPr>
                <w:rFonts w:eastAsia="Arial" w:cstheme="minorHAnsi"/>
                <w:sz w:val="22"/>
                <w:szCs w:val="22"/>
                <w:lang w:val="en" w:eastAsia="en-GB"/>
              </w:rPr>
            </w:pPr>
            <w:r w:rsidRPr="00117750">
              <w:rPr>
                <w:rFonts w:eastAsia="Arial" w:cstheme="minorHAnsi"/>
                <w:sz w:val="22"/>
                <w:szCs w:val="22"/>
                <w:lang w:val="en" w:eastAsia="en-GB"/>
              </w:rPr>
              <w:t xml:space="preserve">Normal renal function (in the absence of acute </w:t>
            </w:r>
            <w:proofErr w:type="spellStart"/>
            <w:r w:rsidRPr="00117750">
              <w:rPr>
                <w:rFonts w:eastAsia="Arial" w:cstheme="minorHAnsi"/>
                <w:sz w:val="22"/>
                <w:szCs w:val="22"/>
                <w:lang w:val="en" w:eastAsia="en-GB"/>
              </w:rPr>
              <w:t>hyp</w:t>
            </w:r>
            <w:r w:rsidR="00566D06">
              <w:rPr>
                <w:rFonts w:eastAsia="Arial" w:cstheme="minorHAnsi"/>
                <w:sz w:val="22"/>
                <w:szCs w:val="22"/>
                <w:lang w:val="en" w:eastAsia="en-GB"/>
              </w:rPr>
              <w:t>o</w:t>
            </w:r>
            <w:r w:rsidRPr="00117750">
              <w:rPr>
                <w:rFonts w:eastAsia="Arial" w:cstheme="minorHAnsi"/>
                <w:sz w:val="22"/>
                <w:szCs w:val="22"/>
                <w:lang w:val="en" w:eastAsia="en-GB"/>
              </w:rPr>
              <w:t>volaemia</w:t>
            </w:r>
            <w:proofErr w:type="spellEnd"/>
            <w:r w:rsidRPr="00117750">
              <w:rPr>
                <w:rFonts w:eastAsia="Arial" w:cstheme="minorHAnsi"/>
                <w:sz w:val="22"/>
                <w:szCs w:val="22"/>
                <w:lang w:val="en" w:eastAsia="en-GB"/>
              </w:rPr>
              <w:t xml:space="preserve">) or failure of renal function to </w:t>
            </w:r>
            <w:proofErr w:type="spellStart"/>
            <w:r w:rsidRPr="00117750">
              <w:rPr>
                <w:rFonts w:eastAsia="Arial" w:cstheme="minorHAnsi"/>
                <w:sz w:val="22"/>
                <w:szCs w:val="22"/>
                <w:lang w:val="en" w:eastAsia="en-GB"/>
              </w:rPr>
              <w:t>normalise</w:t>
            </w:r>
            <w:proofErr w:type="spellEnd"/>
            <w:r w:rsidRPr="00117750">
              <w:rPr>
                <w:rFonts w:eastAsia="Arial" w:cstheme="minorHAnsi"/>
                <w:sz w:val="22"/>
                <w:szCs w:val="22"/>
                <w:lang w:val="en" w:eastAsia="en-GB"/>
              </w:rPr>
              <w:t xml:space="preserve"> after </w:t>
            </w:r>
            <w:proofErr w:type="spellStart"/>
            <w:r w:rsidRPr="00117750">
              <w:rPr>
                <w:rFonts w:eastAsia="Arial" w:cstheme="minorHAnsi"/>
                <w:sz w:val="22"/>
                <w:szCs w:val="22"/>
                <w:lang w:val="en" w:eastAsia="en-GB"/>
              </w:rPr>
              <w:t>hypovolaemia</w:t>
            </w:r>
            <w:proofErr w:type="spellEnd"/>
            <w:r w:rsidRPr="00117750">
              <w:rPr>
                <w:rFonts w:eastAsia="Arial" w:cstheme="minorHAnsi"/>
                <w:sz w:val="22"/>
                <w:szCs w:val="22"/>
                <w:lang w:val="en" w:eastAsia="en-GB"/>
              </w:rPr>
              <w:t xml:space="preserve"> is corrected</w:t>
            </w:r>
          </w:p>
        </w:tc>
      </w:tr>
      <w:tr w:rsidR="00837E18" w14:paraId="4E83015E" w14:textId="77777777" w:rsidTr="102F4F22">
        <w:tc>
          <w:tcPr>
            <w:tcW w:w="846" w:type="dxa"/>
          </w:tcPr>
          <w:p w14:paraId="15242CAB" w14:textId="77777777" w:rsidR="001D1F02" w:rsidRPr="00117750" w:rsidRDefault="001630D4" w:rsidP="003F494F">
            <w:pPr>
              <w:spacing w:before="240" w:line="360" w:lineRule="auto"/>
              <w:rPr>
                <w:rFonts w:eastAsia="Arial" w:cstheme="minorHAnsi"/>
                <w:sz w:val="22"/>
                <w:szCs w:val="22"/>
                <w:lang w:val="en" w:eastAsia="en-GB"/>
              </w:rPr>
            </w:pPr>
            <w:r w:rsidRPr="00117750">
              <w:rPr>
                <w:rFonts w:eastAsia="Arial" w:cstheme="minorHAnsi"/>
                <w:sz w:val="22"/>
                <w:szCs w:val="22"/>
                <w:lang w:val="en" w:eastAsia="en-GB"/>
              </w:rPr>
              <w:lastRenderedPageBreak/>
              <w:t>b</w:t>
            </w:r>
          </w:p>
        </w:tc>
        <w:tc>
          <w:tcPr>
            <w:tcW w:w="9497" w:type="dxa"/>
          </w:tcPr>
          <w:p w14:paraId="27D26BEC" w14:textId="7108A624" w:rsidR="001D1F02" w:rsidRPr="00117750" w:rsidRDefault="74A0DB8C" w:rsidP="003F494F">
            <w:pPr>
              <w:spacing w:before="240" w:line="360" w:lineRule="auto"/>
              <w:jc w:val="both"/>
              <w:rPr>
                <w:rFonts w:eastAsia="Arial"/>
                <w:sz w:val="22"/>
                <w:szCs w:val="22"/>
                <w:lang w:val="en" w:eastAsia="en-GB"/>
              </w:rPr>
            </w:pPr>
            <w:r w:rsidRPr="102F4F22">
              <w:rPr>
                <w:rFonts w:eastAsia="Arial"/>
                <w:sz w:val="22"/>
                <w:szCs w:val="22"/>
                <w:lang w:val="en" w:eastAsia="en-GB"/>
              </w:rPr>
              <w:t xml:space="preserve">Nephrotic syndrome </w:t>
            </w:r>
            <w:r w:rsidR="00A96E8A">
              <w:rPr>
                <w:rFonts w:eastAsia="Arial"/>
                <w:sz w:val="22"/>
                <w:szCs w:val="22"/>
                <w:lang w:val="en" w:eastAsia="en-GB"/>
              </w:rPr>
              <w:t xml:space="preserve">in </w:t>
            </w:r>
            <w:r w:rsidRPr="102F4F22">
              <w:rPr>
                <w:rFonts w:eastAsia="Arial"/>
                <w:sz w:val="22"/>
                <w:szCs w:val="22"/>
                <w:lang w:val="en" w:eastAsia="en-GB"/>
              </w:rPr>
              <w:t>complete re</w:t>
            </w:r>
            <w:r w:rsidR="00A96E8A">
              <w:rPr>
                <w:rFonts w:eastAsia="Arial"/>
                <w:sz w:val="22"/>
                <w:szCs w:val="22"/>
                <w:lang w:val="en" w:eastAsia="en-GB"/>
              </w:rPr>
              <w:t>sponse</w:t>
            </w:r>
            <w:r w:rsidRPr="102F4F22">
              <w:rPr>
                <w:rFonts w:eastAsia="Arial"/>
                <w:sz w:val="22"/>
                <w:szCs w:val="22"/>
                <w:lang w:val="en" w:eastAsia="en-GB"/>
              </w:rPr>
              <w:t xml:space="preserve"> is defined as </w:t>
            </w:r>
            <w:r w:rsidR="00A96E8A">
              <w:rPr>
                <w:rFonts w:eastAsia="Arial"/>
                <w:sz w:val="22"/>
                <w:szCs w:val="22"/>
                <w:lang w:val="en" w:eastAsia="en-GB"/>
              </w:rPr>
              <w:t xml:space="preserve">a negative or trace of </w:t>
            </w:r>
            <w:r w:rsidRPr="102F4F22">
              <w:rPr>
                <w:rFonts w:eastAsia="Arial"/>
                <w:sz w:val="22"/>
                <w:szCs w:val="22"/>
                <w:lang w:val="en" w:eastAsia="en-GB"/>
              </w:rPr>
              <w:t xml:space="preserve">protein on </w:t>
            </w:r>
            <w:r w:rsidR="00A96E8A">
              <w:rPr>
                <w:rFonts w:eastAsia="Arial"/>
                <w:sz w:val="22"/>
                <w:szCs w:val="22"/>
                <w:lang w:val="en" w:eastAsia="en-GB"/>
              </w:rPr>
              <w:t xml:space="preserve">urine </w:t>
            </w:r>
            <w:r w:rsidRPr="102F4F22">
              <w:rPr>
                <w:rFonts w:eastAsia="Arial"/>
                <w:sz w:val="22"/>
                <w:szCs w:val="22"/>
                <w:lang w:val="en" w:eastAsia="en-GB"/>
              </w:rPr>
              <w:t>dipstick for 3 consecutive days.</w:t>
            </w:r>
          </w:p>
        </w:tc>
      </w:tr>
      <w:tr w:rsidR="00837E18" w14:paraId="222BDB17" w14:textId="77777777" w:rsidTr="102F4F22">
        <w:tc>
          <w:tcPr>
            <w:tcW w:w="846" w:type="dxa"/>
          </w:tcPr>
          <w:p w14:paraId="12D85BAD" w14:textId="77777777" w:rsidR="001D1F02" w:rsidRPr="00117750" w:rsidRDefault="001630D4" w:rsidP="003F494F">
            <w:pPr>
              <w:spacing w:before="240" w:line="360" w:lineRule="auto"/>
              <w:rPr>
                <w:rFonts w:eastAsia="Arial" w:cstheme="minorHAnsi"/>
                <w:sz w:val="22"/>
                <w:szCs w:val="22"/>
                <w:lang w:val="en" w:eastAsia="en-GB"/>
              </w:rPr>
            </w:pPr>
            <w:r w:rsidRPr="00117750">
              <w:rPr>
                <w:rFonts w:eastAsia="Arial" w:cstheme="minorHAnsi"/>
                <w:sz w:val="22"/>
                <w:szCs w:val="22"/>
                <w:lang w:val="en" w:eastAsia="en-GB"/>
              </w:rPr>
              <w:t>c</w:t>
            </w:r>
          </w:p>
        </w:tc>
        <w:tc>
          <w:tcPr>
            <w:tcW w:w="9497" w:type="dxa"/>
          </w:tcPr>
          <w:p w14:paraId="1141BE3D" w14:textId="73DA9515" w:rsidR="001D1F02" w:rsidRPr="00117750" w:rsidRDefault="001630D4" w:rsidP="003F494F">
            <w:pPr>
              <w:spacing w:before="240" w:line="360" w:lineRule="auto"/>
              <w:jc w:val="both"/>
              <w:rPr>
                <w:rFonts w:eastAsia="Arial" w:cstheme="minorHAnsi"/>
                <w:sz w:val="22"/>
                <w:szCs w:val="22"/>
                <w:lang w:val="en" w:eastAsia="en-GB"/>
              </w:rPr>
            </w:pPr>
            <w:r w:rsidRPr="00117750">
              <w:rPr>
                <w:rFonts w:eastAsia="Arial" w:cstheme="minorHAnsi"/>
                <w:sz w:val="22"/>
                <w:szCs w:val="22"/>
                <w:lang w:val="en" w:eastAsia="en-GB"/>
              </w:rPr>
              <w:t>Steroid sensitive nephrotic syndrome (SSNS) is defined as nephrotic syndrome which enters complete re</w:t>
            </w:r>
            <w:r w:rsidR="00A96E8A">
              <w:rPr>
                <w:rFonts w:eastAsia="Arial" w:cstheme="minorHAnsi"/>
                <w:sz w:val="22"/>
                <w:szCs w:val="22"/>
                <w:lang w:val="en" w:eastAsia="en-GB"/>
              </w:rPr>
              <w:t>sponse</w:t>
            </w:r>
            <w:r w:rsidRPr="00117750">
              <w:rPr>
                <w:rFonts w:eastAsia="Arial" w:cstheme="minorHAnsi"/>
                <w:sz w:val="22"/>
                <w:szCs w:val="22"/>
                <w:lang w:val="en" w:eastAsia="en-GB"/>
              </w:rPr>
              <w:t xml:space="preserve"> within 4 weeks of taking prednisolone at standard dose (60 mg/m</w:t>
            </w:r>
            <w:r w:rsidRPr="00117750">
              <w:rPr>
                <w:rFonts w:eastAsia="Arial" w:cstheme="minorHAnsi"/>
                <w:sz w:val="22"/>
                <w:szCs w:val="22"/>
                <w:vertAlign w:val="superscript"/>
                <w:lang w:val="en" w:eastAsia="en-GB"/>
              </w:rPr>
              <w:t>2</w:t>
            </w:r>
            <w:r w:rsidRPr="00117750">
              <w:rPr>
                <w:rFonts w:eastAsia="Arial" w:cstheme="minorHAnsi"/>
                <w:sz w:val="22"/>
                <w:szCs w:val="22"/>
                <w:lang w:val="en" w:eastAsia="en-GB"/>
              </w:rPr>
              <w:t xml:space="preserve"> daily, maximum dose 60 mg).</w:t>
            </w:r>
          </w:p>
        </w:tc>
      </w:tr>
      <w:tr w:rsidR="00837E18" w14:paraId="276640E4" w14:textId="77777777" w:rsidTr="102F4F22">
        <w:tc>
          <w:tcPr>
            <w:tcW w:w="846" w:type="dxa"/>
          </w:tcPr>
          <w:p w14:paraId="0780CC4A" w14:textId="77777777" w:rsidR="001D1F02" w:rsidRPr="00117750" w:rsidRDefault="001630D4" w:rsidP="003F494F">
            <w:pPr>
              <w:spacing w:before="240" w:line="360" w:lineRule="auto"/>
              <w:rPr>
                <w:rFonts w:eastAsia="Arial" w:cstheme="minorHAnsi"/>
                <w:sz w:val="22"/>
                <w:szCs w:val="22"/>
                <w:lang w:val="en" w:eastAsia="en-GB"/>
              </w:rPr>
            </w:pPr>
            <w:r w:rsidRPr="00117750">
              <w:rPr>
                <w:rFonts w:eastAsia="Arial" w:cstheme="minorHAnsi"/>
                <w:sz w:val="22"/>
                <w:szCs w:val="22"/>
                <w:lang w:val="en" w:eastAsia="en-GB"/>
              </w:rPr>
              <w:t>d</w:t>
            </w:r>
          </w:p>
        </w:tc>
        <w:tc>
          <w:tcPr>
            <w:tcW w:w="9497" w:type="dxa"/>
          </w:tcPr>
          <w:p w14:paraId="7329D892" w14:textId="44969840" w:rsidR="001D1F02" w:rsidRPr="00117750" w:rsidRDefault="001630D4" w:rsidP="003F494F">
            <w:pPr>
              <w:spacing w:before="240" w:line="360" w:lineRule="auto"/>
              <w:jc w:val="both"/>
              <w:rPr>
                <w:rFonts w:eastAsia="Arial" w:cstheme="minorHAnsi"/>
                <w:sz w:val="22"/>
                <w:szCs w:val="22"/>
                <w:lang w:val="en" w:eastAsia="en-GB"/>
              </w:rPr>
            </w:pPr>
            <w:r w:rsidRPr="00117750">
              <w:rPr>
                <w:rFonts w:eastAsia="Arial" w:cstheme="minorHAnsi"/>
                <w:sz w:val="22"/>
                <w:szCs w:val="22"/>
                <w:lang w:val="en" w:eastAsia="en-GB"/>
              </w:rPr>
              <w:t>Late response SSNS is defined as nephrotic syndrome which enter</w:t>
            </w:r>
            <w:r w:rsidR="00856ED7">
              <w:rPr>
                <w:rFonts w:eastAsia="Arial" w:cstheme="minorHAnsi"/>
                <w:sz w:val="22"/>
                <w:szCs w:val="22"/>
                <w:lang w:val="en" w:eastAsia="en-GB"/>
              </w:rPr>
              <w:t>s</w:t>
            </w:r>
            <w:r w:rsidRPr="00117750">
              <w:rPr>
                <w:rFonts w:eastAsia="Arial" w:cstheme="minorHAnsi"/>
                <w:sz w:val="22"/>
                <w:szCs w:val="22"/>
                <w:lang w:val="en" w:eastAsia="en-GB"/>
              </w:rPr>
              <w:t xml:space="preserve"> complete </w:t>
            </w:r>
            <w:r w:rsidR="00856ED7">
              <w:rPr>
                <w:rFonts w:eastAsia="Arial" w:cstheme="minorHAnsi"/>
                <w:sz w:val="22"/>
                <w:szCs w:val="22"/>
                <w:lang w:val="en" w:eastAsia="en-GB"/>
              </w:rPr>
              <w:t>response between 4-6</w:t>
            </w:r>
            <w:r w:rsidRPr="00117750">
              <w:rPr>
                <w:rFonts w:eastAsia="Arial" w:cstheme="minorHAnsi"/>
                <w:sz w:val="22"/>
                <w:szCs w:val="22"/>
                <w:lang w:val="en" w:eastAsia="en-GB"/>
              </w:rPr>
              <w:t xml:space="preserve"> weeks </w:t>
            </w:r>
            <w:r w:rsidR="00856ED7">
              <w:rPr>
                <w:rFonts w:eastAsia="Arial" w:cstheme="minorHAnsi"/>
                <w:sz w:val="22"/>
                <w:szCs w:val="22"/>
                <w:lang w:val="en" w:eastAsia="en-GB"/>
              </w:rPr>
              <w:t>after</w:t>
            </w:r>
            <w:r w:rsidRPr="00117750">
              <w:rPr>
                <w:rFonts w:eastAsia="Arial" w:cstheme="minorHAnsi"/>
                <w:sz w:val="22"/>
                <w:szCs w:val="22"/>
                <w:lang w:val="en" w:eastAsia="en-GB"/>
              </w:rPr>
              <w:t xml:space="preserve"> taking prednisolone, </w:t>
            </w:r>
            <w:r w:rsidR="00856ED7">
              <w:rPr>
                <w:rFonts w:eastAsia="Arial" w:cstheme="minorHAnsi"/>
                <w:sz w:val="22"/>
                <w:szCs w:val="22"/>
                <w:lang w:val="en" w:eastAsia="en-GB"/>
              </w:rPr>
              <w:t>assuming there has been adequate complian</w:t>
            </w:r>
            <w:r w:rsidR="00856ED7" w:rsidRPr="00406F4D">
              <w:rPr>
                <w:rFonts w:eastAsia="Arial" w:cstheme="minorHAnsi"/>
                <w:color w:val="000000" w:themeColor="text1"/>
                <w:sz w:val="22"/>
                <w:szCs w:val="22"/>
                <w:lang w:val="en" w:eastAsia="en-GB"/>
              </w:rPr>
              <w:t xml:space="preserve">ce, </w:t>
            </w:r>
            <w:r w:rsidR="00225DAC" w:rsidRPr="00406F4D">
              <w:rPr>
                <w:rFonts w:eastAsia="Arial" w:cstheme="minorHAnsi"/>
                <w:color w:val="000000" w:themeColor="text1"/>
                <w:sz w:val="22"/>
                <w:szCs w:val="22"/>
                <w:lang w:val="en" w:eastAsia="en-GB"/>
              </w:rPr>
              <w:t>and</w:t>
            </w:r>
            <w:r w:rsidR="00856ED7" w:rsidRPr="00406F4D">
              <w:rPr>
                <w:rFonts w:eastAsia="Arial" w:cstheme="minorHAnsi"/>
                <w:color w:val="000000" w:themeColor="text1"/>
                <w:sz w:val="22"/>
                <w:szCs w:val="22"/>
                <w:lang w:val="en" w:eastAsia="en-GB"/>
              </w:rPr>
              <w:t xml:space="preserve"> this may include</w:t>
            </w:r>
            <w:r w:rsidR="00225DAC" w:rsidRPr="00406F4D">
              <w:rPr>
                <w:rFonts w:eastAsia="Arial" w:cstheme="minorHAnsi"/>
                <w:color w:val="000000" w:themeColor="text1"/>
                <w:sz w:val="22"/>
                <w:szCs w:val="22"/>
                <w:lang w:val="en" w:eastAsia="en-GB"/>
              </w:rPr>
              <w:t xml:space="preserve"> </w:t>
            </w:r>
            <w:r w:rsidR="00856ED7" w:rsidRPr="00406F4D">
              <w:rPr>
                <w:rFonts w:eastAsia="Arial" w:cstheme="minorHAnsi"/>
                <w:color w:val="000000" w:themeColor="text1"/>
                <w:sz w:val="22"/>
                <w:szCs w:val="22"/>
                <w:lang w:val="en" w:eastAsia="en-GB"/>
              </w:rPr>
              <w:t>the use of</w:t>
            </w:r>
            <w:r w:rsidRPr="00406F4D">
              <w:rPr>
                <w:rFonts w:eastAsia="Arial" w:cstheme="minorHAnsi"/>
                <w:color w:val="000000" w:themeColor="text1"/>
                <w:sz w:val="22"/>
                <w:szCs w:val="22"/>
                <w:lang w:val="en" w:eastAsia="en-GB"/>
              </w:rPr>
              <w:t xml:space="preserve"> 3 doses of intravenous methylprednisolone (500 mg/m</w:t>
            </w:r>
            <w:r w:rsidRPr="00406F4D">
              <w:rPr>
                <w:rFonts w:eastAsia="Arial" w:cstheme="minorHAnsi"/>
                <w:color w:val="000000" w:themeColor="text1"/>
                <w:sz w:val="22"/>
                <w:szCs w:val="22"/>
                <w:vertAlign w:val="superscript"/>
                <w:lang w:val="en" w:eastAsia="en-GB"/>
              </w:rPr>
              <w:t>2</w:t>
            </w:r>
            <w:r w:rsidRPr="00406F4D">
              <w:rPr>
                <w:rFonts w:eastAsia="Arial" w:cstheme="minorHAnsi"/>
                <w:color w:val="000000" w:themeColor="text1"/>
                <w:sz w:val="22"/>
                <w:szCs w:val="22"/>
                <w:lang w:val="en" w:eastAsia="en-GB"/>
              </w:rPr>
              <w:t xml:space="preserve">/day, max dose </w:t>
            </w:r>
            <w:r w:rsidRPr="00117750">
              <w:rPr>
                <w:rFonts w:eastAsia="Arial" w:cstheme="minorHAnsi"/>
                <w:sz w:val="22"/>
                <w:szCs w:val="22"/>
                <w:lang w:val="en" w:eastAsia="en-GB"/>
              </w:rPr>
              <w:t>500 mg).</w:t>
            </w:r>
          </w:p>
        </w:tc>
      </w:tr>
      <w:tr w:rsidR="00837E18" w14:paraId="0A38D98D" w14:textId="77777777" w:rsidTr="102F4F22">
        <w:tc>
          <w:tcPr>
            <w:tcW w:w="846" w:type="dxa"/>
          </w:tcPr>
          <w:p w14:paraId="18D43B61" w14:textId="77777777" w:rsidR="001D1F02" w:rsidRPr="00117750" w:rsidRDefault="001630D4" w:rsidP="003F494F">
            <w:pPr>
              <w:spacing w:before="240" w:line="360" w:lineRule="auto"/>
              <w:rPr>
                <w:rFonts w:eastAsia="Arial" w:cstheme="minorHAnsi"/>
                <w:sz w:val="22"/>
                <w:szCs w:val="22"/>
                <w:lang w:val="en" w:eastAsia="en-GB"/>
              </w:rPr>
            </w:pPr>
            <w:r w:rsidRPr="00117750">
              <w:rPr>
                <w:rFonts w:eastAsia="Arial" w:cstheme="minorHAnsi"/>
                <w:sz w:val="22"/>
                <w:szCs w:val="22"/>
                <w:lang w:val="en" w:eastAsia="en-GB"/>
              </w:rPr>
              <w:t>e</w:t>
            </w:r>
          </w:p>
        </w:tc>
        <w:tc>
          <w:tcPr>
            <w:tcW w:w="9497" w:type="dxa"/>
          </w:tcPr>
          <w:p w14:paraId="20F6B5D5" w14:textId="58E83988" w:rsidR="001D1F02" w:rsidRPr="00117750" w:rsidRDefault="00856ED7" w:rsidP="003F494F">
            <w:pPr>
              <w:spacing w:before="240" w:line="360" w:lineRule="auto"/>
              <w:rPr>
                <w:rFonts w:eastAsia="Arial" w:cstheme="minorHAnsi"/>
                <w:sz w:val="22"/>
                <w:szCs w:val="22"/>
                <w:lang w:val="en" w:eastAsia="en-GB"/>
              </w:rPr>
            </w:pPr>
            <w:r>
              <w:rPr>
                <w:rFonts w:eastAsia="Arial" w:cstheme="minorHAnsi"/>
                <w:sz w:val="22"/>
                <w:szCs w:val="22"/>
                <w:lang w:val="en" w:eastAsia="en-GB"/>
              </w:rPr>
              <w:t>In patients unable to attain complete response to treatment, p</w:t>
            </w:r>
            <w:r w:rsidR="001630D4" w:rsidRPr="00117750">
              <w:rPr>
                <w:rFonts w:eastAsia="Arial" w:cstheme="minorHAnsi"/>
                <w:sz w:val="22"/>
                <w:szCs w:val="22"/>
                <w:lang w:val="en" w:eastAsia="en-GB"/>
              </w:rPr>
              <w:t xml:space="preserve">artial </w:t>
            </w:r>
            <w:r>
              <w:rPr>
                <w:rFonts w:eastAsia="Arial" w:cstheme="minorHAnsi"/>
                <w:sz w:val="22"/>
                <w:szCs w:val="22"/>
                <w:lang w:val="en" w:eastAsia="en-GB"/>
              </w:rPr>
              <w:t xml:space="preserve">response </w:t>
            </w:r>
            <w:r w:rsidR="001630D4" w:rsidRPr="00117750">
              <w:rPr>
                <w:rFonts w:eastAsia="Arial" w:cstheme="minorHAnsi"/>
                <w:sz w:val="22"/>
                <w:szCs w:val="22"/>
                <w:lang w:val="en" w:eastAsia="en-GB"/>
              </w:rPr>
              <w:t>is defined as:</w:t>
            </w:r>
          </w:p>
          <w:p w14:paraId="33AA6BB2" w14:textId="1CE09F9D" w:rsidR="001D1F02" w:rsidRPr="00117750" w:rsidRDefault="001630D4" w:rsidP="003F494F">
            <w:pPr>
              <w:pStyle w:val="ListParagraph"/>
              <w:numPr>
                <w:ilvl w:val="0"/>
                <w:numId w:val="13"/>
              </w:numPr>
              <w:spacing w:before="240" w:line="360" w:lineRule="auto"/>
              <w:rPr>
                <w:rFonts w:eastAsia="Arial" w:cstheme="minorHAnsi"/>
                <w:sz w:val="22"/>
                <w:szCs w:val="22"/>
                <w:lang w:val="en" w:eastAsia="en-GB"/>
              </w:rPr>
            </w:pPr>
            <w:r w:rsidRPr="00117750">
              <w:rPr>
                <w:rFonts w:eastAsia="Arial" w:cstheme="minorHAnsi"/>
                <w:sz w:val="22"/>
                <w:szCs w:val="22"/>
                <w:lang w:val="en" w:eastAsia="en-GB"/>
              </w:rPr>
              <w:t>Urine protein creatinine ratio between 20 and 200 mg/mmol from a first morning void, and</w:t>
            </w:r>
            <w:r w:rsidR="00856ED7">
              <w:rPr>
                <w:rFonts w:eastAsia="Arial" w:cstheme="minorHAnsi"/>
                <w:sz w:val="22"/>
                <w:szCs w:val="22"/>
                <w:lang w:val="en" w:eastAsia="en-GB"/>
              </w:rPr>
              <w:t>/or</w:t>
            </w:r>
          </w:p>
          <w:p w14:paraId="2BF251CC" w14:textId="77777777" w:rsidR="001D1F02" w:rsidRPr="00117750" w:rsidRDefault="001630D4" w:rsidP="003F494F">
            <w:pPr>
              <w:pStyle w:val="ListParagraph"/>
              <w:numPr>
                <w:ilvl w:val="0"/>
                <w:numId w:val="13"/>
              </w:numPr>
              <w:spacing w:before="240" w:line="360" w:lineRule="auto"/>
              <w:rPr>
                <w:rFonts w:eastAsia="Arial" w:cstheme="minorHAnsi"/>
                <w:sz w:val="22"/>
                <w:szCs w:val="22"/>
                <w:lang w:val="en" w:eastAsia="en-GB"/>
              </w:rPr>
            </w:pPr>
            <w:r w:rsidRPr="00117750">
              <w:rPr>
                <w:rFonts w:eastAsia="Arial" w:cstheme="minorHAnsi"/>
                <w:sz w:val="22"/>
                <w:szCs w:val="22"/>
                <w:lang w:val="en" w:eastAsia="en-GB"/>
              </w:rPr>
              <w:t>Serum albumin &gt;30 g/l</w:t>
            </w:r>
          </w:p>
        </w:tc>
      </w:tr>
      <w:tr w:rsidR="00837E18" w14:paraId="632299CA" w14:textId="77777777" w:rsidTr="102F4F22">
        <w:tc>
          <w:tcPr>
            <w:tcW w:w="10343" w:type="dxa"/>
            <w:gridSpan w:val="2"/>
          </w:tcPr>
          <w:p w14:paraId="41FEB2EA" w14:textId="77777777" w:rsidR="001D1F02" w:rsidRPr="00117750" w:rsidRDefault="001630D4" w:rsidP="003F494F">
            <w:pPr>
              <w:spacing w:before="240" w:line="360" w:lineRule="auto"/>
              <w:rPr>
                <w:rFonts w:eastAsia="Arial" w:cstheme="minorHAnsi"/>
                <w:b/>
                <w:sz w:val="22"/>
                <w:szCs w:val="22"/>
                <w:lang w:val="en" w:eastAsia="en-GB"/>
              </w:rPr>
            </w:pPr>
            <w:r w:rsidRPr="00117750">
              <w:rPr>
                <w:rFonts w:eastAsia="Arial" w:cstheme="minorHAnsi"/>
                <w:b/>
                <w:sz w:val="22"/>
                <w:szCs w:val="22"/>
                <w:lang w:val="en" w:eastAsia="en-GB"/>
              </w:rPr>
              <w:t>Relapsing disease</w:t>
            </w:r>
          </w:p>
        </w:tc>
      </w:tr>
      <w:tr w:rsidR="00837E18" w14:paraId="4BCA1F48" w14:textId="77777777" w:rsidTr="102F4F22">
        <w:tc>
          <w:tcPr>
            <w:tcW w:w="846" w:type="dxa"/>
          </w:tcPr>
          <w:p w14:paraId="4172D1F8" w14:textId="77777777" w:rsidR="001D1F02" w:rsidRPr="00117750" w:rsidRDefault="001630D4" w:rsidP="003F494F">
            <w:pPr>
              <w:spacing w:before="240" w:line="360" w:lineRule="auto"/>
              <w:rPr>
                <w:rFonts w:eastAsia="Arial" w:cstheme="minorHAnsi"/>
                <w:sz w:val="22"/>
                <w:szCs w:val="22"/>
                <w:lang w:val="en" w:eastAsia="en-GB"/>
              </w:rPr>
            </w:pPr>
            <w:r w:rsidRPr="00117750">
              <w:rPr>
                <w:rFonts w:eastAsia="Arial" w:cstheme="minorHAnsi"/>
                <w:sz w:val="22"/>
                <w:szCs w:val="22"/>
                <w:lang w:val="en" w:eastAsia="en-GB"/>
              </w:rPr>
              <w:t>f</w:t>
            </w:r>
          </w:p>
        </w:tc>
        <w:tc>
          <w:tcPr>
            <w:tcW w:w="9497" w:type="dxa"/>
          </w:tcPr>
          <w:p w14:paraId="6CEDED09" w14:textId="77777777" w:rsidR="001D1F02" w:rsidRPr="00117750" w:rsidRDefault="001630D4" w:rsidP="003F494F">
            <w:pPr>
              <w:spacing w:before="240" w:line="360" w:lineRule="auto"/>
              <w:rPr>
                <w:rFonts w:eastAsia="Arial" w:cstheme="minorHAnsi"/>
                <w:sz w:val="22"/>
                <w:szCs w:val="22"/>
                <w:lang w:val="en" w:eastAsia="en-GB"/>
              </w:rPr>
            </w:pPr>
            <w:r w:rsidRPr="00117750">
              <w:rPr>
                <w:rFonts w:eastAsia="Arial" w:cstheme="minorHAnsi"/>
                <w:sz w:val="22"/>
                <w:szCs w:val="22"/>
                <w:lang w:val="en" w:eastAsia="en-GB"/>
              </w:rPr>
              <w:t>Nephrotic syndrome relapse is defined as:</w:t>
            </w:r>
          </w:p>
          <w:p w14:paraId="7EAB5938" w14:textId="77777777" w:rsidR="001D1F02" w:rsidRPr="00117750" w:rsidRDefault="001630D4" w:rsidP="003F494F">
            <w:pPr>
              <w:pStyle w:val="ListParagraph"/>
              <w:numPr>
                <w:ilvl w:val="0"/>
                <w:numId w:val="14"/>
              </w:numPr>
              <w:spacing w:before="240" w:line="360" w:lineRule="auto"/>
              <w:jc w:val="both"/>
              <w:rPr>
                <w:rFonts w:eastAsia="Arial" w:cstheme="minorHAnsi"/>
                <w:sz w:val="22"/>
                <w:szCs w:val="22"/>
                <w:lang w:val="en" w:eastAsia="en-GB"/>
              </w:rPr>
            </w:pPr>
            <w:r w:rsidRPr="00117750">
              <w:rPr>
                <w:rFonts w:eastAsia="Arial" w:cstheme="minorHAnsi"/>
                <w:sz w:val="22"/>
                <w:szCs w:val="22"/>
                <w:lang w:val="en" w:eastAsia="en-GB"/>
              </w:rPr>
              <w:t>3 consecutive days of 3+ protein measured on early morning urine dipstick.</w:t>
            </w:r>
          </w:p>
          <w:p w14:paraId="0E8AA95D" w14:textId="0525955A" w:rsidR="001D1F02" w:rsidRPr="00856ED7" w:rsidRDefault="001630D4" w:rsidP="003F494F">
            <w:pPr>
              <w:pStyle w:val="ListParagraph"/>
              <w:numPr>
                <w:ilvl w:val="0"/>
                <w:numId w:val="14"/>
              </w:numPr>
              <w:spacing w:before="240" w:line="360" w:lineRule="auto"/>
              <w:jc w:val="both"/>
              <w:rPr>
                <w:rFonts w:eastAsia="Arial" w:cstheme="minorHAnsi"/>
                <w:sz w:val="22"/>
                <w:szCs w:val="22"/>
                <w:lang w:val="en" w:eastAsia="en-GB"/>
              </w:rPr>
            </w:pPr>
            <w:r w:rsidRPr="00856ED7">
              <w:rPr>
                <w:rFonts w:eastAsia="Arial" w:cstheme="minorHAnsi"/>
                <w:sz w:val="22"/>
                <w:szCs w:val="22"/>
                <w:lang w:val="en" w:eastAsia="en-GB"/>
              </w:rPr>
              <w:t xml:space="preserve">5 consecutive days of 2+ protein confirmed with either a urine </w:t>
            </w:r>
            <w:proofErr w:type="spellStart"/>
            <w:r w:rsidRPr="00856ED7">
              <w:rPr>
                <w:rFonts w:eastAsia="Arial" w:cstheme="minorHAnsi"/>
                <w:sz w:val="22"/>
                <w:szCs w:val="22"/>
                <w:lang w:val="en" w:eastAsia="en-GB"/>
              </w:rPr>
              <w:t>protein:creatinine</w:t>
            </w:r>
            <w:proofErr w:type="spellEnd"/>
            <w:r w:rsidRPr="00856ED7">
              <w:rPr>
                <w:rFonts w:eastAsia="Arial" w:cstheme="minorHAnsi"/>
                <w:sz w:val="22"/>
                <w:szCs w:val="22"/>
                <w:lang w:val="en" w:eastAsia="en-GB"/>
              </w:rPr>
              <w:t xml:space="preserve"> ratio &gt;200 mg/mmol and/or a </w:t>
            </w:r>
            <w:r w:rsidR="00856ED7" w:rsidRPr="003F494F">
              <w:rPr>
                <w:rFonts w:eastAsia="Arial" w:cstheme="minorHAnsi"/>
                <w:sz w:val="22"/>
                <w:szCs w:val="22"/>
                <w:lang w:val="en" w:eastAsia="en-GB"/>
              </w:rPr>
              <w:t xml:space="preserve">serum </w:t>
            </w:r>
            <w:r w:rsidRPr="00856ED7">
              <w:rPr>
                <w:rFonts w:eastAsia="Arial" w:cstheme="minorHAnsi"/>
                <w:sz w:val="22"/>
                <w:szCs w:val="22"/>
                <w:lang w:val="en" w:eastAsia="en-GB"/>
              </w:rPr>
              <w:t>albumin &lt;30 g/l</w:t>
            </w:r>
          </w:p>
          <w:p w14:paraId="78901D8A" w14:textId="74DD8645" w:rsidR="001D1F02" w:rsidRPr="00117750" w:rsidRDefault="001630D4" w:rsidP="003F494F">
            <w:pPr>
              <w:pStyle w:val="ListParagraph"/>
              <w:numPr>
                <w:ilvl w:val="0"/>
                <w:numId w:val="14"/>
              </w:numPr>
              <w:spacing w:before="240" w:line="360" w:lineRule="auto"/>
              <w:jc w:val="both"/>
              <w:rPr>
                <w:rFonts w:eastAsia="Arial" w:cstheme="minorHAnsi"/>
                <w:sz w:val="22"/>
                <w:szCs w:val="22"/>
                <w:lang w:val="en" w:eastAsia="en-GB"/>
              </w:rPr>
            </w:pPr>
            <w:r w:rsidRPr="00117750">
              <w:rPr>
                <w:rFonts w:eastAsia="Arial" w:cstheme="minorHAnsi"/>
                <w:sz w:val="22"/>
                <w:szCs w:val="22"/>
                <w:lang w:val="en" w:eastAsia="en-GB"/>
              </w:rPr>
              <w:t>Occur</w:t>
            </w:r>
            <w:r w:rsidR="00536009">
              <w:rPr>
                <w:rFonts w:eastAsia="Arial" w:cstheme="minorHAnsi"/>
                <w:sz w:val="22"/>
                <w:szCs w:val="22"/>
                <w:lang w:val="en" w:eastAsia="en-GB"/>
              </w:rPr>
              <w:t>r</w:t>
            </w:r>
            <w:r w:rsidRPr="00117750">
              <w:rPr>
                <w:rFonts w:eastAsia="Arial" w:cstheme="minorHAnsi"/>
                <w:sz w:val="22"/>
                <w:szCs w:val="22"/>
                <w:lang w:val="en" w:eastAsia="en-GB"/>
              </w:rPr>
              <w:t xml:space="preserve">ing in children with clinically detected </w:t>
            </w:r>
            <w:r w:rsidRPr="00856ED7">
              <w:rPr>
                <w:rFonts w:eastAsia="Arial" w:cstheme="minorHAnsi"/>
                <w:sz w:val="22"/>
                <w:szCs w:val="22"/>
                <w:lang w:val="en" w:eastAsia="en-GB"/>
              </w:rPr>
              <w:t xml:space="preserve">oedema without reported proteinuria on home testing who have either a urine </w:t>
            </w:r>
            <w:proofErr w:type="spellStart"/>
            <w:r w:rsidRPr="00856ED7">
              <w:rPr>
                <w:rFonts w:eastAsia="Arial" w:cstheme="minorHAnsi"/>
                <w:sz w:val="22"/>
                <w:szCs w:val="22"/>
                <w:lang w:val="en" w:eastAsia="en-GB"/>
              </w:rPr>
              <w:t>protein:creatinine</w:t>
            </w:r>
            <w:proofErr w:type="spellEnd"/>
            <w:r w:rsidRPr="00856ED7">
              <w:rPr>
                <w:rFonts w:eastAsia="Arial" w:cstheme="minorHAnsi"/>
                <w:sz w:val="22"/>
                <w:szCs w:val="22"/>
                <w:lang w:val="en" w:eastAsia="en-GB"/>
              </w:rPr>
              <w:t xml:space="preserve"> ratio &gt;200 mg/mmol and/or a plasma</w:t>
            </w:r>
            <w:r w:rsidRPr="00117750">
              <w:rPr>
                <w:rFonts w:eastAsia="Arial" w:cstheme="minorHAnsi"/>
                <w:sz w:val="22"/>
                <w:szCs w:val="22"/>
                <w:lang w:val="en" w:eastAsia="en-GB"/>
              </w:rPr>
              <w:t xml:space="preserve"> albumin &lt;30 g/l</w:t>
            </w:r>
          </w:p>
        </w:tc>
      </w:tr>
      <w:tr w:rsidR="00837E18" w14:paraId="3FB02165" w14:textId="77777777" w:rsidTr="102F4F22">
        <w:tc>
          <w:tcPr>
            <w:tcW w:w="846" w:type="dxa"/>
          </w:tcPr>
          <w:p w14:paraId="241EF994" w14:textId="77777777" w:rsidR="001D1F02" w:rsidRPr="00117750" w:rsidRDefault="001630D4" w:rsidP="003F494F">
            <w:pPr>
              <w:spacing w:before="240" w:line="360" w:lineRule="auto"/>
              <w:rPr>
                <w:rFonts w:eastAsia="Arial" w:cstheme="minorHAnsi"/>
                <w:sz w:val="22"/>
                <w:szCs w:val="22"/>
                <w:lang w:val="en" w:eastAsia="en-GB"/>
              </w:rPr>
            </w:pPr>
            <w:r w:rsidRPr="00117750">
              <w:rPr>
                <w:rFonts w:eastAsia="Arial" w:cstheme="minorHAnsi"/>
                <w:sz w:val="22"/>
                <w:szCs w:val="22"/>
                <w:lang w:val="en" w:eastAsia="en-GB"/>
              </w:rPr>
              <w:t>g</w:t>
            </w:r>
          </w:p>
        </w:tc>
        <w:tc>
          <w:tcPr>
            <w:tcW w:w="9497" w:type="dxa"/>
          </w:tcPr>
          <w:p w14:paraId="5359763C" w14:textId="0DDF58BE" w:rsidR="001D1F02" w:rsidRPr="00117750" w:rsidRDefault="001630D4" w:rsidP="003F494F">
            <w:pPr>
              <w:spacing w:before="240" w:line="360" w:lineRule="auto"/>
              <w:jc w:val="both"/>
              <w:rPr>
                <w:rFonts w:eastAsia="Arial" w:cstheme="minorHAnsi"/>
                <w:sz w:val="22"/>
                <w:szCs w:val="22"/>
                <w:lang w:val="en" w:eastAsia="en-GB"/>
              </w:rPr>
            </w:pPr>
            <w:r w:rsidRPr="00117750">
              <w:rPr>
                <w:rFonts w:eastAsia="Arial" w:cstheme="minorHAnsi"/>
                <w:sz w:val="22"/>
                <w:szCs w:val="22"/>
                <w:lang w:val="en" w:eastAsia="en-GB"/>
              </w:rPr>
              <w:t>An infrequent relapse within the first 12 months from initial presentation is defined as:</w:t>
            </w:r>
          </w:p>
          <w:p w14:paraId="2A19C2FA" w14:textId="618929EC" w:rsidR="001D1F02" w:rsidRPr="00117750" w:rsidRDefault="001630D4" w:rsidP="003F494F">
            <w:pPr>
              <w:pStyle w:val="ListParagraph"/>
              <w:numPr>
                <w:ilvl w:val="0"/>
                <w:numId w:val="15"/>
              </w:numPr>
              <w:spacing w:line="360" w:lineRule="auto"/>
              <w:rPr>
                <w:rFonts w:eastAsia="Arial" w:cstheme="minorHAnsi"/>
                <w:sz w:val="22"/>
                <w:szCs w:val="22"/>
                <w:lang w:val="en" w:eastAsia="en-GB"/>
              </w:rPr>
            </w:pPr>
            <w:r w:rsidRPr="00117750">
              <w:rPr>
                <w:rFonts w:eastAsia="Arial" w:cstheme="minorHAnsi"/>
                <w:sz w:val="22"/>
                <w:szCs w:val="22"/>
                <w:lang w:val="en" w:eastAsia="en-GB"/>
              </w:rPr>
              <w:t>not preceded by two or more relapses (or one relapse within the first 6 months following presentation)</w:t>
            </w:r>
            <w:r w:rsidR="00B80419">
              <w:rPr>
                <w:rFonts w:eastAsia="Arial" w:cstheme="minorHAnsi"/>
                <w:sz w:val="22"/>
                <w:szCs w:val="22"/>
                <w:lang w:val="en" w:eastAsia="en-GB"/>
              </w:rPr>
              <w:t>, and</w:t>
            </w:r>
          </w:p>
          <w:p w14:paraId="3959A8DE" w14:textId="745495F9" w:rsidR="001D1F02" w:rsidRPr="00117750" w:rsidRDefault="001630D4" w:rsidP="003F494F">
            <w:pPr>
              <w:pStyle w:val="ListParagraph"/>
              <w:numPr>
                <w:ilvl w:val="0"/>
                <w:numId w:val="15"/>
              </w:numPr>
              <w:spacing w:line="360" w:lineRule="auto"/>
              <w:rPr>
                <w:rFonts w:eastAsia="Arial" w:cstheme="minorHAnsi"/>
                <w:sz w:val="22"/>
                <w:szCs w:val="22"/>
                <w:lang w:val="en" w:eastAsia="en-GB"/>
              </w:rPr>
            </w:pPr>
            <w:r w:rsidRPr="00117750">
              <w:rPr>
                <w:rFonts w:eastAsia="Arial" w:cstheme="minorHAnsi"/>
                <w:sz w:val="22"/>
                <w:szCs w:val="22"/>
                <w:lang w:val="en" w:eastAsia="en-GB"/>
              </w:rPr>
              <w:t xml:space="preserve">occurring at least 2 weeks after stopping </w:t>
            </w:r>
            <w:r w:rsidR="00B80419">
              <w:rPr>
                <w:rFonts w:eastAsia="Arial" w:cstheme="minorHAnsi"/>
                <w:sz w:val="22"/>
                <w:szCs w:val="22"/>
                <w:lang w:val="en" w:eastAsia="en-GB"/>
              </w:rPr>
              <w:t>prednisolone</w:t>
            </w:r>
            <w:r w:rsidRPr="00117750">
              <w:rPr>
                <w:rFonts w:eastAsia="Arial" w:cstheme="minorHAnsi"/>
                <w:sz w:val="22"/>
                <w:szCs w:val="22"/>
                <w:lang w:val="en" w:eastAsia="en-GB"/>
              </w:rPr>
              <w:t xml:space="preserve"> for a</w:t>
            </w:r>
            <w:r w:rsidR="00B80419">
              <w:rPr>
                <w:rFonts w:eastAsia="Arial" w:cstheme="minorHAnsi"/>
                <w:sz w:val="22"/>
                <w:szCs w:val="22"/>
                <w:lang w:val="en" w:eastAsia="en-GB"/>
              </w:rPr>
              <w:t>ny</w:t>
            </w:r>
            <w:r w:rsidRPr="00117750">
              <w:rPr>
                <w:rFonts w:eastAsia="Arial" w:cstheme="minorHAnsi"/>
                <w:sz w:val="22"/>
                <w:szCs w:val="22"/>
                <w:lang w:val="en" w:eastAsia="en-GB"/>
              </w:rPr>
              <w:t xml:space="preserve"> previous relapse</w:t>
            </w:r>
            <w:r w:rsidR="00B80419">
              <w:rPr>
                <w:rFonts w:eastAsia="Arial" w:cstheme="minorHAnsi"/>
                <w:sz w:val="22"/>
                <w:szCs w:val="22"/>
                <w:lang w:val="en" w:eastAsia="en-GB"/>
              </w:rPr>
              <w:t>.</w:t>
            </w:r>
          </w:p>
        </w:tc>
      </w:tr>
      <w:tr w:rsidR="00837E18" w14:paraId="67715640" w14:textId="77777777" w:rsidTr="102F4F22">
        <w:tc>
          <w:tcPr>
            <w:tcW w:w="846" w:type="dxa"/>
          </w:tcPr>
          <w:p w14:paraId="62FDE3E0" w14:textId="77777777" w:rsidR="001D1F02" w:rsidRPr="00117750" w:rsidRDefault="001630D4" w:rsidP="003F494F">
            <w:pPr>
              <w:spacing w:before="240" w:line="360" w:lineRule="auto"/>
              <w:rPr>
                <w:rFonts w:eastAsia="Arial" w:cstheme="minorHAnsi"/>
                <w:sz w:val="22"/>
                <w:szCs w:val="22"/>
                <w:lang w:val="en" w:eastAsia="en-GB"/>
              </w:rPr>
            </w:pPr>
            <w:r w:rsidRPr="00117750">
              <w:rPr>
                <w:rFonts w:eastAsia="Arial" w:cstheme="minorHAnsi"/>
                <w:sz w:val="22"/>
                <w:szCs w:val="22"/>
                <w:lang w:val="en" w:eastAsia="en-GB"/>
              </w:rPr>
              <w:t>h</w:t>
            </w:r>
          </w:p>
        </w:tc>
        <w:tc>
          <w:tcPr>
            <w:tcW w:w="9497" w:type="dxa"/>
          </w:tcPr>
          <w:p w14:paraId="411BED74" w14:textId="4309ED90" w:rsidR="001D1F02" w:rsidRPr="00117750" w:rsidRDefault="001630D4" w:rsidP="003F494F">
            <w:pPr>
              <w:spacing w:before="240" w:line="360" w:lineRule="auto"/>
              <w:jc w:val="both"/>
              <w:rPr>
                <w:rFonts w:eastAsia="Arial" w:cstheme="minorHAnsi"/>
                <w:sz w:val="22"/>
                <w:szCs w:val="22"/>
                <w:lang w:val="en" w:eastAsia="en-GB"/>
              </w:rPr>
            </w:pPr>
            <w:r w:rsidRPr="00117750">
              <w:rPr>
                <w:rFonts w:eastAsia="Arial" w:cstheme="minorHAnsi"/>
                <w:sz w:val="22"/>
                <w:szCs w:val="22"/>
                <w:lang w:val="en" w:eastAsia="en-GB"/>
              </w:rPr>
              <w:t>Frequently relapsing SSNS (FRSSNS) is defined as disease in which there are ≥2 relapses within the first 6 months, or ≥3 relapses within any 12 months of the course of SSNS.</w:t>
            </w:r>
          </w:p>
        </w:tc>
      </w:tr>
      <w:tr w:rsidR="00837E18" w14:paraId="2B86DF29" w14:textId="77777777" w:rsidTr="102F4F22">
        <w:tc>
          <w:tcPr>
            <w:tcW w:w="846" w:type="dxa"/>
          </w:tcPr>
          <w:p w14:paraId="0206D0A9" w14:textId="77777777" w:rsidR="001D1F02" w:rsidRPr="00117750" w:rsidRDefault="001630D4" w:rsidP="003F494F">
            <w:pPr>
              <w:spacing w:before="240" w:line="360" w:lineRule="auto"/>
              <w:rPr>
                <w:rFonts w:eastAsia="Arial" w:cstheme="minorHAnsi"/>
                <w:sz w:val="22"/>
                <w:szCs w:val="22"/>
                <w:lang w:val="en" w:eastAsia="en-GB"/>
              </w:rPr>
            </w:pPr>
            <w:proofErr w:type="spellStart"/>
            <w:r w:rsidRPr="00117750">
              <w:rPr>
                <w:rFonts w:eastAsia="Arial" w:cstheme="minorHAnsi"/>
                <w:sz w:val="22"/>
                <w:szCs w:val="22"/>
                <w:lang w:val="en" w:eastAsia="en-GB"/>
              </w:rPr>
              <w:t>i</w:t>
            </w:r>
            <w:proofErr w:type="spellEnd"/>
          </w:p>
        </w:tc>
        <w:tc>
          <w:tcPr>
            <w:tcW w:w="9497" w:type="dxa"/>
          </w:tcPr>
          <w:p w14:paraId="5A7F9D17" w14:textId="77777777" w:rsidR="001D1F02" w:rsidRPr="00117750" w:rsidRDefault="001630D4" w:rsidP="003F494F">
            <w:pPr>
              <w:spacing w:before="240" w:line="360" w:lineRule="auto"/>
              <w:jc w:val="both"/>
              <w:rPr>
                <w:rFonts w:eastAsia="Arial" w:cstheme="minorHAnsi"/>
                <w:sz w:val="22"/>
                <w:szCs w:val="22"/>
                <w:lang w:val="en" w:eastAsia="en-GB"/>
              </w:rPr>
            </w:pPr>
            <w:r w:rsidRPr="00117750">
              <w:rPr>
                <w:rFonts w:eastAsia="Arial" w:cstheme="minorHAnsi"/>
                <w:sz w:val="22"/>
                <w:szCs w:val="22"/>
                <w:lang w:val="en" w:eastAsia="en-GB"/>
              </w:rPr>
              <w:t>Steroid dependent SSNS (SDNS) is defined as disease in which there is failure to wean steroid medication as manifest by:</w:t>
            </w:r>
          </w:p>
          <w:p w14:paraId="6CBA4FF3" w14:textId="0C88E87A" w:rsidR="001D1F02" w:rsidRPr="00117750" w:rsidRDefault="001630D4" w:rsidP="003F494F">
            <w:pPr>
              <w:pStyle w:val="ListParagraph"/>
              <w:numPr>
                <w:ilvl w:val="0"/>
                <w:numId w:val="16"/>
              </w:numPr>
              <w:spacing w:line="360" w:lineRule="auto"/>
              <w:rPr>
                <w:rFonts w:eastAsia="Arial" w:cstheme="minorHAnsi"/>
                <w:sz w:val="22"/>
                <w:szCs w:val="22"/>
                <w:lang w:val="en" w:eastAsia="en-GB"/>
              </w:rPr>
            </w:pPr>
            <w:r w:rsidRPr="00117750">
              <w:rPr>
                <w:rFonts w:eastAsia="Arial" w:cstheme="minorHAnsi"/>
                <w:sz w:val="22"/>
                <w:szCs w:val="22"/>
                <w:lang w:val="en" w:eastAsia="en-GB"/>
              </w:rPr>
              <w:lastRenderedPageBreak/>
              <w:t>two consecutive relapses on prednisolone treatment for the first episode or a relapse within 14 days of stopping prednisolone</w:t>
            </w:r>
            <w:r w:rsidR="00536009">
              <w:rPr>
                <w:rFonts w:eastAsia="Arial" w:cstheme="minorHAnsi"/>
                <w:sz w:val="22"/>
                <w:szCs w:val="22"/>
                <w:lang w:val="en" w:eastAsia="en-GB"/>
              </w:rPr>
              <w:t>, or</w:t>
            </w:r>
          </w:p>
          <w:p w14:paraId="429A10E4" w14:textId="46F5F917" w:rsidR="001D1F02" w:rsidRPr="00117750" w:rsidRDefault="001630D4" w:rsidP="003F494F">
            <w:pPr>
              <w:pStyle w:val="ListParagraph"/>
              <w:numPr>
                <w:ilvl w:val="0"/>
                <w:numId w:val="16"/>
              </w:numPr>
              <w:spacing w:line="360" w:lineRule="auto"/>
              <w:rPr>
                <w:rFonts w:eastAsia="Arial" w:cstheme="minorHAnsi"/>
                <w:sz w:val="22"/>
                <w:szCs w:val="22"/>
                <w:lang w:val="en" w:eastAsia="en-GB"/>
              </w:rPr>
            </w:pPr>
            <w:r w:rsidRPr="00117750">
              <w:rPr>
                <w:rFonts w:eastAsia="Arial" w:cstheme="minorHAnsi"/>
                <w:sz w:val="22"/>
                <w:szCs w:val="22"/>
                <w:lang w:val="en" w:eastAsia="en-GB"/>
              </w:rPr>
              <w:t xml:space="preserve">two or more relapses within a </w:t>
            </w:r>
            <w:r w:rsidR="004D5D9F" w:rsidRPr="00117750">
              <w:rPr>
                <w:rFonts w:eastAsia="Arial" w:cstheme="minorHAnsi"/>
                <w:sz w:val="22"/>
                <w:szCs w:val="22"/>
                <w:lang w:val="en" w:eastAsia="en-GB"/>
              </w:rPr>
              <w:t>6-month</w:t>
            </w:r>
            <w:r w:rsidRPr="00117750">
              <w:rPr>
                <w:rFonts w:eastAsia="Arial" w:cstheme="minorHAnsi"/>
                <w:sz w:val="22"/>
                <w:szCs w:val="22"/>
                <w:lang w:val="en" w:eastAsia="en-GB"/>
              </w:rPr>
              <w:t xml:space="preserve"> period whilst taking maintenance prednisolone of at least 15 mg/m</w:t>
            </w:r>
            <w:r w:rsidRPr="00117750">
              <w:rPr>
                <w:rFonts w:eastAsia="Arial" w:cstheme="minorHAnsi"/>
                <w:sz w:val="22"/>
                <w:szCs w:val="22"/>
                <w:vertAlign w:val="superscript"/>
                <w:lang w:val="en" w:eastAsia="en-GB"/>
              </w:rPr>
              <w:t>2</w:t>
            </w:r>
            <w:r w:rsidRPr="00117750">
              <w:rPr>
                <w:rFonts w:eastAsia="Arial" w:cstheme="minorHAnsi"/>
                <w:sz w:val="22"/>
                <w:szCs w:val="22"/>
                <w:lang w:val="en" w:eastAsia="en-GB"/>
              </w:rPr>
              <w:t xml:space="preserve"> per 48 hours (given as a daily or alternate day dose)</w:t>
            </w:r>
            <w:r w:rsidR="00B80419">
              <w:rPr>
                <w:rFonts w:eastAsia="Arial" w:cstheme="minorHAnsi"/>
                <w:sz w:val="22"/>
                <w:szCs w:val="22"/>
                <w:lang w:val="en" w:eastAsia="en-GB"/>
              </w:rPr>
              <w:t>.</w:t>
            </w:r>
          </w:p>
        </w:tc>
      </w:tr>
      <w:tr w:rsidR="00837E18" w14:paraId="4AFEB889" w14:textId="77777777" w:rsidTr="102F4F22">
        <w:tc>
          <w:tcPr>
            <w:tcW w:w="846" w:type="dxa"/>
          </w:tcPr>
          <w:p w14:paraId="5356ACE8" w14:textId="5753D5F0" w:rsidR="001D1F02" w:rsidRPr="00117750" w:rsidRDefault="00B80419" w:rsidP="003F494F">
            <w:pPr>
              <w:spacing w:before="240" w:line="360" w:lineRule="auto"/>
              <w:rPr>
                <w:rFonts w:eastAsia="Arial" w:cstheme="minorHAnsi"/>
                <w:sz w:val="22"/>
                <w:szCs w:val="22"/>
                <w:lang w:val="en" w:eastAsia="en-GB"/>
              </w:rPr>
            </w:pPr>
            <w:r>
              <w:rPr>
                <w:rFonts w:eastAsia="Arial" w:cstheme="minorHAnsi"/>
                <w:sz w:val="22"/>
                <w:szCs w:val="22"/>
                <w:lang w:val="en" w:eastAsia="en-GB"/>
              </w:rPr>
              <w:lastRenderedPageBreak/>
              <w:t>j</w:t>
            </w:r>
          </w:p>
        </w:tc>
        <w:tc>
          <w:tcPr>
            <w:tcW w:w="9497" w:type="dxa"/>
          </w:tcPr>
          <w:p w14:paraId="3F342476" w14:textId="68FFCCE3" w:rsidR="001D1F02" w:rsidRPr="00117750" w:rsidRDefault="74A0DB8C" w:rsidP="003F494F">
            <w:pPr>
              <w:spacing w:before="240" w:line="360" w:lineRule="auto"/>
              <w:jc w:val="both"/>
              <w:rPr>
                <w:rFonts w:eastAsia="Arial"/>
                <w:sz w:val="22"/>
                <w:szCs w:val="22"/>
                <w:lang w:val="en-US" w:eastAsia="en-GB"/>
              </w:rPr>
            </w:pPr>
            <w:r w:rsidRPr="102F4F22">
              <w:rPr>
                <w:rFonts w:eastAsia="Arial"/>
                <w:sz w:val="22"/>
                <w:szCs w:val="22"/>
                <w:lang w:val="en-US" w:eastAsia="en-GB"/>
              </w:rPr>
              <w:t xml:space="preserve">A complicated relapse is defined as a relapse requiring </w:t>
            </w:r>
            <w:proofErr w:type="spellStart"/>
            <w:r w:rsidRPr="102F4F22">
              <w:rPr>
                <w:rFonts w:eastAsia="Arial"/>
                <w:sz w:val="22"/>
                <w:szCs w:val="22"/>
                <w:lang w:val="en-US" w:eastAsia="en-GB"/>
              </w:rPr>
              <w:t>hospitalisation</w:t>
            </w:r>
            <w:proofErr w:type="spellEnd"/>
            <w:r w:rsidRPr="102F4F22">
              <w:rPr>
                <w:rFonts w:eastAsia="Arial"/>
                <w:sz w:val="22"/>
                <w:szCs w:val="22"/>
                <w:lang w:val="en-US" w:eastAsia="en-GB"/>
              </w:rPr>
              <w:t xml:space="preserve"> due </w:t>
            </w:r>
            <w:r w:rsidR="21E55E58" w:rsidRPr="102F4F22">
              <w:rPr>
                <w:rFonts w:eastAsia="Arial"/>
                <w:sz w:val="22"/>
                <w:szCs w:val="22"/>
                <w:lang w:val="en-US" w:eastAsia="en-GB"/>
              </w:rPr>
              <w:t>to</w:t>
            </w:r>
            <w:r w:rsidRPr="102F4F22">
              <w:rPr>
                <w:rFonts w:eastAsia="Arial"/>
                <w:sz w:val="22"/>
                <w:szCs w:val="22"/>
                <w:lang w:val="en-US" w:eastAsia="en-GB"/>
              </w:rPr>
              <w:t xml:space="preserve"> one of the following indications:</w:t>
            </w:r>
          </w:p>
          <w:p w14:paraId="4E679716" w14:textId="77777777" w:rsidR="001D1F02" w:rsidRPr="00117750" w:rsidRDefault="001630D4" w:rsidP="003F494F">
            <w:pPr>
              <w:spacing w:line="360" w:lineRule="auto"/>
              <w:ind w:left="720" w:hanging="360"/>
              <w:rPr>
                <w:rFonts w:eastAsia="Arial" w:cstheme="minorHAnsi"/>
                <w:sz w:val="22"/>
                <w:szCs w:val="22"/>
                <w:lang w:val="en" w:eastAsia="en-GB"/>
              </w:rPr>
            </w:pPr>
            <w:r w:rsidRPr="00117750">
              <w:rPr>
                <w:rFonts w:eastAsia="Arial" w:cstheme="minorHAnsi"/>
                <w:sz w:val="22"/>
                <w:szCs w:val="22"/>
                <w:lang w:val="en" w:eastAsia="en-GB"/>
              </w:rPr>
              <w:t>a.   severe oedema</w:t>
            </w:r>
          </w:p>
          <w:p w14:paraId="771C071F" w14:textId="77777777" w:rsidR="001D1F02" w:rsidRPr="00117750" w:rsidRDefault="001630D4" w:rsidP="003F494F">
            <w:pPr>
              <w:spacing w:line="360" w:lineRule="auto"/>
              <w:ind w:left="720" w:hanging="360"/>
              <w:rPr>
                <w:rFonts w:eastAsia="Arial" w:cstheme="minorHAnsi"/>
                <w:sz w:val="22"/>
                <w:szCs w:val="22"/>
                <w:lang w:val="en" w:eastAsia="en-GB"/>
              </w:rPr>
            </w:pPr>
            <w:r w:rsidRPr="00117750">
              <w:rPr>
                <w:rFonts w:eastAsia="Arial" w:cstheme="minorHAnsi"/>
                <w:sz w:val="22"/>
                <w:szCs w:val="22"/>
                <w:lang w:val="en" w:eastAsia="en-GB"/>
              </w:rPr>
              <w:t>b.   symptomatic hypovolemia or AKI requiring IV albumin infusions</w:t>
            </w:r>
          </w:p>
          <w:p w14:paraId="094A3231" w14:textId="77777777" w:rsidR="001D1F02" w:rsidRPr="00117750" w:rsidRDefault="001630D4" w:rsidP="003F494F">
            <w:pPr>
              <w:spacing w:line="360" w:lineRule="auto"/>
              <w:ind w:left="720" w:hanging="360"/>
              <w:rPr>
                <w:rFonts w:eastAsia="Arial" w:cstheme="minorHAnsi"/>
                <w:sz w:val="22"/>
                <w:szCs w:val="22"/>
                <w:lang w:val="en" w:eastAsia="en-GB"/>
              </w:rPr>
            </w:pPr>
            <w:r w:rsidRPr="00117750">
              <w:rPr>
                <w:rFonts w:eastAsia="Arial" w:cstheme="minorHAnsi"/>
                <w:sz w:val="22"/>
                <w:szCs w:val="22"/>
                <w:lang w:val="en" w:eastAsia="en-GB"/>
              </w:rPr>
              <w:t>c.   thrombosis</w:t>
            </w:r>
          </w:p>
          <w:p w14:paraId="7B05A8FA" w14:textId="267DA340" w:rsidR="001D1F02" w:rsidRDefault="001630D4" w:rsidP="003F494F">
            <w:pPr>
              <w:spacing w:line="360" w:lineRule="auto"/>
              <w:ind w:left="720" w:hanging="360"/>
              <w:rPr>
                <w:rFonts w:eastAsia="Arial" w:cstheme="minorHAnsi"/>
                <w:sz w:val="22"/>
                <w:szCs w:val="22"/>
                <w:lang w:val="en" w:eastAsia="en-GB"/>
              </w:rPr>
            </w:pPr>
            <w:r w:rsidRPr="00117750">
              <w:rPr>
                <w:rFonts w:eastAsia="Arial" w:cstheme="minorHAnsi"/>
                <w:sz w:val="22"/>
                <w:szCs w:val="22"/>
                <w:lang w:val="en" w:eastAsia="en-GB"/>
              </w:rPr>
              <w:t xml:space="preserve">d.   </w:t>
            </w:r>
            <w:r w:rsidR="00B86C64">
              <w:rPr>
                <w:rFonts w:eastAsia="Arial" w:cstheme="minorHAnsi"/>
                <w:sz w:val="22"/>
                <w:szCs w:val="22"/>
                <w:lang w:val="en" w:eastAsia="en-GB"/>
              </w:rPr>
              <w:t>significant</w:t>
            </w:r>
            <w:r w:rsidR="00B86C64" w:rsidRPr="00117750">
              <w:rPr>
                <w:rFonts w:eastAsia="Arial" w:cstheme="minorHAnsi"/>
                <w:sz w:val="22"/>
                <w:szCs w:val="22"/>
                <w:lang w:val="en" w:eastAsia="en-GB"/>
              </w:rPr>
              <w:t xml:space="preserve"> </w:t>
            </w:r>
            <w:r w:rsidRPr="00117750">
              <w:rPr>
                <w:rFonts w:eastAsia="Arial" w:cstheme="minorHAnsi"/>
                <w:sz w:val="22"/>
                <w:szCs w:val="22"/>
                <w:lang w:val="en" w:eastAsia="en-GB"/>
              </w:rPr>
              <w:t xml:space="preserve">infection </w:t>
            </w:r>
            <w:r w:rsidR="00B86C64">
              <w:rPr>
                <w:rFonts w:eastAsia="Arial" w:cstheme="minorHAnsi"/>
                <w:sz w:val="22"/>
                <w:szCs w:val="22"/>
                <w:lang w:val="en" w:eastAsia="en-GB"/>
              </w:rPr>
              <w:t xml:space="preserve">such as </w:t>
            </w:r>
            <w:r w:rsidRPr="00117750">
              <w:rPr>
                <w:rFonts w:eastAsia="Arial" w:cstheme="minorHAnsi"/>
                <w:sz w:val="22"/>
                <w:szCs w:val="22"/>
                <w:lang w:val="en" w:eastAsia="en-GB"/>
              </w:rPr>
              <w:t>sepsis, peritonitis, pneumonia, cellulitis</w:t>
            </w:r>
          </w:p>
          <w:p w14:paraId="7E743413" w14:textId="2BDDE778" w:rsidR="00B86C64" w:rsidRPr="00117750" w:rsidRDefault="00B86C64" w:rsidP="003F494F">
            <w:pPr>
              <w:spacing w:line="360" w:lineRule="auto"/>
              <w:ind w:left="720" w:hanging="360"/>
              <w:rPr>
                <w:rFonts w:eastAsia="Arial" w:cstheme="minorHAnsi"/>
                <w:sz w:val="22"/>
                <w:szCs w:val="22"/>
                <w:lang w:val="en" w:eastAsia="en-GB"/>
              </w:rPr>
            </w:pPr>
          </w:p>
        </w:tc>
      </w:tr>
      <w:tr w:rsidR="00837E18" w14:paraId="20D77A7C" w14:textId="77777777" w:rsidTr="102F4F22">
        <w:tc>
          <w:tcPr>
            <w:tcW w:w="10343" w:type="dxa"/>
            <w:gridSpan w:val="2"/>
          </w:tcPr>
          <w:p w14:paraId="28FA2E85" w14:textId="77777777" w:rsidR="001D1F02" w:rsidRPr="00117750" w:rsidRDefault="001630D4" w:rsidP="003F494F">
            <w:pPr>
              <w:spacing w:before="240" w:line="360" w:lineRule="auto"/>
              <w:rPr>
                <w:rFonts w:eastAsia="Arial" w:cstheme="minorHAnsi"/>
                <w:b/>
                <w:sz w:val="22"/>
                <w:szCs w:val="22"/>
                <w:lang w:val="en" w:eastAsia="en-GB"/>
              </w:rPr>
            </w:pPr>
            <w:r w:rsidRPr="00117750">
              <w:rPr>
                <w:rFonts w:eastAsia="Arial" w:cstheme="minorHAnsi"/>
                <w:b/>
                <w:sz w:val="22"/>
                <w:szCs w:val="22"/>
                <w:lang w:val="en" w:eastAsia="en-GB"/>
              </w:rPr>
              <w:t>Steroid resistant disease</w:t>
            </w:r>
          </w:p>
        </w:tc>
      </w:tr>
      <w:tr w:rsidR="00837E18" w14:paraId="0E4E9873" w14:textId="77777777" w:rsidTr="102F4F22">
        <w:tc>
          <w:tcPr>
            <w:tcW w:w="846" w:type="dxa"/>
          </w:tcPr>
          <w:p w14:paraId="0582BC8B" w14:textId="3CEC9AAD" w:rsidR="001D1F02" w:rsidRPr="00117750" w:rsidRDefault="00B80419" w:rsidP="003F494F">
            <w:pPr>
              <w:spacing w:before="240" w:line="360" w:lineRule="auto"/>
              <w:rPr>
                <w:rFonts w:eastAsia="Arial" w:cstheme="minorHAnsi"/>
                <w:sz w:val="22"/>
                <w:szCs w:val="22"/>
                <w:lang w:val="en" w:eastAsia="en-GB"/>
              </w:rPr>
            </w:pPr>
            <w:r>
              <w:rPr>
                <w:rFonts w:eastAsia="Arial" w:cstheme="minorHAnsi"/>
                <w:sz w:val="22"/>
                <w:szCs w:val="22"/>
                <w:lang w:val="en" w:eastAsia="en-GB"/>
              </w:rPr>
              <w:t>k</w:t>
            </w:r>
          </w:p>
        </w:tc>
        <w:tc>
          <w:tcPr>
            <w:tcW w:w="9497" w:type="dxa"/>
          </w:tcPr>
          <w:p w14:paraId="0387DDA4" w14:textId="3AB767C1" w:rsidR="001D1F02" w:rsidRPr="00117750" w:rsidRDefault="001630D4" w:rsidP="003F494F">
            <w:pPr>
              <w:spacing w:before="240" w:line="360" w:lineRule="auto"/>
              <w:jc w:val="both"/>
              <w:rPr>
                <w:rFonts w:eastAsia="Arial" w:cstheme="minorHAnsi"/>
                <w:sz w:val="22"/>
                <w:szCs w:val="22"/>
                <w:lang w:val="en" w:eastAsia="en-GB"/>
              </w:rPr>
            </w:pPr>
            <w:r w:rsidRPr="00117750">
              <w:rPr>
                <w:rFonts w:eastAsia="Arial" w:cstheme="minorHAnsi"/>
                <w:sz w:val="22"/>
                <w:szCs w:val="22"/>
                <w:lang w:val="en" w:eastAsia="en-GB"/>
              </w:rPr>
              <w:t xml:space="preserve">Steroid resistant nephrotic syndrome (SRNS) is defined as nephrotic syndrome which has not entered complete remission by 6 weeks, having taken prednisolone at standard dose for at least 4 weeks </w:t>
            </w:r>
            <w:r w:rsidR="00856ED7">
              <w:rPr>
                <w:rFonts w:eastAsia="Arial" w:cstheme="minorHAnsi"/>
                <w:sz w:val="22"/>
                <w:szCs w:val="22"/>
                <w:lang w:val="en" w:eastAsia="en-GB"/>
              </w:rPr>
              <w:t>that may have included</w:t>
            </w:r>
            <w:r w:rsidRPr="00117750">
              <w:rPr>
                <w:rFonts w:eastAsia="Arial" w:cstheme="minorHAnsi"/>
                <w:sz w:val="22"/>
                <w:szCs w:val="22"/>
                <w:lang w:val="en" w:eastAsia="en-GB"/>
              </w:rPr>
              <w:t xml:space="preserve"> 3 doses of intravenous methylprednisolone (500 mg/m</w:t>
            </w:r>
            <w:r w:rsidRPr="00117750">
              <w:rPr>
                <w:rFonts w:eastAsia="Arial" w:cstheme="minorHAnsi"/>
                <w:sz w:val="22"/>
                <w:szCs w:val="22"/>
                <w:vertAlign w:val="superscript"/>
                <w:lang w:val="en" w:eastAsia="en-GB"/>
              </w:rPr>
              <w:t>2</w:t>
            </w:r>
            <w:r w:rsidRPr="00117750">
              <w:rPr>
                <w:rFonts w:eastAsia="Arial" w:cstheme="minorHAnsi"/>
                <w:sz w:val="22"/>
                <w:szCs w:val="22"/>
                <w:lang w:val="en" w:eastAsia="en-GB"/>
              </w:rPr>
              <w:t xml:space="preserve">/day, max dose 500 </w:t>
            </w:r>
            <w:r w:rsidR="00F81122" w:rsidRPr="00117750">
              <w:rPr>
                <w:rFonts w:eastAsia="Arial" w:cstheme="minorHAnsi"/>
                <w:sz w:val="22"/>
                <w:szCs w:val="22"/>
                <w:lang w:val="en" w:eastAsia="en-GB"/>
              </w:rPr>
              <w:t>mg)</w:t>
            </w:r>
            <w:r w:rsidRPr="00117750">
              <w:rPr>
                <w:rFonts w:eastAsia="Arial" w:cstheme="minorHAnsi"/>
                <w:sz w:val="22"/>
                <w:szCs w:val="22"/>
                <w:lang w:val="en" w:eastAsia="en-GB"/>
              </w:rPr>
              <w:t>).</w:t>
            </w:r>
          </w:p>
        </w:tc>
      </w:tr>
      <w:tr w:rsidR="00837E18" w14:paraId="532E12A8" w14:textId="77777777" w:rsidTr="102F4F22">
        <w:tc>
          <w:tcPr>
            <w:tcW w:w="846" w:type="dxa"/>
          </w:tcPr>
          <w:p w14:paraId="783B2C45" w14:textId="2914336D" w:rsidR="001D1F02" w:rsidRPr="00117750" w:rsidRDefault="00B80419" w:rsidP="003F494F">
            <w:pPr>
              <w:spacing w:before="240" w:line="360" w:lineRule="auto"/>
              <w:rPr>
                <w:rFonts w:eastAsia="Arial" w:cstheme="minorHAnsi"/>
                <w:sz w:val="22"/>
                <w:szCs w:val="22"/>
                <w:lang w:val="en" w:eastAsia="en-GB"/>
              </w:rPr>
            </w:pPr>
            <w:r>
              <w:rPr>
                <w:rFonts w:eastAsia="Arial" w:cstheme="minorHAnsi"/>
                <w:sz w:val="22"/>
                <w:szCs w:val="22"/>
                <w:lang w:val="en" w:eastAsia="en-GB"/>
              </w:rPr>
              <w:t>l</w:t>
            </w:r>
          </w:p>
        </w:tc>
        <w:tc>
          <w:tcPr>
            <w:tcW w:w="9497" w:type="dxa"/>
          </w:tcPr>
          <w:p w14:paraId="111E51A0" w14:textId="5872754E" w:rsidR="001D1F02" w:rsidRPr="00117750" w:rsidRDefault="001630D4" w:rsidP="003F494F">
            <w:pPr>
              <w:spacing w:before="240" w:line="360" w:lineRule="auto"/>
              <w:jc w:val="both"/>
              <w:rPr>
                <w:rFonts w:eastAsia="Arial" w:cstheme="minorHAnsi"/>
                <w:sz w:val="22"/>
                <w:szCs w:val="22"/>
                <w:lang w:val="en" w:eastAsia="en-GB"/>
              </w:rPr>
            </w:pPr>
            <w:r w:rsidRPr="00117750">
              <w:rPr>
                <w:rFonts w:eastAsia="Arial" w:cstheme="minorHAnsi"/>
                <w:sz w:val="22"/>
                <w:szCs w:val="22"/>
                <w:lang w:val="en" w:eastAsia="en-GB"/>
              </w:rPr>
              <w:t>CNI (calcineurin inhibitor)-resistance is defined as absence of at least partial remission after 6 months of treatment</w:t>
            </w:r>
            <w:r w:rsidR="00F80A32">
              <w:rPr>
                <w:rFonts w:eastAsia="Arial" w:cstheme="minorHAnsi"/>
                <w:sz w:val="22"/>
                <w:szCs w:val="22"/>
                <w:lang w:val="en" w:eastAsia="en-GB"/>
              </w:rPr>
              <w:t xml:space="preserve"> within target CNI ranges</w:t>
            </w:r>
            <w:r w:rsidRPr="00117750">
              <w:rPr>
                <w:rFonts w:eastAsia="Arial" w:cstheme="minorHAnsi"/>
                <w:sz w:val="22"/>
                <w:szCs w:val="22"/>
                <w:lang w:val="en" w:eastAsia="en-GB"/>
              </w:rPr>
              <w:t>.</w:t>
            </w:r>
          </w:p>
        </w:tc>
      </w:tr>
      <w:tr w:rsidR="00837E18" w14:paraId="4230DB1D" w14:textId="77777777" w:rsidTr="102F4F22">
        <w:tc>
          <w:tcPr>
            <w:tcW w:w="846" w:type="dxa"/>
          </w:tcPr>
          <w:p w14:paraId="298EA554" w14:textId="0705AE0C" w:rsidR="001D1F02" w:rsidRPr="00117750" w:rsidRDefault="00B80419" w:rsidP="003F494F">
            <w:pPr>
              <w:spacing w:before="240" w:line="360" w:lineRule="auto"/>
              <w:rPr>
                <w:rFonts w:eastAsia="Arial" w:cstheme="minorHAnsi"/>
                <w:sz w:val="22"/>
                <w:szCs w:val="22"/>
                <w:lang w:val="en" w:eastAsia="en-GB"/>
              </w:rPr>
            </w:pPr>
            <w:r>
              <w:rPr>
                <w:rFonts w:eastAsia="Arial" w:cstheme="minorHAnsi"/>
                <w:sz w:val="22"/>
                <w:szCs w:val="22"/>
                <w:lang w:val="en" w:eastAsia="en-GB"/>
              </w:rPr>
              <w:t>m</w:t>
            </w:r>
          </w:p>
        </w:tc>
        <w:tc>
          <w:tcPr>
            <w:tcW w:w="9497" w:type="dxa"/>
          </w:tcPr>
          <w:p w14:paraId="60694960" w14:textId="5C194945" w:rsidR="001D1F02" w:rsidRPr="00117750" w:rsidRDefault="001630D4" w:rsidP="003F494F">
            <w:pPr>
              <w:spacing w:before="240" w:line="360" w:lineRule="auto"/>
              <w:jc w:val="both"/>
              <w:rPr>
                <w:rFonts w:eastAsia="Arial" w:cstheme="minorHAnsi"/>
                <w:sz w:val="22"/>
                <w:szCs w:val="22"/>
                <w:lang w:val="en" w:eastAsia="en-GB"/>
              </w:rPr>
            </w:pPr>
            <w:r w:rsidRPr="00117750">
              <w:rPr>
                <w:rFonts w:eastAsia="Arial" w:cstheme="minorHAnsi"/>
                <w:sz w:val="22"/>
                <w:szCs w:val="22"/>
                <w:lang w:val="en" w:eastAsia="en-GB"/>
              </w:rPr>
              <w:t>Multi-drug resistant SRNS is defined as absence of complete remission after 12 months of</w:t>
            </w:r>
            <w:r w:rsidR="00856ED7">
              <w:rPr>
                <w:rFonts w:eastAsia="Arial" w:cstheme="minorHAnsi"/>
                <w:sz w:val="22"/>
                <w:szCs w:val="22"/>
                <w:lang w:val="en" w:eastAsia="en-GB"/>
              </w:rPr>
              <w:t xml:space="preserve"> at least</w:t>
            </w:r>
            <w:r w:rsidRPr="00117750">
              <w:rPr>
                <w:rFonts w:eastAsia="Arial" w:cstheme="minorHAnsi"/>
                <w:sz w:val="22"/>
                <w:szCs w:val="22"/>
                <w:lang w:val="en" w:eastAsia="en-GB"/>
              </w:rPr>
              <w:t xml:space="preserve"> two mechanistically distinct steroid sparing agents at standard doses</w:t>
            </w:r>
            <w:r w:rsidR="00856ED7">
              <w:rPr>
                <w:rFonts w:eastAsia="Arial" w:cstheme="minorHAnsi"/>
                <w:sz w:val="22"/>
                <w:szCs w:val="22"/>
                <w:lang w:val="en" w:eastAsia="en-GB"/>
              </w:rPr>
              <w:t xml:space="preserve"> that may be given sequentially or in combination</w:t>
            </w:r>
            <w:r w:rsidRPr="00117750">
              <w:rPr>
                <w:rFonts w:eastAsia="Arial" w:cstheme="minorHAnsi"/>
                <w:sz w:val="22"/>
                <w:szCs w:val="22"/>
                <w:lang w:val="en" w:eastAsia="en-GB"/>
              </w:rPr>
              <w:t>.</w:t>
            </w:r>
          </w:p>
        </w:tc>
      </w:tr>
      <w:tr w:rsidR="00837E18" w14:paraId="545B30E9" w14:textId="77777777" w:rsidTr="102F4F22">
        <w:tc>
          <w:tcPr>
            <w:tcW w:w="846" w:type="dxa"/>
          </w:tcPr>
          <w:p w14:paraId="6752CF4F" w14:textId="7FF2C6D7" w:rsidR="001D1F02" w:rsidRPr="00117750" w:rsidRDefault="00B80419" w:rsidP="003F494F">
            <w:pPr>
              <w:spacing w:before="240" w:line="360" w:lineRule="auto"/>
              <w:rPr>
                <w:rFonts w:eastAsia="Arial" w:cstheme="minorHAnsi"/>
                <w:sz w:val="22"/>
                <w:szCs w:val="22"/>
                <w:lang w:val="en" w:eastAsia="en-GB"/>
              </w:rPr>
            </w:pPr>
            <w:r>
              <w:rPr>
                <w:rFonts w:eastAsia="Arial" w:cstheme="minorHAnsi"/>
                <w:sz w:val="22"/>
                <w:szCs w:val="22"/>
                <w:lang w:val="en" w:eastAsia="en-GB"/>
              </w:rPr>
              <w:t>n</w:t>
            </w:r>
          </w:p>
        </w:tc>
        <w:tc>
          <w:tcPr>
            <w:tcW w:w="9497" w:type="dxa"/>
          </w:tcPr>
          <w:p w14:paraId="6EE7F97D" w14:textId="77777777" w:rsidR="001D1F02" w:rsidRPr="00117750" w:rsidRDefault="001630D4" w:rsidP="003F494F">
            <w:pPr>
              <w:spacing w:before="240" w:line="360" w:lineRule="auto"/>
              <w:jc w:val="both"/>
              <w:rPr>
                <w:rFonts w:eastAsia="Arial" w:cstheme="minorHAnsi"/>
                <w:sz w:val="22"/>
                <w:szCs w:val="22"/>
                <w:lang w:val="en" w:eastAsia="en-GB"/>
              </w:rPr>
            </w:pPr>
            <w:r w:rsidRPr="00117750">
              <w:rPr>
                <w:rFonts w:eastAsia="Arial" w:cstheme="minorHAnsi"/>
                <w:sz w:val="22"/>
                <w:szCs w:val="22"/>
                <w:lang w:val="en" w:eastAsia="en-GB"/>
              </w:rPr>
              <w:t>Secondary steroid resistance is defined as disease which is initially steroid sensitive but becomes steroid resistant in subsequent relapses.</w:t>
            </w:r>
          </w:p>
        </w:tc>
      </w:tr>
    </w:tbl>
    <w:p w14:paraId="49704844" w14:textId="77777777" w:rsidR="001D1F02" w:rsidRPr="00117750" w:rsidRDefault="001D1F02" w:rsidP="000A3A89">
      <w:pPr>
        <w:spacing w:line="360" w:lineRule="auto"/>
        <w:rPr>
          <w:rFonts w:eastAsia="Arial" w:cstheme="minorHAnsi"/>
          <w:sz w:val="22"/>
          <w:szCs w:val="22"/>
          <w:lang w:val="en" w:eastAsia="en-GB"/>
        </w:rPr>
      </w:pPr>
    </w:p>
    <w:p w14:paraId="062C8302" w14:textId="1FC3270F" w:rsidR="001D1F02" w:rsidRPr="004D5D9F" w:rsidRDefault="001630D4" w:rsidP="000A3A89">
      <w:pPr>
        <w:spacing w:line="360" w:lineRule="auto"/>
        <w:rPr>
          <w:b/>
          <w:bCs/>
          <w:sz w:val="22"/>
          <w:szCs w:val="22"/>
          <w:lang w:val="en" w:eastAsia="en-GB"/>
        </w:rPr>
      </w:pPr>
      <w:bookmarkStart w:id="9" w:name="_csozaater2g1" w:colFirst="0" w:colLast="0"/>
      <w:bookmarkStart w:id="10" w:name="_fdgd0mfplozz" w:colFirst="0" w:colLast="0"/>
      <w:bookmarkStart w:id="11" w:name="_hqm73ckzq1av" w:colFirst="0" w:colLast="0"/>
      <w:bookmarkStart w:id="12" w:name="_hftsn5y1efi5" w:colFirst="0" w:colLast="0"/>
      <w:bookmarkStart w:id="13" w:name="_pxo7flyik4vs" w:colFirst="0" w:colLast="0"/>
      <w:bookmarkEnd w:id="9"/>
      <w:bookmarkEnd w:id="10"/>
      <w:bookmarkEnd w:id="11"/>
      <w:bookmarkEnd w:id="12"/>
      <w:bookmarkEnd w:id="13"/>
      <w:r w:rsidRPr="004D5D9F">
        <w:rPr>
          <w:b/>
          <w:bCs/>
          <w:sz w:val="22"/>
          <w:szCs w:val="22"/>
          <w:lang w:val="en" w:eastAsia="en-GB"/>
        </w:rPr>
        <w:t xml:space="preserve">Management of </w:t>
      </w:r>
      <w:r w:rsidR="00B86C64">
        <w:rPr>
          <w:b/>
          <w:bCs/>
          <w:sz w:val="22"/>
          <w:szCs w:val="22"/>
          <w:lang w:val="en" w:eastAsia="en-GB"/>
        </w:rPr>
        <w:t>I</w:t>
      </w:r>
      <w:r w:rsidR="00BF3151" w:rsidRPr="004D5D9F">
        <w:rPr>
          <w:b/>
          <w:bCs/>
          <w:sz w:val="22"/>
          <w:szCs w:val="22"/>
          <w:lang w:val="en" w:eastAsia="en-GB"/>
        </w:rPr>
        <w:t>NS at disease</w:t>
      </w:r>
      <w:r w:rsidRPr="004D5D9F">
        <w:rPr>
          <w:b/>
          <w:bCs/>
          <w:sz w:val="22"/>
          <w:szCs w:val="22"/>
          <w:lang w:val="en" w:eastAsia="en-GB"/>
        </w:rPr>
        <w:t xml:space="preserve"> presentation</w:t>
      </w:r>
    </w:p>
    <w:p w14:paraId="4E13D1A8" w14:textId="77777777" w:rsidR="004D5D9F" w:rsidRPr="004D5D9F" w:rsidRDefault="004D5D9F" w:rsidP="000A3A89">
      <w:pPr>
        <w:spacing w:line="360" w:lineRule="auto"/>
        <w:rPr>
          <w:sz w:val="22"/>
          <w:szCs w:val="22"/>
          <w:lang w:val="en" w:eastAsia="en-GB"/>
        </w:rPr>
      </w:pPr>
    </w:p>
    <w:tbl>
      <w:tblPr>
        <w:tblW w:w="10342" w:type="dxa"/>
        <w:tblBorders>
          <w:top w:val="nil"/>
          <w:left w:val="nil"/>
          <w:bottom w:val="nil"/>
          <w:right w:val="nil"/>
          <w:insideH w:val="nil"/>
          <w:insideV w:val="nil"/>
        </w:tblBorders>
        <w:tblLayout w:type="fixed"/>
        <w:tblLook w:val="0600" w:firstRow="0" w:lastRow="0" w:firstColumn="0" w:lastColumn="0" w:noHBand="1" w:noVBand="1"/>
      </w:tblPr>
      <w:tblGrid>
        <w:gridCol w:w="1170"/>
        <w:gridCol w:w="7896"/>
        <w:gridCol w:w="1276"/>
      </w:tblGrid>
      <w:tr w:rsidR="00837E18" w14:paraId="36B5837D" w14:textId="77777777" w:rsidTr="102F4F22">
        <w:trPr>
          <w:trHeight w:val="300"/>
        </w:trPr>
        <w:tc>
          <w:tcPr>
            <w:tcW w:w="11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74AA9E8B" w14:textId="77777777" w:rsidR="001D1F02" w:rsidRPr="00117750" w:rsidRDefault="001630D4" w:rsidP="000A3A89">
            <w:pPr>
              <w:spacing w:before="240" w:line="360" w:lineRule="auto"/>
              <w:rPr>
                <w:rFonts w:eastAsia="Arial" w:cstheme="minorHAnsi"/>
                <w:b/>
                <w:sz w:val="22"/>
                <w:szCs w:val="22"/>
                <w:lang w:val="en" w:eastAsia="en-GB"/>
              </w:rPr>
            </w:pPr>
            <w:r w:rsidRPr="00117750">
              <w:rPr>
                <w:rFonts w:eastAsia="Arial" w:cstheme="minorHAnsi"/>
                <w:b/>
                <w:sz w:val="22"/>
                <w:szCs w:val="22"/>
                <w:lang w:val="en" w:eastAsia="en-GB"/>
              </w:rPr>
              <w:t>Number</w:t>
            </w:r>
          </w:p>
        </w:tc>
        <w:tc>
          <w:tcPr>
            <w:tcW w:w="7896" w:type="dxa"/>
            <w:tcBorders>
              <w:top w:val="single" w:sz="5" w:space="0" w:color="000000" w:themeColor="text1"/>
              <w:left w:val="nil"/>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50912AE3" w14:textId="77777777" w:rsidR="001D1F02" w:rsidRPr="00117750" w:rsidRDefault="001630D4" w:rsidP="000A3A89">
            <w:pPr>
              <w:spacing w:before="240" w:line="360" w:lineRule="auto"/>
              <w:rPr>
                <w:rFonts w:eastAsia="Arial" w:cstheme="minorHAnsi"/>
                <w:b/>
                <w:sz w:val="22"/>
                <w:szCs w:val="22"/>
                <w:lang w:val="en" w:eastAsia="en-GB"/>
              </w:rPr>
            </w:pPr>
            <w:r w:rsidRPr="00117750">
              <w:rPr>
                <w:rFonts w:eastAsia="Arial" w:cstheme="minorHAnsi"/>
                <w:b/>
                <w:sz w:val="22"/>
                <w:szCs w:val="22"/>
                <w:lang w:val="en" w:eastAsia="en-GB"/>
              </w:rPr>
              <w:t>RECOMMENDATION</w:t>
            </w:r>
          </w:p>
        </w:tc>
        <w:tc>
          <w:tcPr>
            <w:tcW w:w="1276" w:type="dxa"/>
            <w:tcBorders>
              <w:top w:val="single" w:sz="5" w:space="0" w:color="000000" w:themeColor="text1"/>
              <w:left w:val="nil"/>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6C2731FC" w14:textId="77777777" w:rsidR="001D1F02" w:rsidRPr="00117750" w:rsidRDefault="001630D4" w:rsidP="000A3A89">
            <w:pPr>
              <w:spacing w:before="240" w:line="360" w:lineRule="auto"/>
              <w:jc w:val="center"/>
              <w:rPr>
                <w:rFonts w:eastAsia="Arial" w:cstheme="minorHAnsi"/>
                <w:b/>
                <w:sz w:val="22"/>
                <w:szCs w:val="22"/>
                <w:lang w:val="en" w:eastAsia="en-GB"/>
              </w:rPr>
            </w:pPr>
            <w:r w:rsidRPr="00117750">
              <w:rPr>
                <w:rFonts w:eastAsia="Arial" w:cstheme="minorHAnsi"/>
                <w:b/>
                <w:sz w:val="22"/>
                <w:szCs w:val="22"/>
                <w:lang w:val="en" w:eastAsia="en-GB"/>
              </w:rPr>
              <w:t>Grade</w:t>
            </w:r>
          </w:p>
        </w:tc>
      </w:tr>
      <w:tr w:rsidR="000A3A89" w14:paraId="58D983E2" w14:textId="77777777" w:rsidTr="102F4F22">
        <w:trPr>
          <w:trHeight w:val="300"/>
        </w:trPr>
        <w:tc>
          <w:tcPr>
            <w:tcW w:w="11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4A267129" w14:textId="62AB3F05" w:rsidR="000A3A89" w:rsidRPr="00117750" w:rsidRDefault="000A3A89" w:rsidP="000A3A89">
            <w:pPr>
              <w:spacing w:before="240" w:line="360" w:lineRule="auto"/>
              <w:rPr>
                <w:rFonts w:eastAsia="Arial" w:cstheme="minorHAnsi"/>
                <w:b/>
                <w:sz w:val="22"/>
                <w:szCs w:val="22"/>
                <w:lang w:val="en" w:eastAsia="en-GB"/>
              </w:rPr>
            </w:pPr>
            <w:r>
              <w:rPr>
                <w:rFonts w:eastAsia="Arial" w:cstheme="minorHAnsi"/>
                <w:sz w:val="22"/>
                <w:szCs w:val="22"/>
                <w:lang w:val="en" w:eastAsia="en-GB"/>
              </w:rPr>
              <w:t>INS 1.1</w:t>
            </w:r>
          </w:p>
        </w:tc>
        <w:tc>
          <w:tcPr>
            <w:tcW w:w="7896" w:type="dxa"/>
            <w:tcBorders>
              <w:top w:val="single" w:sz="5" w:space="0" w:color="000000" w:themeColor="text1"/>
              <w:left w:val="nil"/>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3FD0007F" w14:textId="39C1DFB5" w:rsidR="000A3A89" w:rsidRPr="00117750" w:rsidRDefault="000A3A89" w:rsidP="000A3A89">
            <w:pPr>
              <w:spacing w:before="240" w:line="360" w:lineRule="auto"/>
              <w:rPr>
                <w:rFonts w:eastAsia="Arial" w:cstheme="minorHAnsi"/>
                <w:b/>
                <w:sz w:val="22"/>
                <w:szCs w:val="22"/>
                <w:lang w:val="en" w:eastAsia="en-GB"/>
              </w:rPr>
            </w:pPr>
            <w:r w:rsidRPr="00117750">
              <w:rPr>
                <w:rFonts w:eastAsia="Arial" w:cstheme="minorHAnsi"/>
                <w:sz w:val="22"/>
                <w:szCs w:val="22"/>
                <w:lang w:val="en" w:eastAsia="en-GB"/>
              </w:rPr>
              <w:t xml:space="preserve">We </w:t>
            </w:r>
            <w:r w:rsidRPr="00117750">
              <w:rPr>
                <w:rFonts w:eastAsia="Arial" w:cstheme="minorHAnsi"/>
                <w:sz w:val="22"/>
                <w:szCs w:val="22"/>
                <w:u w:val="single"/>
                <w:lang w:val="en" w:eastAsia="en-GB"/>
              </w:rPr>
              <w:t>recommend</w:t>
            </w:r>
            <w:r w:rsidRPr="00117750">
              <w:rPr>
                <w:rFonts w:eastAsia="Arial" w:cstheme="minorHAnsi"/>
                <w:sz w:val="22"/>
                <w:szCs w:val="22"/>
                <w:lang w:val="en" w:eastAsia="en-GB"/>
              </w:rPr>
              <w:t xml:space="preserve"> that children with a ‘typical’ first presentation of nephrotic syndrome commence treatment with prednisolone 60 mg/m</w:t>
            </w:r>
            <w:r w:rsidRPr="00117750">
              <w:rPr>
                <w:rFonts w:eastAsia="Arial" w:cstheme="minorHAnsi"/>
                <w:sz w:val="22"/>
                <w:szCs w:val="22"/>
                <w:vertAlign w:val="superscript"/>
                <w:lang w:val="en" w:eastAsia="en-GB"/>
              </w:rPr>
              <w:t>2</w:t>
            </w:r>
            <w:r w:rsidR="00B80419">
              <w:rPr>
                <w:rFonts w:eastAsia="Arial" w:cstheme="minorHAnsi"/>
                <w:sz w:val="22"/>
                <w:szCs w:val="22"/>
                <w:lang w:val="en" w:eastAsia="en-GB"/>
              </w:rPr>
              <w:t xml:space="preserve"> per </w:t>
            </w:r>
            <w:r w:rsidRPr="00117750">
              <w:rPr>
                <w:rFonts w:eastAsia="Arial" w:cstheme="minorHAnsi"/>
                <w:sz w:val="22"/>
                <w:szCs w:val="22"/>
                <w:lang w:val="en" w:eastAsia="en-GB"/>
              </w:rPr>
              <w:t>day or 2 mg/kg/day (maximum dose 60 mg) for 4 weeks.</w:t>
            </w:r>
          </w:p>
        </w:tc>
        <w:tc>
          <w:tcPr>
            <w:tcW w:w="1276" w:type="dxa"/>
            <w:tcBorders>
              <w:top w:val="single" w:sz="5" w:space="0" w:color="000000" w:themeColor="text1"/>
              <w:left w:val="nil"/>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29AFD05F" w14:textId="5FDFEFDC" w:rsidR="000A3A89" w:rsidRPr="00117750" w:rsidRDefault="000A3A89" w:rsidP="000A3A89">
            <w:pPr>
              <w:spacing w:before="240" w:line="360" w:lineRule="auto"/>
              <w:jc w:val="center"/>
              <w:rPr>
                <w:rFonts w:eastAsia="Arial" w:cstheme="minorHAnsi"/>
                <w:b/>
                <w:sz w:val="22"/>
                <w:szCs w:val="22"/>
                <w:lang w:val="en" w:eastAsia="en-GB"/>
              </w:rPr>
            </w:pPr>
            <w:r w:rsidRPr="00D20CBA">
              <w:rPr>
                <w:rFonts w:eastAsia="Arial" w:cstheme="minorHAnsi"/>
                <w:b/>
                <w:bCs/>
                <w:sz w:val="22"/>
                <w:szCs w:val="22"/>
                <w:lang w:val="en" w:eastAsia="en-GB"/>
              </w:rPr>
              <w:t>1A</w:t>
            </w:r>
          </w:p>
        </w:tc>
      </w:tr>
      <w:tr w:rsidR="000A3A89" w14:paraId="41363348" w14:textId="77777777" w:rsidTr="102F4F22">
        <w:trPr>
          <w:trHeight w:val="1155"/>
        </w:trPr>
        <w:tc>
          <w:tcPr>
            <w:tcW w:w="1170" w:type="dxa"/>
            <w:tcBorders>
              <w:top w:val="nil"/>
              <w:left w:val="single" w:sz="5" w:space="0" w:color="000000" w:themeColor="text1"/>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6C821E76" w14:textId="1CBE3528" w:rsidR="000A3A89" w:rsidRPr="00117750" w:rsidRDefault="000A3A89" w:rsidP="003F494F">
            <w:pPr>
              <w:spacing w:before="240" w:line="360" w:lineRule="auto"/>
              <w:rPr>
                <w:rFonts w:eastAsia="Arial" w:cstheme="minorHAnsi"/>
                <w:sz w:val="22"/>
                <w:szCs w:val="22"/>
                <w:lang w:val="en" w:eastAsia="en-GB"/>
              </w:rPr>
            </w:pPr>
            <w:r>
              <w:rPr>
                <w:rFonts w:eastAsia="Arial" w:cstheme="minorHAnsi"/>
                <w:sz w:val="22"/>
                <w:szCs w:val="22"/>
                <w:lang w:val="en" w:eastAsia="en-GB"/>
              </w:rPr>
              <w:lastRenderedPageBreak/>
              <w:t>INS 1.</w:t>
            </w:r>
            <w:r w:rsidR="00B80419">
              <w:rPr>
                <w:rFonts w:eastAsia="Arial" w:cstheme="minorHAnsi"/>
                <w:sz w:val="22"/>
                <w:szCs w:val="22"/>
                <w:lang w:val="en" w:eastAsia="en-GB"/>
              </w:rPr>
              <w:t>2</w:t>
            </w:r>
            <w:r w:rsidRPr="00117750">
              <w:rPr>
                <w:rFonts w:eastAsia="Arial" w:cstheme="minorHAnsi"/>
                <w:sz w:val="22"/>
                <w:szCs w:val="22"/>
                <w:lang w:val="en" w:eastAsia="en-GB"/>
              </w:rPr>
              <w:t xml:space="preserve"> </w:t>
            </w:r>
          </w:p>
        </w:tc>
        <w:tc>
          <w:tcPr>
            <w:tcW w:w="7896" w:type="dxa"/>
            <w:tcBorders>
              <w:top w:val="nil"/>
              <w:left w:val="nil"/>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54BF1749" w14:textId="22AEEADE" w:rsidR="000A3A89" w:rsidRPr="00117750" w:rsidRDefault="000A3A89" w:rsidP="000A3A89">
            <w:pPr>
              <w:spacing w:before="240" w:line="360" w:lineRule="auto"/>
              <w:jc w:val="both"/>
              <w:rPr>
                <w:rFonts w:eastAsia="Arial Unicode MS" w:cstheme="minorHAnsi"/>
                <w:sz w:val="22"/>
                <w:szCs w:val="22"/>
                <w:lang w:val="en" w:eastAsia="en-GB"/>
              </w:rPr>
            </w:pPr>
            <w:r w:rsidRPr="00117750">
              <w:rPr>
                <w:rFonts w:eastAsia="Arial" w:cstheme="minorHAnsi"/>
                <w:sz w:val="22"/>
                <w:szCs w:val="22"/>
                <w:lang w:val="en" w:eastAsia="en-GB"/>
              </w:rPr>
              <w:t xml:space="preserve">We </w:t>
            </w:r>
            <w:r w:rsidRPr="00117750">
              <w:rPr>
                <w:rFonts w:eastAsia="Arial" w:cstheme="minorHAnsi"/>
                <w:sz w:val="22"/>
                <w:szCs w:val="22"/>
                <w:u w:val="single"/>
                <w:lang w:val="en" w:eastAsia="en-GB"/>
              </w:rPr>
              <w:t>suggest</w:t>
            </w:r>
            <w:r w:rsidRPr="00117750">
              <w:rPr>
                <w:rFonts w:eastAsia="Arial" w:cstheme="minorHAnsi"/>
                <w:sz w:val="22"/>
                <w:szCs w:val="22"/>
                <w:lang w:val="en" w:eastAsia="en-GB"/>
              </w:rPr>
              <w:t xml:space="preserve"> that for children under the age of 5 years, prednisolone should be dosed </w:t>
            </w:r>
            <w:r w:rsidR="00B80419">
              <w:rPr>
                <w:rFonts w:eastAsia="Arial" w:cstheme="minorHAnsi"/>
                <w:sz w:val="22"/>
                <w:szCs w:val="22"/>
                <w:lang w:val="en" w:eastAsia="en-GB"/>
              </w:rPr>
              <w:t>according to</w:t>
            </w:r>
            <w:r w:rsidRPr="00117750">
              <w:rPr>
                <w:rFonts w:eastAsia="Arial" w:cstheme="minorHAnsi"/>
                <w:sz w:val="22"/>
                <w:szCs w:val="22"/>
                <w:lang w:val="en" w:eastAsia="en-GB"/>
              </w:rPr>
              <w:t xml:space="preserve"> body surface area, preferably using the Mosteller formula</w:t>
            </w:r>
            <w:r w:rsidRPr="00117750">
              <w:rPr>
                <w:rFonts w:eastAsia="Arial Unicode MS" w:cstheme="minorHAnsi"/>
                <w:sz w:val="22"/>
                <w:szCs w:val="22"/>
                <w:lang w:val="en" w:eastAsia="en-GB"/>
              </w:rPr>
              <w:t>:</w:t>
            </w:r>
          </w:p>
          <w:p w14:paraId="56D77CB7" w14:textId="4742BA69" w:rsidR="000A3A89" w:rsidRPr="00117750" w:rsidRDefault="000A3A89" w:rsidP="003F494F">
            <w:pPr>
              <w:spacing w:before="240" w:line="360" w:lineRule="auto"/>
              <w:jc w:val="both"/>
              <w:rPr>
                <w:rFonts w:eastAsia="Arial" w:cstheme="minorHAnsi"/>
                <w:sz w:val="22"/>
                <w:szCs w:val="22"/>
                <w:lang w:val="en" w:eastAsia="en-GB"/>
              </w:rPr>
            </w:pPr>
            <m:oMathPara>
              <m:oMath>
                <m:r>
                  <w:rPr>
                    <w:rFonts w:ascii="Cambria Math" w:eastAsia="Arial Unicode MS" w:hAnsi="Cambria Math" w:cstheme="minorHAnsi"/>
                    <w:sz w:val="22"/>
                    <w:szCs w:val="22"/>
                    <w:lang w:val="en" w:eastAsia="en-GB"/>
                  </w:rPr>
                  <m:t>BSA=√</m:t>
                </m:r>
                <m:f>
                  <m:fPr>
                    <m:ctrlPr>
                      <w:rPr>
                        <w:rFonts w:ascii="Cambria Math" w:eastAsia="Arial Unicode MS" w:hAnsi="Cambria Math" w:cstheme="minorHAnsi"/>
                        <w:i/>
                        <w:sz w:val="22"/>
                        <w:szCs w:val="22"/>
                        <w:lang w:val="en" w:eastAsia="en-GB"/>
                      </w:rPr>
                    </m:ctrlPr>
                  </m:fPr>
                  <m:num>
                    <m:r>
                      <w:rPr>
                        <w:rFonts w:ascii="Cambria Math" w:eastAsia="Arial Unicode MS" w:hAnsi="Cambria Math" w:cstheme="minorHAnsi"/>
                        <w:sz w:val="22"/>
                        <w:szCs w:val="22"/>
                        <w:lang w:val="en" w:eastAsia="en-GB"/>
                      </w:rPr>
                      <m:t xml:space="preserve">height </m:t>
                    </m:r>
                    <m:d>
                      <m:dPr>
                        <m:ctrlPr>
                          <w:rPr>
                            <w:rFonts w:ascii="Cambria Math" w:eastAsia="Arial Unicode MS" w:hAnsi="Cambria Math" w:cstheme="minorHAnsi"/>
                            <w:i/>
                            <w:sz w:val="22"/>
                            <w:szCs w:val="22"/>
                            <w:lang w:val="en" w:eastAsia="en-GB"/>
                          </w:rPr>
                        </m:ctrlPr>
                      </m:dPr>
                      <m:e>
                        <m:r>
                          <w:rPr>
                            <w:rFonts w:ascii="Cambria Math" w:eastAsia="Arial Unicode MS" w:hAnsi="Cambria Math" w:cstheme="minorHAnsi"/>
                            <w:sz w:val="22"/>
                            <w:szCs w:val="22"/>
                            <w:lang w:val="en" w:eastAsia="en-GB"/>
                          </w:rPr>
                          <m:t>cm</m:t>
                        </m:r>
                      </m:e>
                    </m:d>
                    <m:r>
                      <w:rPr>
                        <w:rFonts w:ascii="Cambria Math" w:eastAsia="Arial Unicode MS" w:hAnsi="Cambria Math" w:cstheme="minorHAnsi"/>
                        <w:sz w:val="22"/>
                        <w:szCs w:val="22"/>
                        <w:lang w:val="en" w:eastAsia="en-GB"/>
                      </w:rPr>
                      <m:t>×weight (kg)</m:t>
                    </m:r>
                  </m:num>
                  <m:den>
                    <m:r>
                      <w:rPr>
                        <w:rFonts w:ascii="Cambria Math" w:eastAsia="Arial Unicode MS" w:hAnsi="Cambria Math" w:cstheme="minorHAnsi"/>
                        <w:sz w:val="22"/>
                        <w:szCs w:val="22"/>
                        <w:lang w:val="en" w:eastAsia="en-GB"/>
                      </w:rPr>
                      <m:t>3600</m:t>
                    </m:r>
                  </m:den>
                </m:f>
                <m:r>
                  <m:rPr>
                    <m:sty m:val="p"/>
                  </m:rPr>
                  <w:rPr>
                    <w:rFonts w:ascii="Cambria Math" w:eastAsia="Arial Unicode MS" w:hAnsi="Cambria Math" w:cstheme="minorHAnsi"/>
                    <w:sz w:val="22"/>
                    <w:szCs w:val="22"/>
                    <w:lang w:val="en" w:eastAsia="en-GB"/>
                  </w:rPr>
                  <w:br/>
                </m:r>
              </m:oMath>
            </m:oMathPara>
            <w:r w:rsidRPr="00117750">
              <w:rPr>
                <w:rFonts w:eastAsia="Arial Unicode MS" w:cstheme="minorHAnsi"/>
                <w:sz w:val="22"/>
                <w:szCs w:val="22"/>
                <w:lang w:val="en" w:eastAsia="en-GB"/>
              </w:rPr>
              <w:t xml:space="preserve">This should be based on an estimated dry weight for the child </w:t>
            </w:r>
            <w:r w:rsidRPr="00117750">
              <w:rPr>
                <w:rFonts w:eastAsia="Arial" w:cstheme="minorHAnsi"/>
                <w:sz w:val="22"/>
                <w:szCs w:val="22"/>
                <w:lang w:val="en" w:eastAsia="en-GB"/>
              </w:rPr>
              <w:t xml:space="preserve">rather than their </w:t>
            </w:r>
            <w:proofErr w:type="spellStart"/>
            <w:r w:rsidRPr="00117750">
              <w:rPr>
                <w:rFonts w:eastAsia="Arial" w:cstheme="minorHAnsi"/>
                <w:sz w:val="22"/>
                <w:szCs w:val="22"/>
                <w:lang w:val="en" w:eastAsia="en-GB"/>
              </w:rPr>
              <w:t>oedematous</w:t>
            </w:r>
            <w:proofErr w:type="spellEnd"/>
            <w:r w:rsidRPr="00117750">
              <w:rPr>
                <w:rFonts w:eastAsia="Arial" w:cstheme="minorHAnsi"/>
                <w:sz w:val="22"/>
                <w:szCs w:val="22"/>
                <w:lang w:val="en" w:eastAsia="en-GB"/>
              </w:rPr>
              <w:t xml:space="preserve"> weight.  </w:t>
            </w:r>
          </w:p>
        </w:tc>
        <w:tc>
          <w:tcPr>
            <w:tcW w:w="1276" w:type="dxa"/>
            <w:tcBorders>
              <w:top w:val="nil"/>
              <w:left w:val="nil"/>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23D86F65" w14:textId="65F63445" w:rsidR="000A3A89" w:rsidRPr="00D20CBA" w:rsidRDefault="000A3A89" w:rsidP="003F494F">
            <w:pPr>
              <w:spacing w:before="240" w:line="360" w:lineRule="auto"/>
              <w:jc w:val="center"/>
              <w:rPr>
                <w:rFonts w:eastAsia="Arial" w:cstheme="minorHAnsi"/>
                <w:b/>
                <w:bCs/>
                <w:sz w:val="22"/>
                <w:szCs w:val="22"/>
                <w:lang w:val="en" w:eastAsia="en-GB"/>
              </w:rPr>
            </w:pPr>
            <w:r w:rsidRPr="00D20CBA">
              <w:rPr>
                <w:rFonts w:eastAsia="Arial" w:cstheme="minorHAnsi"/>
                <w:b/>
                <w:bCs/>
                <w:sz w:val="22"/>
                <w:szCs w:val="22"/>
                <w:lang w:val="en" w:eastAsia="en-GB"/>
              </w:rPr>
              <w:t>2C</w:t>
            </w:r>
          </w:p>
        </w:tc>
      </w:tr>
      <w:tr w:rsidR="000A3A89" w14:paraId="69CDCA9E" w14:textId="77777777" w:rsidTr="102F4F22">
        <w:trPr>
          <w:trHeight w:val="1618"/>
        </w:trPr>
        <w:tc>
          <w:tcPr>
            <w:tcW w:w="1170" w:type="dxa"/>
            <w:tcBorders>
              <w:top w:val="nil"/>
              <w:left w:val="single" w:sz="5" w:space="0" w:color="000000" w:themeColor="text1"/>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575A36D5" w14:textId="31402B03" w:rsidR="000A3A89" w:rsidRPr="00117750" w:rsidRDefault="000A3A89" w:rsidP="003F494F">
            <w:pPr>
              <w:spacing w:before="240" w:line="360" w:lineRule="auto"/>
              <w:rPr>
                <w:rFonts w:eastAsia="Arial" w:cstheme="minorHAnsi"/>
                <w:sz w:val="22"/>
                <w:szCs w:val="22"/>
                <w:lang w:val="en" w:eastAsia="en-GB"/>
              </w:rPr>
            </w:pPr>
            <w:r>
              <w:rPr>
                <w:rFonts w:eastAsia="Arial" w:cstheme="minorHAnsi"/>
                <w:sz w:val="22"/>
                <w:szCs w:val="22"/>
                <w:lang w:val="en" w:eastAsia="en-GB"/>
              </w:rPr>
              <w:t>INS 1.</w:t>
            </w:r>
            <w:r w:rsidR="00B80419">
              <w:rPr>
                <w:rFonts w:eastAsia="Arial" w:cstheme="minorHAnsi"/>
                <w:sz w:val="22"/>
                <w:szCs w:val="22"/>
                <w:lang w:val="en" w:eastAsia="en-GB"/>
              </w:rPr>
              <w:t>3</w:t>
            </w:r>
          </w:p>
        </w:tc>
        <w:tc>
          <w:tcPr>
            <w:tcW w:w="7896" w:type="dxa"/>
            <w:tcBorders>
              <w:top w:val="nil"/>
              <w:left w:val="nil"/>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3AF675E0" w14:textId="1090C930" w:rsidR="000A3A89" w:rsidRPr="00117750" w:rsidRDefault="000A3A89" w:rsidP="003F494F">
            <w:pPr>
              <w:spacing w:before="240" w:line="360" w:lineRule="auto"/>
              <w:jc w:val="both"/>
              <w:rPr>
                <w:rFonts w:eastAsia="Arial"/>
                <w:sz w:val="22"/>
                <w:szCs w:val="22"/>
                <w:lang w:val="en-US" w:eastAsia="en-GB"/>
              </w:rPr>
            </w:pPr>
            <w:r w:rsidRPr="102F4F22">
              <w:rPr>
                <w:rFonts w:eastAsia="Arial"/>
                <w:sz w:val="22"/>
                <w:szCs w:val="22"/>
                <w:lang w:val="en-US" w:eastAsia="en-GB"/>
              </w:rPr>
              <w:t xml:space="preserve">We </w:t>
            </w:r>
            <w:r w:rsidRPr="102F4F22">
              <w:rPr>
                <w:rFonts w:eastAsia="Arial"/>
                <w:sz w:val="22"/>
                <w:szCs w:val="22"/>
                <w:u w:val="single"/>
                <w:lang w:val="en-US" w:eastAsia="en-GB"/>
              </w:rPr>
              <w:t>recommend</w:t>
            </w:r>
            <w:r w:rsidRPr="102F4F22">
              <w:rPr>
                <w:rFonts w:eastAsia="Arial"/>
                <w:sz w:val="22"/>
                <w:szCs w:val="22"/>
                <w:lang w:val="en-US" w:eastAsia="en-GB"/>
              </w:rPr>
              <w:t xml:space="preserve"> that a kidney biopsy prior to treatment should be considered in children who present with atypical features such as macroscopic </w:t>
            </w:r>
            <w:proofErr w:type="spellStart"/>
            <w:r w:rsidRPr="102F4F22">
              <w:rPr>
                <w:rFonts w:eastAsia="Arial"/>
                <w:sz w:val="22"/>
                <w:szCs w:val="22"/>
                <w:lang w:val="en-US" w:eastAsia="en-GB"/>
              </w:rPr>
              <w:t>haematuria</w:t>
            </w:r>
            <w:proofErr w:type="spellEnd"/>
            <w:r w:rsidRPr="102F4F22">
              <w:rPr>
                <w:rFonts w:eastAsia="Arial"/>
                <w:sz w:val="22"/>
                <w:szCs w:val="22"/>
                <w:lang w:val="en-US" w:eastAsia="en-GB"/>
              </w:rPr>
              <w:t xml:space="preserve">, </w:t>
            </w:r>
            <w:r>
              <w:rPr>
                <w:rFonts w:eastAsia="Arial"/>
                <w:sz w:val="22"/>
                <w:szCs w:val="22"/>
                <w:lang w:val="en-US" w:eastAsia="en-GB"/>
              </w:rPr>
              <w:t xml:space="preserve">abnormal kidney </w:t>
            </w:r>
            <w:proofErr w:type="spellStart"/>
            <w:r>
              <w:rPr>
                <w:rFonts w:eastAsia="Arial"/>
                <w:sz w:val="22"/>
                <w:szCs w:val="22"/>
                <w:lang w:val="en-US" w:eastAsia="en-GB"/>
              </w:rPr>
              <w:t>funtion</w:t>
            </w:r>
            <w:proofErr w:type="spellEnd"/>
            <w:r w:rsidRPr="102F4F22">
              <w:rPr>
                <w:rFonts w:eastAsia="Arial"/>
                <w:sz w:val="22"/>
                <w:szCs w:val="22"/>
                <w:lang w:val="en-US" w:eastAsia="en-GB"/>
              </w:rPr>
              <w:t xml:space="preserve"> (in the absence of </w:t>
            </w:r>
            <w:proofErr w:type="spellStart"/>
            <w:r w:rsidRPr="102F4F22">
              <w:rPr>
                <w:rFonts w:eastAsia="Arial"/>
                <w:sz w:val="22"/>
                <w:szCs w:val="22"/>
                <w:lang w:val="en-US" w:eastAsia="en-GB"/>
              </w:rPr>
              <w:t>hypovolaemia</w:t>
            </w:r>
            <w:proofErr w:type="spellEnd"/>
            <w:r w:rsidRPr="102F4F22">
              <w:rPr>
                <w:rFonts w:eastAsia="Arial"/>
                <w:sz w:val="22"/>
                <w:szCs w:val="22"/>
                <w:lang w:val="en-US" w:eastAsia="en-GB"/>
              </w:rPr>
              <w:t xml:space="preserve">), hypertension with a </w:t>
            </w:r>
            <w:proofErr w:type="spellStart"/>
            <w:r w:rsidRPr="102F4F22">
              <w:rPr>
                <w:rFonts w:eastAsia="Arial"/>
                <w:sz w:val="22"/>
                <w:szCs w:val="22"/>
                <w:lang w:val="en-US" w:eastAsia="en-GB"/>
              </w:rPr>
              <w:t>euvolaemic</w:t>
            </w:r>
            <w:proofErr w:type="spellEnd"/>
            <w:r w:rsidRPr="102F4F22">
              <w:rPr>
                <w:rFonts w:eastAsia="Arial"/>
                <w:sz w:val="22"/>
                <w:szCs w:val="22"/>
                <w:lang w:val="en-US" w:eastAsia="en-GB"/>
              </w:rPr>
              <w:t xml:space="preserve"> state or low complement factor C3 or C4.</w:t>
            </w:r>
          </w:p>
        </w:tc>
        <w:tc>
          <w:tcPr>
            <w:tcW w:w="1276" w:type="dxa"/>
            <w:tcBorders>
              <w:top w:val="nil"/>
              <w:left w:val="nil"/>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1C14ECD1" w14:textId="77777777" w:rsidR="000A3A89" w:rsidRPr="00D20CBA" w:rsidRDefault="000A3A89" w:rsidP="003F494F">
            <w:pPr>
              <w:spacing w:before="240" w:line="360" w:lineRule="auto"/>
              <w:jc w:val="center"/>
              <w:rPr>
                <w:rFonts w:eastAsia="Arial" w:cstheme="minorHAnsi"/>
                <w:b/>
                <w:bCs/>
                <w:sz w:val="22"/>
                <w:szCs w:val="22"/>
                <w:lang w:val="en" w:eastAsia="en-GB"/>
              </w:rPr>
            </w:pPr>
            <w:r w:rsidRPr="00D20CBA">
              <w:rPr>
                <w:rFonts w:eastAsia="Arial" w:cstheme="minorHAnsi"/>
                <w:b/>
                <w:bCs/>
                <w:sz w:val="22"/>
                <w:szCs w:val="22"/>
                <w:lang w:val="en" w:eastAsia="en-GB"/>
              </w:rPr>
              <w:t>1B</w:t>
            </w:r>
          </w:p>
        </w:tc>
      </w:tr>
      <w:tr w:rsidR="000A3A89" w14:paraId="01C71F2E" w14:textId="77777777" w:rsidTr="102F4F22">
        <w:trPr>
          <w:trHeight w:val="915"/>
        </w:trPr>
        <w:tc>
          <w:tcPr>
            <w:tcW w:w="1170" w:type="dxa"/>
            <w:tcBorders>
              <w:top w:val="nil"/>
              <w:left w:val="single" w:sz="5" w:space="0" w:color="000000" w:themeColor="text1"/>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16E2EE30" w14:textId="1D830078" w:rsidR="000A3A89" w:rsidRPr="00117750" w:rsidRDefault="000A3A89" w:rsidP="003F494F">
            <w:pPr>
              <w:spacing w:before="240" w:line="360" w:lineRule="auto"/>
              <w:rPr>
                <w:rFonts w:eastAsia="Arial" w:cstheme="minorHAnsi"/>
                <w:sz w:val="22"/>
                <w:szCs w:val="22"/>
                <w:lang w:val="en" w:eastAsia="en-GB"/>
              </w:rPr>
            </w:pPr>
            <w:r>
              <w:rPr>
                <w:rFonts w:eastAsia="Arial" w:cstheme="minorHAnsi"/>
                <w:sz w:val="22"/>
                <w:szCs w:val="22"/>
                <w:lang w:val="en" w:eastAsia="en-GB"/>
              </w:rPr>
              <w:t>INS 1.</w:t>
            </w:r>
            <w:r w:rsidR="00B80419">
              <w:rPr>
                <w:rFonts w:eastAsia="Arial" w:cstheme="minorHAnsi"/>
                <w:sz w:val="22"/>
                <w:szCs w:val="22"/>
                <w:lang w:val="en" w:eastAsia="en-GB"/>
              </w:rPr>
              <w:t>4</w:t>
            </w:r>
          </w:p>
        </w:tc>
        <w:tc>
          <w:tcPr>
            <w:tcW w:w="7896" w:type="dxa"/>
            <w:tcBorders>
              <w:top w:val="nil"/>
              <w:left w:val="nil"/>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1AD8524D" w14:textId="3901D2A5" w:rsidR="000A3A89" w:rsidRPr="00117750" w:rsidRDefault="000A3A89" w:rsidP="003F494F">
            <w:pPr>
              <w:spacing w:before="240" w:line="360" w:lineRule="auto"/>
              <w:jc w:val="both"/>
              <w:rPr>
                <w:rFonts w:eastAsia="Arial" w:cstheme="minorHAnsi"/>
                <w:sz w:val="22"/>
                <w:szCs w:val="22"/>
                <w:lang w:val="en" w:eastAsia="en-GB"/>
              </w:rPr>
            </w:pPr>
            <w:r w:rsidRPr="00117750">
              <w:rPr>
                <w:rFonts w:eastAsia="Arial" w:cstheme="minorHAnsi"/>
                <w:sz w:val="22"/>
                <w:szCs w:val="22"/>
                <w:lang w:val="en" w:eastAsia="en-GB"/>
              </w:rPr>
              <w:t xml:space="preserve">We </w:t>
            </w:r>
            <w:r w:rsidRPr="00117750">
              <w:rPr>
                <w:rFonts w:eastAsia="Arial" w:cstheme="minorHAnsi"/>
                <w:sz w:val="22"/>
                <w:szCs w:val="22"/>
                <w:u w:val="single"/>
                <w:lang w:val="en" w:eastAsia="en-GB"/>
              </w:rPr>
              <w:t>recommend</w:t>
            </w:r>
            <w:r w:rsidRPr="00117750">
              <w:rPr>
                <w:rFonts w:eastAsia="Arial" w:cstheme="minorHAnsi"/>
                <w:sz w:val="22"/>
                <w:szCs w:val="22"/>
                <w:lang w:val="en" w:eastAsia="en-GB"/>
              </w:rPr>
              <w:t xml:space="preserve"> that children with </w:t>
            </w:r>
            <w:proofErr w:type="gramStart"/>
            <w:r w:rsidRPr="00117750">
              <w:rPr>
                <w:rFonts w:eastAsia="Arial" w:cstheme="minorHAnsi"/>
                <w:sz w:val="22"/>
                <w:szCs w:val="22"/>
                <w:lang w:val="en" w:eastAsia="en-GB"/>
              </w:rPr>
              <w:t>newly-presenting</w:t>
            </w:r>
            <w:proofErr w:type="gramEnd"/>
            <w:r w:rsidRPr="00117750">
              <w:rPr>
                <w:rFonts w:eastAsia="Arial" w:cstheme="minorHAnsi"/>
                <w:sz w:val="22"/>
                <w:szCs w:val="22"/>
                <w:lang w:val="en" w:eastAsia="en-GB"/>
              </w:rPr>
              <w:t xml:space="preserve"> nephrotic syndrome should not routinely </w:t>
            </w:r>
            <w:r w:rsidR="00104C86">
              <w:rPr>
                <w:rFonts w:eastAsia="Arial" w:cstheme="minorHAnsi"/>
                <w:sz w:val="22"/>
                <w:szCs w:val="22"/>
                <w:lang w:val="en" w:eastAsia="en-GB"/>
              </w:rPr>
              <w:t xml:space="preserve">be </w:t>
            </w:r>
            <w:r w:rsidRPr="00117750">
              <w:rPr>
                <w:rFonts w:eastAsia="Arial" w:cstheme="minorHAnsi"/>
                <w:sz w:val="22"/>
                <w:szCs w:val="22"/>
                <w:lang w:val="en" w:eastAsia="en-GB"/>
              </w:rPr>
              <w:t>commenced on steroid-sparing drugs at the point of initial remission.</w:t>
            </w:r>
          </w:p>
        </w:tc>
        <w:tc>
          <w:tcPr>
            <w:tcW w:w="1276" w:type="dxa"/>
            <w:tcBorders>
              <w:top w:val="nil"/>
              <w:left w:val="nil"/>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77DA038D" w14:textId="500E3EA4" w:rsidR="000A3A89" w:rsidRPr="00D20CBA" w:rsidRDefault="000A3A89" w:rsidP="003F494F">
            <w:pPr>
              <w:spacing w:before="240" w:line="360" w:lineRule="auto"/>
              <w:jc w:val="center"/>
              <w:rPr>
                <w:rFonts w:eastAsia="Arial" w:cstheme="minorHAnsi"/>
                <w:b/>
                <w:bCs/>
                <w:sz w:val="22"/>
                <w:szCs w:val="22"/>
                <w:lang w:val="en" w:eastAsia="en-GB"/>
              </w:rPr>
            </w:pPr>
            <w:r w:rsidRPr="00D20CBA">
              <w:rPr>
                <w:rFonts w:eastAsia="Arial" w:cstheme="minorHAnsi"/>
                <w:b/>
                <w:bCs/>
                <w:sz w:val="22"/>
                <w:szCs w:val="22"/>
                <w:lang w:val="en" w:eastAsia="en-GB"/>
              </w:rPr>
              <w:t>1A</w:t>
            </w:r>
          </w:p>
        </w:tc>
      </w:tr>
      <w:tr w:rsidR="000A3A89" w14:paraId="081CD00A" w14:textId="77777777" w:rsidTr="102F4F22">
        <w:trPr>
          <w:trHeight w:val="885"/>
        </w:trPr>
        <w:tc>
          <w:tcPr>
            <w:tcW w:w="1170" w:type="dxa"/>
            <w:tcBorders>
              <w:top w:val="nil"/>
              <w:left w:val="single" w:sz="5" w:space="0" w:color="000000" w:themeColor="text1"/>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4F03CB00" w14:textId="45B5C0C1" w:rsidR="000A3A89" w:rsidRPr="00117750" w:rsidRDefault="000A3A89" w:rsidP="003F494F">
            <w:pPr>
              <w:spacing w:before="240" w:line="360" w:lineRule="auto"/>
              <w:rPr>
                <w:rFonts w:eastAsia="Arial" w:cstheme="minorHAnsi"/>
                <w:sz w:val="22"/>
                <w:szCs w:val="22"/>
                <w:lang w:val="en" w:eastAsia="en-GB"/>
              </w:rPr>
            </w:pPr>
            <w:r>
              <w:rPr>
                <w:rFonts w:eastAsia="Arial" w:cstheme="minorHAnsi"/>
                <w:sz w:val="22"/>
                <w:szCs w:val="22"/>
                <w:lang w:val="en" w:eastAsia="en-GB"/>
              </w:rPr>
              <w:t>INS 1.</w:t>
            </w:r>
            <w:r w:rsidR="00B80419">
              <w:rPr>
                <w:rFonts w:eastAsia="Arial" w:cstheme="minorHAnsi"/>
                <w:sz w:val="22"/>
                <w:szCs w:val="22"/>
                <w:lang w:val="en" w:eastAsia="en-GB"/>
              </w:rPr>
              <w:t>5</w:t>
            </w:r>
          </w:p>
        </w:tc>
        <w:tc>
          <w:tcPr>
            <w:tcW w:w="7896" w:type="dxa"/>
            <w:tcBorders>
              <w:top w:val="nil"/>
              <w:left w:val="nil"/>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5F8FAE0B" w14:textId="68B078B0" w:rsidR="000A3A89" w:rsidRPr="00117750" w:rsidRDefault="000A3A89" w:rsidP="003F494F">
            <w:pPr>
              <w:spacing w:before="240" w:line="360" w:lineRule="auto"/>
              <w:jc w:val="both"/>
              <w:rPr>
                <w:rFonts w:eastAsia="Arial" w:cstheme="minorHAnsi"/>
                <w:sz w:val="22"/>
                <w:szCs w:val="22"/>
                <w:lang w:val="en" w:eastAsia="en-GB"/>
              </w:rPr>
            </w:pPr>
            <w:r w:rsidRPr="00117750">
              <w:rPr>
                <w:rFonts w:eastAsia="Arial" w:cstheme="minorHAnsi"/>
                <w:sz w:val="22"/>
                <w:szCs w:val="22"/>
                <w:lang w:val="en" w:eastAsia="en-GB"/>
              </w:rPr>
              <w:t xml:space="preserve">We </w:t>
            </w:r>
            <w:r w:rsidRPr="00117750">
              <w:rPr>
                <w:rFonts w:eastAsia="Arial" w:cstheme="minorHAnsi"/>
                <w:sz w:val="22"/>
                <w:szCs w:val="22"/>
                <w:u w:val="single"/>
                <w:lang w:val="en" w:eastAsia="en-GB"/>
              </w:rPr>
              <w:t>suggest</w:t>
            </w:r>
            <w:r w:rsidRPr="00117750">
              <w:rPr>
                <w:rFonts w:eastAsia="Arial" w:cstheme="minorHAnsi"/>
                <w:sz w:val="22"/>
                <w:szCs w:val="22"/>
                <w:lang w:val="en" w:eastAsia="en-GB"/>
              </w:rPr>
              <w:t xml:space="preserve"> that in children aged </w:t>
            </w:r>
            <w:r w:rsidR="00B80419">
              <w:rPr>
                <w:rFonts w:eastAsia="Arial" w:cstheme="minorHAnsi"/>
                <w:sz w:val="22"/>
                <w:szCs w:val="22"/>
                <w:lang w:val="en" w:eastAsia="en-GB"/>
              </w:rPr>
              <w:t>&gt;</w:t>
            </w:r>
            <w:r w:rsidRPr="00117750">
              <w:rPr>
                <w:rFonts w:eastAsia="Arial" w:cstheme="minorHAnsi"/>
                <w:sz w:val="22"/>
                <w:szCs w:val="22"/>
                <w:lang w:val="en" w:eastAsia="en-GB"/>
              </w:rPr>
              <w:t>5 years prednisolone may be dosed by either body surface area or weight</w:t>
            </w:r>
            <w:r>
              <w:rPr>
                <w:rFonts w:eastAsia="Arial" w:cstheme="minorHAnsi"/>
                <w:sz w:val="22"/>
                <w:szCs w:val="22"/>
                <w:lang w:val="en" w:eastAsia="en-GB"/>
              </w:rPr>
              <w:t xml:space="preserve"> with a maximum dose of 60mg per day</w:t>
            </w:r>
            <w:r w:rsidRPr="00117750">
              <w:rPr>
                <w:rFonts w:eastAsia="Arial" w:cstheme="minorHAnsi"/>
                <w:sz w:val="22"/>
                <w:szCs w:val="22"/>
                <w:lang w:val="en" w:eastAsia="en-GB"/>
              </w:rPr>
              <w:t>.</w:t>
            </w:r>
          </w:p>
        </w:tc>
        <w:tc>
          <w:tcPr>
            <w:tcW w:w="1276" w:type="dxa"/>
            <w:tcBorders>
              <w:top w:val="nil"/>
              <w:left w:val="nil"/>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2614D42F" w14:textId="77777777" w:rsidR="000A3A89" w:rsidRPr="00D20CBA" w:rsidRDefault="000A3A89" w:rsidP="003F494F">
            <w:pPr>
              <w:spacing w:before="240" w:line="360" w:lineRule="auto"/>
              <w:jc w:val="center"/>
              <w:rPr>
                <w:rFonts w:eastAsia="Arial" w:cstheme="minorHAnsi"/>
                <w:b/>
                <w:bCs/>
                <w:sz w:val="22"/>
                <w:szCs w:val="22"/>
                <w:lang w:val="en" w:eastAsia="en-GB"/>
              </w:rPr>
            </w:pPr>
            <w:r w:rsidRPr="00D20CBA">
              <w:rPr>
                <w:rFonts w:eastAsia="Arial" w:cstheme="minorHAnsi"/>
                <w:b/>
                <w:bCs/>
                <w:sz w:val="22"/>
                <w:szCs w:val="22"/>
                <w:lang w:val="en" w:eastAsia="en-GB"/>
              </w:rPr>
              <w:t>2C</w:t>
            </w:r>
          </w:p>
        </w:tc>
      </w:tr>
      <w:tr w:rsidR="000A3A89" w14:paraId="074E3AFE" w14:textId="77777777" w:rsidTr="102F4F22">
        <w:trPr>
          <w:trHeight w:val="300"/>
        </w:trPr>
        <w:tc>
          <w:tcPr>
            <w:tcW w:w="1170" w:type="dxa"/>
            <w:tcBorders>
              <w:top w:val="nil"/>
              <w:left w:val="single" w:sz="5" w:space="0" w:color="000000" w:themeColor="text1"/>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4E8CB3D1" w14:textId="5512EA34" w:rsidR="000A3A89" w:rsidRPr="00117750" w:rsidRDefault="000A3A89" w:rsidP="003F494F">
            <w:pPr>
              <w:spacing w:before="240" w:line="360" w:lineRule="auto"/>
              <w:rPr>
                <w:rFonts w:eastAsia="Arial" w:cstheme="minorHAnsi"/>
                <w:sz w:val="22"/>
                <w:szCs w:val="22"/>
                <w:lang w:val="en" w:eastAsia="en-GB"/>
              </w:rPr>
            </w:pPr>
            <w:r>
              <w:rPr>
                <w:rFonts w:eastAsia="Arial" w:cstheme="minorHAnsi"/>
                <w:sz w:val="22"/>
                <w:szCs w:val="22"/>
                <w:lang w:val="en" w:eastAsia="en-GB"/>
              </w:rPr>
              <w:t>INS 1.</w:t>
            </w:r>
            <w:r w:rsidR="00B80419">
              <w:rPr>
                <w:rFonts w:eastAsia="Arial" w:cstheme="minorHAnsi"/>
                <w:sz w:val="22"/>
                <w:szCs w:val="22"/>
                <w:lang w:val="en" w:eastAsia="en-GB"/>
              </w:rPr>
              <w:t>6</w:t>
            </w:r>
          </w:p>
        </w:tc>
        <w:tc>
          <w:tcPr>
            <w:tcW w:w="7896" w:type="dxa"/>
            <w:tcBorders>
              <w:top w:val="nil"/>
              <w:left w:val="nil"/>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06DB3C36" w14:textId="77777777" w:rsidR="000A3A89" w:rsidRPr="00117750" w:rsidRDefault="000A3A89" w:rsidP="003F494F">
            <w:pPr>
              <w:spacing w:before="240" w:line="360" w:lineRule="auto"/>
              <w:jc w:val="both"/>
              <w:rPr>
                <w:rFonts w:eastAsia="Arial" w:cstheme="minorHAnsi"/>
                <w:sz w:val="22"/>
                <w:szCs w:val="22"/>
                <w:lang w:val="en" w:eastAsia="en-GB"/>
              </w:rPr>
            </w:pPr>
            <w:r w:rsidRPr="00117750">
              <w:rPr>
                <w:rFonts w:eastAsia="Arial" w:cstheme="minorHAnsi"/>
                <w:sz w:val="22"/>
                <w:szCs w:val="22"/>
                <w:lang w:val="en" w:eastAsia="en-GB"/>
              </w:rPr>
              <w:t xml:space="preserve">We </w:t>
            </w:r>
            <w:r w:rsidRPr="00117750">
              <w:rPr>
                <w:rFonts w:eastAsia="Arial" w:cstheme="minorHAnsi"/>
                <w:sz w:val="22"/>
                <w:szCs w:val="22"/>
                <w:u w:val="single"/>
                <w:lang w:val="en" w:eastAsia="en-GB"/>
              </w:rPr>
              <w:t>suggest</w:t>
            </w:r>
            <w:r w:rsidRPr="003F494F">
              <w:rPr>
                <w:rFonts w:eastAsia="Arial" w:cstheme="minorHAnsi"/>
                <w:sz w:val="22"/>
                <w:szCs w:val="22"/>
                <w:lang w:val="en" w:eastAsia="en-GB"/>
              </w:rPr>
              <w:t xml:space="preserve"> </w:t>
            </w:r>
            <w:r w:rsidRPr="00117750">
              <w:rPr>
                <w:rFonts w:eastAsia="Arial" w:cstheme="minorHAnsi"/>
                <w:sz w:val="22"/>
                <w:szCs w:val="22"/>
                <w:lang w:val="en" w:eastAsia="en-GB"/>
              </w:rPr>
              <w:t>that prednisolone should be given as a single daily dose in the morning.</w:t>
            </w:r>
          </w:p>
        </w:tc>
        <w:tc>
          <w:tcPr>
            <w:tcW w:w="1276" w:type="dxa"/>
            <w:tcBorders>
              <w:top w:val="nil"/>
              <w:left w:val="nil"/>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23A18A95" w14:textId="77777777" w:rsidR="000A3A89" w:rsidRPr="00D20CBA" w:rsidRDefault="000A3A89" w:rsidP="003F494F">
            <w:pPr>
              <w:spacing w:before="240" w:line="360" w:lineRule="auto"/>
              <w:jc w:val="center"/>
              <w:rPr>
                <w:rFonts w:eastAsia="Arial" w:cstheme="minorHAnsi"/>
                <w:b/>
                <w:bCs/>
                <w:sz w:val="22"/>
                <w:szCs w:val="22"/>
                <w:lang w:val="en" w:eastAsia="en-GB"/>
              </w:rPr>
            </w:pPr>
            <w:r w:rsidRPr="00D20CBA">
              <w:rPr>
                <w:rFonts w:eastAsia="Arial" w:cstheme="minorHAnsi"/>
                <w:b/>
                <w:bCs/>
                <w:sz w:val="22"/>
                <w:szCs w:val="22"/>
                <w:lang w:val="en" w:eastAsia="en-GB"/>
              </w:rPr>
              <w:t>2B</w:t>
            </w:r>
          </w:p>
        </w:tc>
      </w:tr>
      <w:tr w:rsidR="000A3A89" w14:paraId="1484D0DA" w14:textId="77777777" w:rsidTr="00104C86">
        <w:trPr>
          <w:trHeight w:val="909"/>
        </w:trPr>
        <w:tc>
          <w:tcPr>
            <w:tcW w:w="1170" w:type="dxa"/>
            <w:tcBorders>
              <w:top w:val="nil"/>
              <w:left w:val="single" w:sz="5" w:space="0" w:color="000000" w:themeColor="text1"/>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5F39D2FA" w14:textId="6C4A27F8" w:rsidR="000A3A89" w:rsidRPr="00117750" w:rsidRDefault="000A3A89" w:rsidP="003F494F">
            <w:pPr>
              <w:spacing w:before="240" w:line="360" w:lineRule="auto"/>
              <w:rPr>
                <w:rFonts w:eastAsia="Arial" w:cstheme="minorHAnsi"/>
                <w:sz w:val="22"/>
                <w:szCs w:val="22"/>
                <w:lang w:val="en" w:eastAsia="en-GB"/>
              </w:rPr>
            </w:pPr>
            <w:r>
              <w:rPr>
                <w:rFonts w:eastAsia="Arial" w:cstheme="minorHAnsi"/>
                <w:sz w:val="22"/>
                <w:szCs w:val="22"/>
                <w:lang w:val="en" w:eastAsia="en-GB"/>
              </w:rPr>
              <w:t>INS 1.7</w:t>
            </w:r>
          </w:p>
        </w:tc>
        <w:tc>
          <w:tcPr>
            <w:tcW w:w="7896" w:type="dxa"/>
            <w:tcBorders>
              <w:top w:val="nil"/>
              <w:left w:val="nil"/>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485F9D35" w14:textId="21A1EE97" w:rsidR="000A3A89" w:rsidRPr="00117750" w:rsidRDefault="000A3A89" w:rsidP="003F494F">
            <w:pPr>
              <w:spacing w:before="240" w:line="360" w:lineRule="auto"/>
              <w:jc w:val="both"/>
              <w:rPr>
                <w:rFonts w:eastAsia="Arial"/>
                <w:sz w:val="22"/>
                <w:szCs w:val="22"/>
                <w:lang w:val="en-US" w:eastAsia="en-GB"/>
              </w:rPr>
            </w:pPr>
            <w:r w:rsidRPr="102F4F22">
              <w:rPr>
                <w:rFonts w:eastAsia="Arial"/>
                <w:sz w:val="22"/>
                <w:szCs w:val="22"/>
                <w:lang w:val="en-US" w:eastAsia="en-GB"/>
              </w:rPr>
              <w:t xml:space="preserve">We </w:t>
            </w:r>
            <w:r w:rsidRPr="102F4F22">
              <w:rPr>
                <w:rFonts w:eastAsia="Arial"/>
                <w:sz w:val="22"/>
                <w:szCs w:val="22"/>
                <w:u w:val="single"/>
                <w:lang w:val="en-US" w:eastAsia="en-GB"/>
              </w:rPr>
              <w:t>recommend</w:t>
            </w:r>
            <w:r w:rsidRPr="003F494F">
              <w:rPr>
                <w:rFonts w:eastAsia="Arial"/>
                <w:sz w:val="22"/>
                <w:szCs w:val="22"/>
                <w:lang w:val="en-US" w:eastAsia="en-GB"/>
              </w:rPr>
              <w:t xml:space="preserve"> </w:t>
            </w:r>
            <w:r w:rsidRPr="102F4F22">
              <w:rPr>
                <w:rFonts w:eastAsia="Arial"/>
                <w:sz w:val="22"/>
                <w:szCs w:val="22"/>
                <w:lang w:val="en-US" w:eastAsia="en-GB"/>
              </w:rPr>
              <w:t>that children who have not entered remission after 4 weeks of prednisolone 60 mg/m</w:t>
            </w:r>
            <w:r w:rsidRPr="102F4F22">
              <w:rPr>
                <w:rFonts w:eastAsia="Arial"/>
                <w:sz w:val="22"/>
                <w:szCs w:val="22"/>
                <w:vertAlign w:val="superscript"/>
                <w:lang w:val="en-US" w:eastAsia="en-GB"/>
              </w:rPr>
              <w:t>2</w:t>
            </w:r>
            <w:r w:rsidR="00B80419">
              <w:rPr>
                <w:rFonts w:eastAsia="Arial"/>
                <w:sz w:val="22"/>
                <w:szCs w:val="22"/>
                <w:lang w:val="en-US" w:eastAsia="en-GB"/>
              </w:rPr>
              <w:t xml:space="preserve">per </w:t>
            </w:r>
            <w:r w:rsidRPr="102F4F22">
              <w:rPr>
                <w:rFonts w:eastAsia="Arial"/>
                <w:sz w:val="22"/>
                <w:szCs w:val="22"/>
                <w:lang w:val="en-US" w:eastAsia="en-GB"/>
              </w:rPr>
              <w:t xml:space="preserve">day are discussed with a </w:t>
            </w:r>
            <w:proofErr w:type="spellStart"/>
            <w:r w:rsidRPr="102F4F22">
              <w:rPr>
                <w:rFonts w:eastAsia="Arial"/>
                <w:sz w:val="22"/>
                <w:szCs w:val="22"/>
                <w:lang w:val="en-US" w:eastAsia="en-GB"/>
              </w:rPr>
              <w:t>paediatric</w:t>
            </w:r>
            <w:proofErr w:type="spellEnd"/>
            <w:r w:rsidRPr="102F4F22">
              <w:rPr>
                <w:rFonts w:eastAsia="Arial"/>
                <w:sz w:val="22"/>
                <w:szCs w:val="22"/>
                <w:lang w:val="en-US" w:eastAsia="en-GB"/>
              </w:rPr>
              <w:t xml:space="preserve"> nephrologist as</w:t>
            </w:r>
            <w:r>
              <w:rPr>
                <w:rFonts w:eastAsia="Arial"/>
                <w:sz w:val="22"/>
                <w:szCs w:val="22"/>
                <w:lang w:val="en-US" w:eastAsia="en-GB"/>
              </w:rPr>
              <w:t xml:space="preserve"> they may</w:t>
            </w:r>
            <w:r w:rsidRPr="102F4F22">
              <w:rPr>
                <w:rFonts w:eastAsia="Arial"/>
                <w:sz w:val="22"/>
                <w:szCs w:val="22"/>
                <w:lang w:val="en-US" w:eastAsia="en-GB"/>
              </w:rPr>
              <w:t xml:space="preserve"> require 3 </w:t>
            </w:r>
            <w:r>
              <w:rPr>
                <w:rFonts w:eastAsia="Arial"/>
                <w:sz w:val="22"/>
                <w:szCs w:val="22"/>
                <w:lang w:val="en-US" w:eastAsia="en-GB"/>
              </w:rPr>
              <w:t xml:space="preserve">consecutive </w:t>
            </w:r>
            <w:r w:rsidRPr="102F4F22">
              <w:rPr>
                <w:rFonts w:eastAsia="Arial"/>
                <w:sz w:val="22"/>
                <w:szCs w:val="22"/>
                <w:lang w:val="en-US" w:eastAsia="en-GB"/>
              </w:rPr>
              <w:t xml:space="preserve">daily doses of </w:t>
            </w:r>
            <w:r>
              <w:rPr>
                <w:rFonts w:eastAsia="Arial"/>
                <w:sz w:val="22"/>
                <w:szCs w:val="22"/>
                <w:lang w:val="en-US" w:eastAsia="en-GB"/>
              </w:rPr>
              <w:t>high dose i</w:t>
            </w:r>
            <w:r w:rsidRPr="102F4F22">
              <w:rPr>
                <w:rFonts w:eastAsia="Arial"/>
                <w:sz w:val="22"/>
                <w:szCs w:val="22"/>
                <w:lang w:val="en-US" w:eastAsia="en-GB"/>
              </w:rPr>
              <w:t xml:space="preserve">ntravenous </w:t>
            </w:r>
            <w:proofErr w:type="gramStart"/>
            <w:r w:rsidRPr="102F4F22">
              <w:rPr>
                <w:rFonts w:eastAsia="Arial"/>
                <w:sz w:val="22"/>
                <w:szCs w:val="22"/>
                <w:lang w:val="en-US" w:eastAsia="en-GB"/>
              </w:rPr>
              <w:t>methylprednisolone</w:t>
            </w:r>
            <w:proofErr w:type="gramEnd"/>
            <w:r w:rsidRPr="102F4F22">
              <w:rPr>
                <w:rFonts w:eastAsia="Arial"/>
                <w:sz w:val="22"/>
                <w:szCs w:val="22"/>
                <w:lang w:val="en-US" w:eastAsia="en-GB"/>
              </w:rPr>
              <w:t xml:space="preserve"> (500 mg/m</w:t>
            </w:r>
            <w:r w:rsidRPr="102F4F22">
              <w:rPr>
                <w:rFonts w:eastAsia="Arial"/>
                <w:sz w:val="22"/>
                <w:szCs w:val="22"/>
                <w:vertAlign w:val="superscript"/>
                <w:lang w:val="en-US" w:eastAsia="en-GB"/>
              </w:rPr>
              <w:t>2</w:t>
            </w:r>
            <w:r w:rsidRPr="102F4F22">
              <w:rPr>
                <w:rFonts w:eastAsia="Arial"/>
                <w:sz w:val="22"/>
                <w:szCs w:val="22"/>
                <w:lang w:val="en-US" w:eastAsia="en-GB"/>
              </w:rPr>
              <w:t xml:space="preserve">, maximum dose 500 mg) to test steroid-responsiveness and may need </w:t>
            </w:r>
            <w:proofErr w:type="gramStart"/>
            <w:r w:rsidRPr="102F4F22">
              <w:rPr>
                <w:rFonts w:eastAsia="Arial"/>
                <w:sz w:val="22"/>
                <w:szCs w:val="22"/>
                <w:lang w:val="en-US" w:eastAsia="en-GB"/>
              </w:rPr>
              <w:t>a kidney</w:t>
            </w:r>
            <w:proofErr w:type="gramEnd"/>
            <w:r w:rsidRPr="102F4F22">
              <w:rPr>
                <w:rFonts w:eastAsia="Arial"/>
                <w:sz w:val="22"/>
                <w:szCs w:val="22"/>
                <w:lang w:val="en-US" w:eastAsia="en-GB"/>
              </w:rPr>
              <w:t xml:space="preserve"> </w:t>
            </w:r>
            <w:proofErr w:type="gramStart"/>
            <w:r w:rsidRPr="102F4F22">
              <w:rPr>
                <w:rFonts w:eastAsia="Arial"/>
                <w:sz w:val="22"/>
                <w:szCs w:val="22"/>
                <w:lang w:val="en-US" w:eastAsia="en-GB"/>
              </w:rPr>
              <w:t>biopsy .</w:t>
            </w:r>
            <w:proofErr w:type="gramEnd"/>
          </w:p>
        </w:tc>
        <w:tc>
          <w:tcPr>
            <w:tcW w:w="1276" w:type="dxa"/>
            <w:tcBorders>
              <w:top w:val="nil"/>
              <w:left w:val="nil"/>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171ED2AC" w14:textId="77777777" w:rsidR="000A3A89" w:rsidRPr="00D20CBA" w:rsidRDefault="000A3A89" w:rsidP="003F494F">
            <w:pPr>
              <w:spacing w:before="240" w:line="360" w:lineRule="auto"/>
              <w:jc w:val="center"/>
              <w:rPr>
                <w:rFonts w:eastAsia="Arial" w:cstheme="minorHAnsi"/>
                <w:b/>
                <w:bCs/>
                <w:sz w:val="22"/>
                <w:szCs w:val="22"/>
                <w:lang w:val="en" w:eastAsia="en-GB"/>
              </w:rPr>
            </w:pPr>
            <w:r w:rsidRPr="00D20CBA">
              <w:rPr>
                <w:rFonts w:eastAsia="Arial" w:cstheme="minorHAnsi"/>
                <w:b/>
                <w:bCs/>
                <w:sz w:val="22"/>
                <w:szCs w:val="22"/>
                <w:lang w:val="en" w:eastAsia="en-GB"/>
              </w:rPr>
              <w:t>1C</w:t>
            </w:r>
          </w:p>
        </w:tc>
      </w:tr>
      <w:tr w:rsidR="000A3A89" w14:paraId="4960F800" w14:textId="77777777" w:rsidTr="102F4F22">
        <w:trPr>
          <w:trHeight w:val="1260"/>
        </w:trPr>
        <w:tc>
          <w:tcPr>
            <w:tcW w:w="1170" w:type="dxa"/>
            <w:tcBorders>
              <w:top w:val="nil"/>
              <w:left w:val="single" w:sz="5" w:space="0" w:color="000000" w:themeColor="text1"/>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464CEFCB" w14:textId="6C3DFCDD" w:rsidR="000A3A89" w:rsidRPr="00117750" w:rsidRDefault="000A3A89" w:rsidP="003F494F">
            <w:pPr>
              <w:spacing w:before="240" w:line="360" w:lineRule="auto"/>
              <w:rPr>
                <w:rFonts w:eastAsia="Arial" w:cstheme="minorHAnsi"/>
                <w:sz w:val="22"/>
                <w:szCs w:val="22"/>
                <w:lang w:val="en" w:eastAsia="en-GB"/>
              </w:rPr>
            </w:pPr>
            <w:r>
              <w:rPr>
                <w:rFonts w:eastAsia="Arial" w:cstheme="minorHAnsi"/>
                <w:sz w:val="22"/>
                <w:szCs w:val="22"/>
                <w:lang w:val="en" w:eastAsia="en-GB"/>
              </w:rPr>
              <w:t>INS 1.8</w:t>
            </w:r>
          </w:p>
        </w:tc>
        <w:tc>
          <w:tcPr>
            <w:tcW w:w="7896" w:type="dxa"/>
            <w:tcBorders>
              <w:top w:val="nil"/>
              <w:left w:val="nil"/>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10982C38" w14:textId="77777777" w:rsidR="000A3A89" w:rsidRPr="00117750" w:rsidRDefault="000A3A89" w:rsidP="003F494F">
            <w:pPr>
              <w:spacing w:before="240" w:line="360" w:lineRule="auto"/>
              <w:jc w:val="both"/>
              <w:rPr>
                <w:rFonts w:eastAsia="Arial" w:cstheme="minorHAnsi"/>
                <w:sz w:val="22"/>
                <w:szCs w:val="22"/>
                <w:lang w:val="en" w:eastAsia="en-GB"/>
              </w:rPr>
            </w:pPr>
            <w:r w:rsidRPr="00117750">
              <w:rPr>
                <w:rFonts w:eastAsia="Arial" w:cstheme="minorHAnsi"/>
                <w:sz w:val="22"/>
                <w:szCs w:val="22"/>
                <w:lang w:val="en" w:eastAsia="en-GB"/>
              </w:rPr>
              <w:t xml:space="preserve">We </w:t>
            </w:r>
            <w:r w:rsidRPr="00117750">
              <w:rPr>
                <w:rFonts w:eastAsia="Arial" w:cstheme="minorHAnsi"/>
                <w:sz w:val="22"/>
                <w:szCs w:val="22"/>
                <w:u w:val="single"/>
                <w:lang w:val="en" w:eastAsia="en-GB"/>
              </w:rPr>
              <w:t>recommend</w:t>
            </w:r>
            <w:r w:rsidRPr="00117750">
              <w:rPr>
                <w:rFonts w:eastAsia="Arial" w:cstheme="minorHAnsi"/>
                <w:sz w:val="22"/>
                <w:szCs w:val="22"/>
                <w:lang w:val="en" w:eastAsia="en-GB"/>
              </w:rPr>
              <w:t xml:space="preserve"> that children who enter remission within 4 weeks of commencement of prednisolone at 60 mg/m</w:t>
            </w:r>
            <w:r w:rsidRPr="00117750">
              <w:rPr>
                <w:rFonts w:eastAsia="Arial" w:cstheme="minorHAnsi"/>
                <w:sz w:val="22"/>
                <w:szCs w:val="22"/>
                <w:vertAlign w:val="superscript"/>
                <w:lang w:val="en" w:eastAsia="en-GB"/>
              </w:rPr>
              <w:t>2</w:t>
            </w:r>
            <w:r w:rsidRPr="00117750">
              <w:rPr>
                <w:rFonts w:eastAsia="Arial" w:cstheme="minorHAnsi"/>
                <w:sz w:val="22"/>
                <w:szCs w:val="22"/>
                <w:lang w:val="en" w:eastAsia="en-GB"/>
              </w:rPr>
              <w:t xml:space="preserve"> per day, continue to receive prednisolone at that dose for a total of 4 weeks, then reduce the dose to 40 mg/m</w:t>
            </w:r>
            <w:r w:rsidRPr="00117750">
              <w:rPr>
                <w:rFonts w:eastAsia="Arial" w:cstheme="minorHAnsi"/>
                <w:sz w:val="22"/>
                <w:szCs w:val="22"/>
                <w:vertAlign w:val="superscript"/>
                <w:lang w:val="en" w:eastAsia="en-GB"/>
              </w:rPr>
              <w:t>2</w:t>
            </w:r>
            <w:r w:rsidRPr="00117750">
              <w:rPr>
                <w:rFonts w:eastAsia="Arial" w:cstheme="minorHAnsi"/>
                <w:sz w:val="22"/>
                <w:szCs w:val="22"/>
                <w:lang w:val="en" w:eastAsia="en-GB"/>
              </w:rPr>
              <w:t xml:space="preserve"> (maximum dose 40 mg) given on alternate days for a further 4 weeks, then stop.</w:t>
            </w:r>
          </w:p>
        </w:tc>
        <w:tc>
          <w:tcPr>
            <w:tcW w:w="1276" w:type="dxa"/>
            <w:tcBorders>
              <w:top w:val="nil"/>
              <w:left w:val="nil"/>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38E52248" w14:textId="77777777" w:rsidR="000A3A89" w:rsidRPr="00D20CBA" w:rsidRDefault="000A3A89" w:rsidP="003F494F">
            <w:pPr>
              <w:spacing w:before="240" w:line="360" w:lineRule="auto"/>
              <w:jc w:val="center"/>
              <w:rPr>
                <w:rFonts w:eastAsia="Arial" w:cstheme="minorHAnsi"/>
                <w:b/>
                <w:bCs/>
                <w:sz w:val="22"/>
                <w:szCs w:val="22"/>
                <w:lang w:val="en" w:eastAsia="en-GB"/>
              </w:rPr>
            </w:pPr>
            <w:r w:rsidRPr="00D20CBA">
              <w:rPr>
                <w:rFonts w:eastAsia="Arial" w:cstheme="minorHAnsi"/>
                <w:b/>
                <w:bCs/>
                <w:sz w:val="22"/>
                <w:szCs w:val="22"/>
                <w:lang w:val="en" w:eastAsia="en-GB"/>
              </w:rPr>
              <w:t>1A</w:t>
            </w:r>
          </w:p>
        </w:tc>
      </w:tr>
      <w:tr w:rsidR="000A3A89" w14:paraId="6A1F7229" w14:textId="77777777" w:rsidTr="102F4F22">
        <w:trPr>
          <w:trHeight w:val="1260"/>
        </w:trPr>
        <w:tc>
          <w:tcPr>
            <w:tcW w:w="1170" w:type="dxa"/>
            <w:tcBorders>
              <w:top w:val="nil"/>
              <w:left w:val="single" w:sz="5" w:space="0" w:color="000000" w:themeColor="text1"/>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4A60A539" w14:textId="3BDD7A98" w:rsidR="000A3A89" w:rsidRPr="00117750" w:rsidRDefault="000A3A89" w:rsidP="003F494F">
            <w:pPr>
              <w:spacing w:before="240" w:line="360" w:lineRule="auto"/>
              <w:rPr>
                <w:rFonts w:eastAsia="Arial" w:cstheme="minorHAnsi"/>
                <w:sz w:val="22"/>
                <w:szCs w:val="22"/>
                <w:lang w:val="en" w:eastAsia="en-GB"/>
              </w:rPr>
            </w:pPr>
            <w:r>
              <w:rPr>
                <w:rFonts w:eastAsia="Arial" w:cstheme="minorHAnsi"/>
                <w:sz w:val="22"/>
                <w:szCs w:val="22"/>
                <w:lang w:val="en" w:eastAsia="en-GB"/>
              </w:rPr>
              <w:t>INS 1.9</w:t>
            </w:r>
          </w:p>
        </w:tc>
        <w:tc>
          <w:tcPr>
            <w:tcW w:w="7896" w:type="dxa"/>
            <w:tcBorders>
              <w:top w:val="nil"/>
              <w:left w:val="nil"/>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78AF4A61" w14:textId="2D01FEE6" w:rsidR="000A3A89" w:rsidRPr="00117750" w:rsidRDefault="000A3A89" w:rsidP="003F494F">
            <w:pPr>
              <w:spacing w:before="240" w:line="360" w:lineRule="auto"/>
              <w:jc w:val="both"/>
              <w:rPr>
                <w:rFonts w:eastAsia="Arial" w:cstheme="minorHAnsi"/>
                <w:sz w:val="22"/>
                <w:szCs w:val="22"/>
                <w:lang w:val="en" w:eastAsia="en-GB"/>
              </w:rPr>
            </w:pPr>
            <w:r w:rsidRPr="00117750">
              <w:rPr>
                <w:rFonts w:eastAsia="Arial" w:cstheme="minorHAnsi"/>
                <w:sz w:val="22"/>
                <w:szCs w:val="22"/>
                <w:lang w:val="en" w:eastAsia="en-GB"/>
              </w:rPr>
              <w:t xml:space="preserve">We </w:t>
            </w:r>
            <w:r w:rsidRPr="00117750">
              <w:rPr>
                <w:rFonts w:eastAsia="Arial" w:cstheme="minorHAnsi"/>
                <w:sz w:val="22"/>
                <w:szCs w:val="22"/>
                <w:u w:val="single"/>
                <w:lang w:val="en" w:eastAsia="en-GB"/>
              </w:rPr>
              <w:t>suggest</w:t>
            </w:r>
            <w:r w:rsidRPr="00117750">
              <w:rPr>
                <w:rFonts w:eastAsia="Arial" w:cstheme="minorHAnsi"/>
                <w:sz w:val="22"/>
                <w:szCs w:val="22"/>
                <w:lang w:val="en" w:eastAsia="en-GB"/>
              </w:rPr>
              <w:t xml:space="preserve"> that children who are late responders (i.e. only enter remission within </w:t>
            </w:r>
            <w:r>
              <w:rPr>
                <w:rFonts w:eastAsia="Arial" w:cstheme="minorHAnsi"/>
                <w:sz w:val="22"/>
                <w:szCs w:val="22"/>
                <w:lang w:val="en" w:eastAsia="en-GB"/>
              </w:rPr>
              <w:t>6 weeks</w:t>
            </w:r>
            <w:r w:rsidRPr="00117750">
              <w:rPr>
                <w:rFonts w:eastAsia="Arial" w:cstheme="minorHAnsi"/>
                <w:sz w:val="22"/>
                <w:szCs w:val="22"/>
                <w:lang w:val="en" w:eastAsia="en-GB"/>
              </w:rPr>
              <w:t xml:space="preserve"> of presentation</w:t>
            </w:r>
            <w:r>
              <w:rPr>
                <w:rFonts w:eastAsia="Arial" w:cstheme="minorHAnsi"/>
                <w:sz w:val="22"/>
                <w:szCs w:val="22"/>
                <w:lang w:val="en" w:eastAsia="en-GB"/>
              </w:rPr>
              <w:t>)</w:t>
            </w:r>
            <w:r w:rsidRPr="00117750">
              <w:rPr>
                <w:rFonts w:eastAsia="Arial" w:cstheme="minorHAnsi"/>
                <w:sz w:val="22"/>
                <w:szCs w:val="22"/>
                <w:lang w:val="en" w:eastAsia="en-GB"/>
              </w:rPr>
              <w:t xml:space="preserve"> receive a more prolonged taper of prednisolone over at least 8 weeks and commence tacrolimus as a steroid-sparing agent.</w:t>
            </w:r>
          </w:p>
        </w:tc>
        <w:tc>
          <w:tcPr>
            <w:tcW w:w="1276" w:type="dxa"/>
            <w:tcBorders>
              <w:top w:val="nil"/>
              <w:left w:val="nil"/>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77C560CC" w14:textId="30784D0B" w:rsidR="000A3A89" w:rsidRPr="00D20CBA" w:rsidRDefault="000A3A89" w:rsidP="003F494F">
            <w:pPr>
              <w:spacing w:before="240" w:line="360" w:lineRule="auto"/>
              <w:jc w:val="center"/>
              <w:rPr>
                <w:rFonts w:eastAsia="Arial" w:cstheme="minorHAnsi"/>
                <w:b/>
                <w:bCs/>
                <w:sz w:val="22"/>
                <w:szCs w:val="22"/>
                <w:lang w:val="en" w:eastAsia="en-GB"/>
              </w:rPr>
            </w:pPr>
            <w:r w:rsidRPr="00D20CBA">
              <w:rPr>
                <w:rFonts w:eastAsia="Arial" w:cstheme="minorHAnsi"/>
                <w:b/>
                <w:bCs/>
                <w:sz w:val="22"/>
                <w:szCs w:val="22"/>
                <w:lang w:val="en" w:eastAsia="en-GB"/>
              </w:rPr>
              <w:t>2D</w:t>
            </w:r>
          </w:p>
        </w:tc>
      </w:tr>
      <w:tr w:rsidR="000A3A89" w14:paraId="12AB382B" w14:textId="77777777" w:rsidTr="102F4F22">
        <w:trPr>
          <w:trHeight w:val="832"/>
        </w:trPr>
        <w:tc>
          <w:tcPr>
            <w:tcW w:w="1170" w:type="dxa"/>
            <w:tcBorders>
              <w:top w:val="nil"/>
              <w:left w:val="single" w:sz="5" w:space="0" w:color="000000" w:themeColor="text1"/>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4F32A3E1" w14:textId="47663DED" w:rsidR="000A3A89" w:rsidRPr="00117750" w:rsidRDefault="000A3A89" w:rsidP="003F494F">
            <w:pPr>
              <w:spacing w:before="240" w:line="360" w:lineRule="auto"/>
              <w:rPr>
                <w:rFonts w:eastAsia="Arial" w:cstheme="minorHAnsi"/>
                <w:sz w:val="22"/>
                <w:szCs w:val="22"/>
                <w:lang w:val="en" w:eastAsia="en-GB"/>
              </w:rPr>
            </w:pPr>
            <w:r>
              <w:rPr>
                <w:rFonts w:eastAsia="Arial" w:cstheme="minorHAnsi"/>
                <w:sz w:val="22"/>
                <w:szCs w:val="22"/>
                <w:lang w:val="en" w:eastAsia="en-GB"/>
              </w:rPr>
              <w:lastRenderedPageBreak/>
              <w:t>INS 1.10</w:t>
            </w:r>
          </w:p>
        </w:tc>
        <w:tc>
          <w:tcPr>
            <w:tcW w:w="7896" w:type="dxa"/>
            <w:tcBorders>
              <w:top w:val="nil"/>
              <w:left w:val="nil"/>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64C5BE3C" w14:textId="51D915D4" w:rsidR="000A3A89" w:rsidRPr="00117750" w:rsidRDefault="000A3A89" w:rsidP="003F494F">
            <w:pPr>
              <w:spacing w:before="240" w:line="360" w:lineRule="auto"/>
              <w:jc w:val="both"/>
              <w:rPr>
                <w:rFonts w:eastAsia="Arial"/>
                <w:sz w:val="22"/>
                <w:szCs w:val="22"/>
                <w:lang w:val="en-US" w:eastAsia="en-GB"/>
              </w:rPr>
            </w:pPr>
            <w:r w:rsidRPr="102F4F22">
              <w:rPr>
                <w:rFonts w:eastAsia="Arial"/>
                <w:sz w:val="22"/>
                <w:szCs w:val="22"/>
                <w:u w:val="single"/>
                <w:lang w:val="en-US" w:eastAsia="en-GB"/>
              </w:rPr>
              <w:t>We suggest</w:t>
            </w:r>
            <w:r w:rsidRPr="102F4F22">
              <w:rPr>
                <w:rFonts w:eastAsia="Arial"/>
                <w:sz w:val="22"/>
                <w:szCs w:val="22"/>
                <w:lang w:val="en-US" w:eastAsia="en-GB"/>
              </w:rPr>
              <w:t xml:space="preserve"> </w:t>
            </w:r>
            <w:r>
              <w:rPr>
                <w:rFonts w:eastAsia="Arial"/>
                <w:sz w:val="22"/>
                <w:szCs w:val="22"/>
                <w:lang w:val="en-US" w:eastAsia="en-GB"/>
              </w:rPr>
              <w:t xml:space="preserve">consideration of a kidney biopsy and/or genetic testing in </w:t>
            </w:r>
            <w:r w:rsidRPr="102F4F22">
              <w:rPr>
                <w:rFonts w:eastAsia="Arial"/>
                <w:sz w:val="22"/>
                <w:szCs w:val="22"/>
                <w:lang w:val="en-US" w:eastAsia="en-GB"/>
              </w:rPr>
              <w:t xml:space="preserve">children who are late </w:t>
            </w:r>
            <w:r>
              <w:rPr>
                <w:rFonts w:eastAsia="Arial"/>
                <w:sz w:val="22"/>
                <w:szCs w:val="22"/>
                <w:lang w:val="en-US" w:eastAsia="en-GB"/>
              </w:rPr>
              <w:t xml:space="preserve">or partial </w:t>
            </w:r>
            <w:r w:rsidRPr="102F4F22">
              <w:rPr>
                <w:rFonts w:eastAsia="Arial"/>
                <w:sz w:val="22"/>
                <w:szCs w:val="22"/>
                <w:lang w:val="en-US" w:eastAsia="en-GB"/>
              </w:rPr>
              <w:t>responders.</w:t>
            </w:r>
          </w:p>
        </w:tc>
        <w:tc>
          <w:tcPr>
            <w:tcW w:w="1276" w:type="dxa"/>
            <w:tcBorders>
              <w:top w:val="nil"/>
              <w:left w:val="nil"/>
              <w:bottom w:val="single" w:sz="5" w:space="0" w:color="000000" w:themeColor="text1"/>
              <w:right w:val="single" w:sz="5" w:space="0" w:color="000000" w:themeColor="text1"/>
            </w:tcBorders>
            <w:shd w:val="clear" w:color="auto" w:fill="auto"/>
            <w:tcMar>
              <w:top w:w="0" w:type="dxa"/>
              <w:left w:w="100" w:type="dxa"/>
              <w:bottom w:w="0" w:type="dxa"/>
              <w:right w:w="100" w:type="dxa"/>
            </w:tcMar>
          </w:tcPr>
          <w:p w14:paraId="111FF94A" w14:textId="0C60A997" w:rsidR="000A3A89" w:rsidRPr="00D20CBA" w:rsidRDefault="000A3A89" w:rsidP="003F494F">
            <w:pPr>
              <w:spacing w:before="240" w:line="360" w:lineRule="auto"/>
              <w:jc w:val="center"/>
              <w:rPr>
                <w:rFonts w:eastAsia="Arial" w:cstheme="minorHAnsi"/>
                <w:b/>
                <w:bCs/>
                <w:sz w:val="22"/>
                <w:szCs w:val="22"/>
                <w:lang w:val="en" w:eastAsia="en-GB"/>
              </w:rPr>
            </w:pPr>
            <w:r w:rsidRPr="00D20CBA">
              <w:rPr>
                <w:rFonts w:eastAsia="Arial" w:cstheme="minorHAnsi"/>
                <w:b/>
                <w:bCs/>
                <w:sz w:val="22"/>
                <w:szCs w:val="22"/>
                <w:lang w:val="en" w:eastAsia="en-GB"/>
              </w:rPr>
              <w:t>2D</w:t>
            </w:r>
          </w:p>
        </w:tc>
      </w:tr>
    </w:tbl>
    <w:p w14:paraId="490B7590" w14:textId="77777777" w:rsidR="001D1F02" w:rsidRPr="00117750" w:rsidRDefault="001630D4" w:rsidP="003F494F">
      <w:pPr>
        <w:pStyle w:val="Heading3"/>
        <w:spacing w:line="360" w:lineRule="auto"/>
        <w:rPr>
          <w:rFonts w:asciiTheme="minorHAnsi" w:eastAsia="Arial" w:hAnsiTheme="minorHAnsi" w:cstheme="minorHAnsi"/>
          <w:sz w:val="22"/>
          <w:szCs w:val="22"/>
          <w:lang w:val="en" w:eastAsia="en-GB"/>
        </w:rPr>
      </w:pPr>
      <w:r w:rsidRPr="00117750">
        <w:rPr>
          <w:rFonts w:asciiTheme="minorHAnsi" w:eastAsia="Arial" w:hAnsiTheme="minorHAnsi" w:cstheme="minorHAnsi"/>
          <w:sz w:val="22"/>
          <w:szCs w:val="22"/>
          <w:lang w:val="en" w:eastAsia="en-GB"/>
        </w:rPr>
        <w:t xml:space="preserve"> </w:t>
      </w:r>
      <w:bookmarkStart w:id="14" w:name="_tryd4s6vrxah" w:colFirst="0" w:colLast="0"/>
      <w:bookmarkEnd w:id="14"/>
    </w:p>
    <w:p w14:paraId="57A9F9CA" w14:textId="77777777" w:rsidR="001D1F02" w:rsidRPr="00EE5437" w:rsidRDefault="001630D4" w:rsidP="003F494F">
      <w:pPr>
        <w:spacing w:line="360" w:lineRule="auto"/>
        <w:rPr>
          <w:b/>
          <w:bCs/>
          <w:sz w:val="22"/>
          <w:szCs w:val="22"/>
          <w:lang w:val="en" w:eastAsia="en-GB"/>
        </w:rPr>
      </w:pPr>
      <w:r w:rsidRPr="00EE5437">
        <w:rPr>
          <w:b/>
          <w:bCs/>
          <w:sz w:val="22"/>
          <w:szCs w:val="22"/>
          <w:lang w:val="en" w:eastAsia="en-GB"/>
        </w:rPr>
        <w:t>Rationale</w:t>
      </w:r>
    </w:p>
    <w:p w14:paraId="0A7B9257" w14:textId="323784AF" w:rsidR="00D20CBA" w:rsidRPr="00117750" w:rsidRDefault="001630D4" w:rsidP="003F494F">
      <w:pPr>
        <w:spacing w:before="240" w:after="240" w:line="360" w:lineRule="auto"/>
        <w:jc w:val="both"/>
        <w:rPr>
          <w:rFonts w:eastAsia="Arial" w:cstheme="minorHAnsi"/>
          <w:sz w:val="22"/>
          <w:szCs w:val="22"/>
          <w:lang w:val="en" w:eastAsia="en-GB"/>
        </w:rPr>
      </w:pPr>
      <w:r>
        <w:rPr>
          <w:rFonts w:eastAsia="Arial" w:cstheme="minorHAnsi"/>
          <w:sz w:val="22"/>
          <w:szCs w:val="22"/>
          <w:lang w:val="en" w:eastAsia="en-GB"/>
        </w:rPr>
        <w:t xml:space="preserve">INS responding to </w:t>
      </w:r>
      <w:r w:rsidR="00B12265">
        <w:rPr>
          <w:rFonts w:eastAsia="Arial" w:cstheme="minorHAnsi"/>
          <w:sz w:val="22"/>
          <w:szCs w:val="22"/>
          <w:lang w:val="en" w:eastAsia="en-GB"/>
        </w:rPr>
        <w:t>cortico</w:t>
      </w:r>
      <w:r>
        <w:rPr>
          <w:rFonts w:eastAsia="Arial" w:cstheme="minorHAnsi"/>
          <w:sz w:val="22"/>
          <w:szCs w:val="22"/>
          <w:lang w:val="en" w:eastAsia="en-GB"/>
        </w:rPr>
        <w:t>steroids is referred to as s</w:t>
      </w:r>
      <w:r w:rsidRPr="00117750">
        <w:rPr>
          <w:rFonts w:eastAsia="Arial" w:cstheme="minorHAnsi"/>
          <w:sz w:val="22"/>
          <w:szCs w:val="22"/>
          <w:lang w:val="en" w:eastAsia="en-GB"/>
        </w:rPr>
        <w:t>teroid sensitive nephrotic syndrome (SSNS)</w:t>
      </w:r>
      <w:r>
        <w:rPr>
          <w:rFonts w:eastAsia="Arial" w:cstheme="minorHAnsi"/>
          <w:sz w:val="22"/>
          <w:szCs w:val="22"/>
          <w:lang w:val="en" w:eastAsia="en-GB"/>
        </w:rPr>
        <w:t>. It</w:t>
      </w:r>
      <w:r w:rsidRPr="00117750">
        <w:rPr>
          <w:rFonts w:eastAsia="Arial" w:cstheme="minorHAnsi"/>
          <w:sz w:val="22"/>
          <w:szCs w:val="22"/>
          <w:lang w:val="en" w:eastAsia="en-GB"/>
        </w:rPr>
        <w:t xml:space="preserve"> is a relapsing disease in more than 80% of children, </w:t>
      </w:r>
      <w:r>
        <w:rPr>
          <w:rFonts w:eastAsia="Arial" w:cstheme="minorHAnsi"/>
          <w:sz w:val="22"/>
          <w:szCs w:val="22"/>
          <w:lang w:val="en" w:eastAsia="en-GB"/>
        </w:rPr>
        <w:t xml:space="preserve">with </w:t>
      </w:r>
      <w:r w:rsidRPr="00117750">
        <w:rPr>
          <w:rFonts w:eastAsia="Arial" w:cstheme="minorHAnsi"/>
          <w:sz w:val="22"/>
          <w:szCs w:val="22"/>
          <w:lang w:val="en" w:eastAsia="en-GB"/>
        </w:rPr>
        <w:t xml:space="preserve">a disease course </w:t>
      </w:r>
      <w:r>
        <w:rPr>
          <w:rFonts w:eastAsia="Arial" w:cstheme="minorHAnsi"/>
          <w:sz w:val="22"/>
          <w:szCs w:val="22"/>
          <w:lang w:val="en" w:eastAsia="en-GB"/>
        </w:rPr>
        <w:t>that</w:t>
      </w:r>
      <w:r w:rsidRPr="00117750">
        <w:rPr>
          <w:rFonts w:eastAsia="Arial" w:cstheme="minorHAnsi"/>
          <w:sz w:val="22"/>
          <w:szCs w:val="22"/>
          <w:lang w:val="en" w:eastAsia="en-GB"/>
        </w:rPr>
        <w:t xml:space="preserve"> is commonly declared in the first year following </w:t>
      </w:r>
      <w:r>
        <w:rPr>
          <w:rFonts w:eastAsia="Arial" w:cstheme="minorHAnsi"/>
          <w:sz w:val="22"/>
          <w:szCs w:val="22"/>
          <w:lang w:val="en" w:eastAsia="en-GB"/>
        </w:rPr>
        <w:t xml:space="preserve">the initial </w:t>
      </w:r>
      <w:r w:rsidRPr="00117750">
        <w:rPr>
          <w:rFonts w:eastAsia="Arial" w:cstheme="minorHAnsi"/>
          <w:sz w:val="22"/>
          <w:szCs w:val="22"/>
          <w:lang w:val="en" w:eastAsia="en-GB"/>
        </w:rPr>
        <w:t xml:space="preserve">presentation. </w:t>
      </w:r>
      <w:r w:rsidR="00375CA8">
        <w:rPr>
          <w:rFonts w:eastAsia="Arial" w:cstheme="minorHAnsi"/>
          <w:sz w:val="22"/>
          <w:szCs w:val="22"/>
          <w:lang w:val="en" w:eastAsia="en-GB"/>
        </w:rPr>
        <w:t>Disease control</w:t>
      </w:r>
      <w:r w:rsidRPr="00117750">
        <w:rPr>
          <w:rFonts w:eastAsia="Arial" w:cstheme="minorHAnsi"/>
          <w:sz w:val="22"/>
          <w:szCs w:val="22"/>
          <w:lang w:val="en" w:eastAsia="en-GB"/>
        </w:rPr>
        <w:t xml:space="preserve"> cannot always be achieved without </w:t>
      </w:r>
      <w:r>
        <w:rPr>
          <w:rFonts w:eastAsia="Arial" w:cstheme="minorHAnsi"/>
          <w:sz w:val="22"/>
          <w:szCs w:val="22"/>
          <w:lang w:val="en" w:eastAsia="en-GB"/>
        </w:rPr>
        <w:t xml:space="preserve">maintenance immunosuppressive treatment when </w:t>
      </w:r>
      <w:r w:rsidRPr="00117750">
        <w:rPr>
          <w:rFonts w:eastAsia="Arial" w:cstheme="minorHAnsi"/>
          <w:sz w:val="22"/>
          <w:szCs w:val="22"/>
          <w:lang w:val="en" w:eastAsia="en-GB"/>
        </w:rPr>
        <w:t xml:space="preserve">drug toxicity </w:t>
      </w:r>
      <w:r>
        <w:rPr>
          <w:rFonts w:eastAsia="Arial" w:cstheme="minorHAnsi"/>
          <w:sz w:val="22"/>
          <w:szCs w:val="22"/>
          <w:lang w:val="en" w:eastAsia="en-GB"/>
        </w:rPr>
        <w:t xml:space="preserve">becomes a </w:t>
      </w:r>
      <w:proofErr w:type="gramStart"/>
      <w:r>
        <w:rPr>
          <w:rFonts w:eastAsia="Arial" w:cstheme="minorHAnsi"/>
          <w:sz w:val="22"/>
          <w:szCs w:val="22"/>
          <w:lang w:val="en" w:eastAsia="en-GB"/>
        </w:rPr>
        <w:t>concern</w:t>
      </w:r>
      <w:proofErr w:type="gramEnd"/>
      <w:r>
        <w:rPr>
          <w:rFonts w:eastAsia="Arial" w:cstheme="minorHAnsi"/>
          <w:sz w:val="22"/>
          <w:szCs w:val="22"/>
          <w:lang w:val="en" w:eastAsia="en-GB"/>
        </w:rPr>
        <w:t xml:space="preserve"> </w:t>
      </w:r>
      <w:r w:rsidRPr="00117750">
        <w:rPr>
          <w:rFonts w:eastAsia="Arial" w:cstheme="minorHAnsi"/>
          <w:sz w:val="22"/>
          <w:szCs w:val="22"/>
          <w:lang w:val="en" w:eastAsia="en-GB"/>
        </w:rPr>
        <w:t xml:space="preserve">and the management aim should be to use the lowest amount of therapy required to </w:t>
      </w:r>
      <w:proofErr w:type="spellStart"/>
      <w:r w:rsidRPr="00117750">
        <w:rPr>
          <w:rFonts w:eastAsia="Arial" w:cstheme="minorHAnsi"/>
          <w:sz w:val="22"/>
          <w:szCs w:val="22"/>
          <w:lang w:val="en" w:eastAsia="en-GB"/>
        </w:rPr>
        <w:t>minimise</w:t>
      </w:r>
      <w:proofErr w:type="spellEnd"/>
      <w:r w:rsidRPr="00117750">
        <w:rPr>
          <w:rFonts w:eastAsia="Arial" w:cstheme="minorHAnsi"/>
          <w:sz w:val="22"/>
          <w:szCs w:val="22"/>
          <w:lang w:val="en" w:eastAsia="en-GB"/>
        </w:rPr>
        <w:t xml:space="preserve"> both relapse rate and </w:t>
      </w:r>
      <w:r>
        <w:rPr>
          <w:rFonts w:eastAsia="Arial" w:cstheme="minorHAnsi"/>
          <w:sz w:val="22"/>
          <w:szCs w:val="22"/>
          <w:lang w:val="en" w:eastAsia="en-GB"/>
        </w:rPr>
        <w:t>side effects</w:t>
      </w:r>
      <w:r w:rsidRPr="00117750">
        <w:rPr>
          <w:rFonts w:eastAsia="Arial" w:cstheme="minorHAnsi"/>
          <w:sz w:val="22"/>
          <w:szCs w:val="22"/>
          <w:lang w:val="en" w:eastAsia="en-GB"/>
        </w:rPr>
        <w:t xml:space="preserve">.  </w:t>
      </w:r>
      <w:r>
        <w:rPr>
          <w:rFonts w:eastAsia="Arial" w:cstheme="minorHAnsi"/>
          <w:sz w:val="22"/>
          <w:szCs w:val="22"/>
          <w:lang w:val="en" w:eastAsia="en-GB"/>
        </w:rPr>
        <w:t>The recent</w:t>
      </w:r>
      <w:r w:rsidRPr="00117750">
        <w:rPr>
          <w:rFonts w:eastAsia="Arial" w:cstheme="minorHAnsi"/>
          <w:sz w:val="22"/>
          <w:szCs w:val="22"/>
          <w:lang w:val="en" w:eastAsia="en-GB"/>
        </w:rPr>
        <w:t xml:space="preserve"> IPNA definitions, including “SSNS controlled on therapy” place a numerical value on the number of acceptable relapses per year</w:t>
      </w:r>
      <w:r>
        <w:rPr>
          <w:rFonts w:eastAsia="Arial" w:cstheme="minorHAnsi"/>
          <w:sz w:val="22"/>
          <w:szCs w:val="22"/>
          <w:lang w:val="en" w:eastAsia="en-GB"/>
        </w:rPr>
        <w:t xml:space="preserve"> which have been incorporated</w:t>
      </w:r>
      <w:r w:rsidRPr="00117750">
        <w:rPr>
          <w:rFonts w:eastAsia="Arial" w:cstheme="minorHAnsi"/>
          <w:sz w:val="22"/>
          <w:szCs w:val="22"/>
          <w:lang w:val="en" w:eastAsia="en-GB"/>
        </w:rPr>
        <w:t>.</w:t>
      </w:r>
      <w:r>
        <w:rPr>
          <w:rFonts w:eastAsia="Arial" w:cstheme="minorHAnsi"/>
          <w:sz w:val="22"/>
          <w:szCs w:val="22"/>
          <w:lang w:val="en" w:eastAsia="en-GB"/>
        </w:rPr>
        <w:t xml:space="preserve"> </w:t>
      </w:r>
      <w:r w:rsidRPr="00117750">
        <w:rPr>
          <w:rFonts w:eastAsia="Arial" w:cstheme="minorHAnsi"/>
          <w:sz w:val="22"/>
          <w:szCs w:val="22"/>
          <w:lang w:val="en" w:eastAsia="en-GB"/>
        </w:rPr>
        <w:t xml:space="preserve">For disease </w:t>
      </w:r>
      <w:r>
        <w:rPr>
          <w:rFonts w:eastAsia="Arial" w:cstheme="minorHAnsi"/>
          <w:sz w:val="22"/>
          <w:szCs w:val="22"/>
          <w:lang w:val="en" w:eastAsia="en-GB"/>
        </w:rPr>
        <w:t>that</w:t>
      </w:r>
      <w:r w:rsidRPr="00117750">
        <w:rPr>
          <w:rFonts w:eastAsia="Arial" w:cstheme="minorHAnsi"/>
          <w:sz w:val="22"/>
          <w:szCs w:val="22"/>
          <w:lang w:val="en" w:eastAsia="en-GB"/>
        </w:rPr>
        <w:t xml:space="preserve"> is resistant to the initial steroid course, long-term registry studies show that the risk of end-stage kidney disease is </w:t>
      </w:r>
      <w:r>
        <w:rPr>
          <w:rFonts w:eastAsia="Arial" w:cstheme="minorHAnsi"/>
          <w:sz w:val="22"/>
          <w:szCs w:val="22"/>
          <w:lang w:val="en" w:eastAsia="en-GB"/>
        </w:rPr>
        <w:t>dependent on</w:t>
      </w:r>
      <w:r w:rsidRPr="00117750">
        <w:rPr>
          <w:rFonts w:eastAsia="Arial" w:cstheme="minorHAnsi"/>
          <w:sz w:val="22"/>
          <w:szCs w:val="22"/>
          <w:lang w:val="en" w:eastAsia="en-GB"/>
        </w:rPr>
        <w:t xml:space="preserve"> </w:t>
      </w:r>
      <w:r>
        <w:rPr>
          <w:rFonts w:eastAsia="Arial" w:cstheme="minorHAnsi"/>
          <w:sz w:val="22"/>
          <w:szCs w:val="22"/>
          <w:lang w:val="en" w:eastAsia="en-GB"/>
        </w:rPr>
        <w:t xml:space="preserve">the extent of </w:t>
      </w:r>
      <w:r w:rsidRPr="00117750">
        <w:rPr>
          <w:rFonts w:eastAsia="Arial" w:cstheme="minorHAnsi"/>
          <w:sz w:val="22"/>
          <w:szCs w:val="22"/>
          <w:lang w:val="en" w:eastAsia="en-GB"/>
        </w:rPr>
        <w:t>proteinuria, the risk being lowe</w:t>
      </w:r>
      <w:r>
        <w:rPr>
          <w:rFonts w:eastAsia="Arial" w:cstheme="minorHAnsi"/>
          <w:sz w:val="22"/>
          <w:szCs w:val="22"/>
          <w:lang w:val="en" w:eastAsia="en-GB"/>
        </w:rPr>
        <w:t>st</w:t>
      </w:r>
      <w:r w:rsidRPr="00117750">
        <w:rPr>
          <w:rFonts w:eastAsia="Arial" w:cstheme="minorHAnsi"/>
          <w:sz w:val="22"/>
          <w:szCs w:val="22"/>
          <w:lang w:val="en" w:eastAsia="en-GB"/>
        </w:rPr>
        <w:t xml:space="preserve"> when complete re</w:t>
      </w:r>
      <w:r w:rsidR="00375CA8">
        <w:rPr>
          <w:rFonts w:eastAsia="Arial" w:cstheme="minorHAnsi"/>
          <w:sz w:val="22"/>
          <w:szCs w:val="22"/>
          <w:lang w:val="en" w:eastAsia="en-GB"/>
        </w:rPr>
        <w:t>sponse</w:t>
      </w:r>
      <w:r w:rsidRPr="00117750">
        <w:rPr>
          <w:rFonts w:eastAsia="Arial" w:cstheme="minorHAnsi"/>
          <w:sz w:val="22"/>
          <w:szCs w:val="22"/>
          <w:lang w:val="en" w:eastAsia="en-GB"/>
        </w:rPr>
        <w:t xml:space="preserve"> is achieved </w:t>
      </w:r>
      <w:r>
        <w:rPr>
          <w:rFonts w:eastAsia="Arial" w:cstheme="minorHAnsi"/>
          <w:sz w:val="22"/>
          <w:szCs w:val="22"/>
          <w:lang w:val="en" w:eastAsia="en-GB"/>
        </w:rPr>
        <w:t xml:space="preserve">which continues to be the therapeutic </w:t>
      </w:r>
      <w:r w:rsidR="00375CA8">
        <w:rPr>
          <w:rFonts w:eastAsia="Arial" w:cstheme="minorHAnsi"/>
          <w:sz w:val="22"/>
          <w:szCs w:val="22"/>
          <w:lang w:val="en" w:eastAsia="en-GB"/>
        </w:rPr>
        <w:t>goal</w:t>
      </w:r>
      <w:r w:rsidR="00B611B8">
        <w:rPr>
          <w:rFonts w:eastAsia="Arial" w:cstheme="minorHAnsi"/>
          <w:sz w:val="22"/>
          <w:szCs w:val="22"/>
          <w:lang w:val="en" w:eastAsia="en-GB"/>
        </w:rPr>
        <w:t xml:space="preserve"> </w:t>
      </w:r>
      <w:r w:rsidR="00037652">
        <w:rPr>
          <w:rFonts w:eastAsia="Arial" w:cstheme="minorHAnsi"/>
          <w:sz w:val="22"/>
          <w:szCs w:val="22"/>
          <w:lang w:val="en" w:eastAsia="en-GB"/>
        </w:rPr>
        <w:fldChar w:fldCharType="begin"/>
      </w:r>
      <w:r w:rsidR="00642970">
        <w:rPr>
          <w:rFonts w:eastAsia="Arial" w:cstheme="minorHAnsi"/>
          <w:sz w:val="22"/>
          <w:szCs w:val="22"/>
          <w:lang w:val="en" w:eastAsia="en-GB"/>
        </w:rPr>
        <w:instrText xml:space="preserve"> ADDIN ZOTERO_ITEM CSL_CITATION {"citationID":"sAqnG22M","properties":{"formattedCitation":"(119)","plainCitation":"(119)","noteIndex":0},"citationItems":[{"id":289,"uris":["http://zotero.org/users/local/lvPLY4Gu/items/KEQ4BWE6"],"itemData":{"id":289,"type":"article-journal","abstract":"We investigated the value of genetic, histopathologic, and early treatment response information in prognosing long-term renal outcome in children with primary steroid-resistant nephrotic syndrome. From the PodoNet Registry, we obtained longitudinal clinical information for 1354 patients (disease onset at &gt;3 months and &lt;20 years of age): 612 had documented responsiveness to intensified immunosuppression (IIS), 1155 had kidney biopsy results, and 212 had an established genetic diagnosis. We assessed risk factors for ESRD using multivariate Cox regression models. Complete and partial remission of proteinuria within 12 months of disease onset occurred in 24.5% and 16.5% of children, respectively, with the highest remission rates achieved with calcineurin inhibitor-based protocols. Ten-year ESRD-free survival rates were 43%, 94%, and 72% in children with IIS resistance, complete remission, and partial remission, respectively; 27% in children with a genetic diagnosis; and 79% and 52% in children with histopathologic findings of minimal change glomerulopathy and FSGS, respectively. Five-year ESRD-free survival rate was 21% for diffuse mesangial sclerosis. IIS responsiveness, presence of a genetic diagnosis, and FSGS or diffuse mesangial sclerosis on initial biopsy as well as age, serum albumin concentration, and CKD stage at onset affected ESRD risk. Our findings suggest that responsiveness to initial IIS and detection of a hereditary podocytopathy are prognostic indicators of favorable and poor long-term outcome, respectively, in children with steroid-resistant nephrotic syndrome. Children with multidrug-resistant sporadic disease show better renal survival than those with genetic disease. Furthermore, histopathologic findings may retain prognostic relevance when a genetic diagnosis is established.","container-title":"Journal of the American Society of Nephrology: JASN","DOI":"10.1681/ASN.2016101121","ISSN":"1533-3450","issue":"10","journalAbbreviation":"J Am Soc Nephrol","language":"eng","note":"PMID: 28566477\nPMCID: PMC5619960","page":"3055-3065","source":"PubMed","title":"Long-Term Outcome of Steroid-Resistant Nephrotic Syndrome in Children","volume":"28","author":[{"family":"Trautmann","given":"Agnes"},{"family":"Schnaidt","given":"Sven"},{"family":"Lipska-Ziętkiewicz","given":"Beata S."},{"family":"Bodria","given":"Monica"},{"family":"Ozaltin","given":"Fatih"},{"family":"Emma","given":"Francesco"},{"family":"Anarat","given":"Ali"},{"family":"Melk","given":"Anette"},{"family":"Azocar","given":"Marta"},{"family":"Oh","given":"Jun"},{"family":"Saeed","given":"Bassam"},{"family":"Gheisari","given":"Alaleh"},{"family":"Caliskan","given":"Salim"},{"family":"Gellermann","given":"Jutta"},{"family":"Higuita","given":"Lina Maria Serna"},{"family":"Jankauskiene","given":"Augustina"},{"family":"Drozdz","given":"Dorota"},{"family":"Mir","given":"Sevgi"},{"family":"Balat","given":"Ayse"},{"family":"Szczepanska","given":"Maria"},{"family":"Paripovic","given":"Dusan"},{"family":"Zurowska","given":"Alexandra"},{"family":"Bogdanovic","given":"Radovan"},{"family":"Yilmaz","given":"Alev"},{"family":"Ranchin","given":"Bruno"},{"family":"Baskin","given":"Esra"},{"family":"Erdogan","given":"Ozlem"},{"family":"Remuzzi","given":"Giuseppe"},{"family":"Firszt-Adamczyk","given":"Agnieszka"},{"family":"Kuzma-Mroczkowska","given":"Elzbieta"},{"family":"Litwin","given":"Mieczyslaw"},{"family":"Murer","given":"Luisa"},{"family":"Tkaczyk","given":"Marcin"},{"family":"Jardim","given":"Helena"},{"family":"Wasilewska","given":"Anna"},{"family":"Printza","given":"Nikoleta"},{"family":"Fidan","given":"Kibriya"},{"family":"Simkova","given":"Eva"},{"family":"Borzecka","given":"Halina"},{"family":"Staude","given":"Hagen"},{"family":"Hees","given":"Katharina"},{"family":"Schaefer","given":"Franz"},{"literal":"PodoNet Consortium"}],"issued":{"date-parts":[["2017",10]]}}}],"schema":"https://github.com/citation-style-language/schema/raw/master/csl-citation.json"} </w:instrText>
      </w:r>
      <w:r w:rsidR="00037652">
        <w:rPr>
          <w:rFonts w:eastAsia="Arial" w:cstheme="minorHAnsi"/>
          <w:sz w:val="22"/>
          <w:szCs w:val="22"/>
          <w:lang w:val="en" w:eastAsia="en-GB"/>
        </w:rPr>
        <w:fldChar w:fldCharType="separate"/>
      </w:r>
      <w:r w:rsidR="00642970">
        <w:rPr>
          <w:rFonts w:eastAsia="Arial" w:cstheme="minorHAnsi"/>
          <w:noProof/>
          <w:sz w:val="22"/>
          <w:szCs w:val="22"/>
          <w:lang w:val="en" w:eastAsia="en-GB"/>
        </w:rPr>
        <w:t>(119)</w:t>
      </w:r>
      <w:r w:rsidR="00037652">
        <w:rPr>
          <w:rFonts w:eastAsia="Arial" w:cstheme="minorHAnsi"/>
          <w:sz w:val="22"/>
          <w:szCs w:val="22"/>
          <w:lang w:val="en" w:eastAsia="en-GB"/>
        </w:rPr>
        <w:fldChar w:fldCharType="end"/>
      </w:r>
      <w:r w:rsidRPr="00117750">
        <w:rPr>
          <w:rFonts w:eastAsia="Arial" w:cstheme="minorHAnsi"/>
          <w:sz w:val="22"/>
          <w:szCs w:val="22"/>
          <w:lang w:val="en" w:eastAsia="en-GB"/>
        </w:rPr>
        <w:t>.</w:t>
      </w:r>
    </w:p>
    <w:p w14:paraId="5EE0B515" w14:textId="419BD3E3" w:rsidR="001D1F02" w:rsidRPr="00117750" w:rsidRDefault="001630D4" w:rsidP="003F494F">
      <w:pPr>
        <w:spacing w:before="240" w:after="240" w:line="360" w:lineRule="auto"/>
        <w:jc w:val="both"/>
        <w:rPr>
          <w:rFonts w:eastAsia="Arial" w:cstheme="minorHAnsi"/>
          <w:sz w:val="22"/>
          <w:szCs w:val="22"/>
          <w:lang w:val="en" w:eastAsia="en-GB"/>
        </w:rPr>
      </w:pPr>
      <w:r w:rsidRPr="00117750">
        <w:rPr>
          <w:rFonts w:eastAsia="Arial" w:cstheme="minorHAnsi"/>
          <w:sz w:val="22"/>
          <w:szCs w:val="22"/>
          <w:lang w:val="en" w:eastAsia="en-GB"/>
        </w:rPr>
        <w:t xml:space="preserve">The original corticosteroid regimen to treat newly presenting nephrotic syndrome in children was a consensus agreement from the ISKDC </w:t>
      </w:r>
      <w:r w:rsidR="00037652">
        <w:rPr>
          <w:rFonts w:eastAsia="Arial" w:cstheme="minorHAnsi"/>
          <w:sz w:val="22"/>
          <w:szCs w:val="22"/>
          <w:lang w:val="en" w:eastAsia="en-GB"/>
        </w:rPr>
        <w:fldChar w:fldCharType="begin"/>
      </w:r>
      <w:r w:rsidR="00642970">
        <w:rPr>
          <w:rFonts w:eastAsia="Arial" w:cstheme="minorHAnsi"/>
          <w:sz w:val="22"/>
          <w:szCs w:val="22"/>
          <w:lang w:val="en" w:eastAsia="en-GB"/>
        </w:rPr>
        <w:instrText xml:space="preserve"> ADDIN ZOTERO_ITEM CSL_CITATION {"citationID":"dyQ75Ey9","properties":{"formattedCitation":"(120)","plainCitation":"(120)","noteIndex":0},"citationItems":[{"id":291,"uris":["http://zotero.org/users/local/lvPLY4Gu/items/G4B9BXCS"],"itemData":{"id":291,"type":"article-journal","container-title":"Pediatric Clinics of North America","DOI":"10.1016/s0031-3955(16)32565-2","ISSN":"0031-3955","issue":"2","journalAbbreviation":"Pediatr Clin North Am","language":"eng","note":"PMID: 4945403","page":"547-559","source":"PubMed","title":"The nephrotic syndrome","volume":"18","author":[{"family":"Arneil","given":"G. C."}],"issued":{"date-parts":[["1971",5]]}}}],"schema":"https://github.com/citation-style-language/schema/raw/master/csl-citation.json"} </w:instrText>
      </w:r>
      <w:r w:rsidR="00037652">
        <w:rPr>
          <w:rFonts w:eastAsia="Arial" w:cstheme="minorHAnsi"/>
          <w:sz w:val="22"/>
          <w:szCs w:val="22"/>
          <w:lang w:val="en" w:eastAsia="en-GB"/>
        </w:rPr>
        <w:fldChar w:fldCharType="separate"/>
      </w:r>
      <w:r w:rsidR="00642970">
        <w:rPr>
          <w:rFonts w:eastAsia="Arial" w:cstheme="minorHAnsi"/>
          <w:noProof/>
          <w:sz w:val="22"/>
          <w:szCs w:val="22"/>
          <w:lang w:val="en" w:eastAsia="en-GB"/>
        </w:rPr>
        <w:t>(120)</w:t>
      </w:r>
      <w:r w:rsidR="00037652">
        <w:rPr>
          <w:rFonts w:eastAsia="Arial" w:cstheme="minorHAnsi"/>
          <w:sz w:val="22"/>
          <w:szCs w:val="22"/>
          <w:lang w:val="en" w:eastAsia="en-GB"/>
        </w:rPr>
        <w:fldChar w:fldCharType="end"/>
      </w:r>
      <w:r w:rsidRPr="00117750">
        <w:rPr>
          <w:rFonts w:eastAsia="Arial" w:cstheme="minorHAnsi"/>
          <w:sz w:val="22"/>
          <w:szCs w:val="22"/>
          <w:lang w:val="en" w:eastAsia="en-GB"/>
        </w:rPr>
        <w:t xml:space="preserve">.  </w:t>
      </w:r>
      <w:r w:rsidR="004D5D9F">
        <w:rPr>
          <w:rFonts w:eastAsia="Arial" w:cstheme="minorHAnsi"/>
          <w:sz w:val="22"/>
          <w:szCs w:val="22"/>
          <w:lang w:val="en" w:eastAsia="en-GB"/>
        </w:rPr>
        <w:t>F</w:t>
      </w:r>
      <w:r w:rsidRPr="00117750">
        <w:rPr>
          <w:rFonts w:eastAsia="Arial" w:cstheme="minorHAnsi"/>
          <w:sz w:val="22"/>
          <w:szCs w:val="22"/>
          <w:lang w:val="en" w:eastAsia="en-GB"/>
        </w:rPr>
        <w:t xml:space="preserve">our more recent well-designed RCTs have shown that shorter </w:t>
      </w:r>
      <w:r w:rsidR="004D5D9F">
        <w:rPr>
          <w:rFonts w:eastAsia="Arial" w:cstheme="minorHAnsi"/>
          <w:sz w:val="22"/>
          <w:szCs w:val="22"/>
          <w:lang w:val="en" w:eastAsia="en-GB"/>
        </w:rPr>
        <w:t xml:space="preserve">initial </w:t>
      </w:r>
      <w:r w:rsidRPr="00117750">
        <w:rPr>
          <w:rFonts w:eastAsia="Arial" w:cstheme="minorHAnsi"/>
          <w:sz w:val="22"/>
          <w:szCs w:val="22"/>
          <w:lang w:val="en" w:eastAsia="en-GB"/>
        </w:rPr>
        <w:t>courses are equally effective</w:t>
      </w:r>
      <w:r w:rsidR="00037652">
        <w:rPr>
          <w:rFonts w:eastAsia="Arial" w:cstheme="minorHAnsi"/>
          <w:sz w:val="22"/>
          <w:szCs w:val="22"/>
          <w:lang w:val="en" w:eastAsia="en-GB"/>
        </w:rPr>
        <w:t xml:space="preserve"> </w:t>
      </w:r>
      <w:r w:rsidR="00037652">
        <w:rPr>
          <w:rFonts w:eastAsia="Arial" w:cstheme="minorHAnsi"/>
          <w:sz w:val="22"/>
          <w:szCs w:val="22"/>
          <w:lang w:val="en" w:eastAsia="en-GB"/>
        </w:rPr>
        <w:fldChar w:fldCharType="begin"/>
      </w:r>
      <w:r w:rsidR="00642970">
        <w:rPr>
          <w:rFonts w:eastAsia="Arial" w:cstheme="minorHAnsi"/>
          <w:sz w:val="22"/>
          <w:szCs w:val="22"/>
          <w:lang w:val="en" w:eastAsia="en-GB"/>
        </w:rPr>
        <w:instrText xml:space="preserve"> ADDIN ZOTERO_ITEM CSL_CITATION {"citationID":"s3u3CNkX","properties":{"formattedCitation":"(121)","plainCitation":"(121)","noteIndex":0},"citationItems":[{"id":293,"uris":["http://zotero.org/users/local/lvPLY4Gu/items/EPKW9U7X"],"itemData":{"id":293,"type":"article-journal","abstract":"BACKGROUND: In nephrotic syndrome, protein leaks from the blood into the urine through the glomeruli, resulting in hypoproteinaemia and generalised oedema. While most children with nephrotic syndrome respond to corticosteroids, 80% experience a relapsing course. Corticosteroids have reduced the death rate to around 3%; however, corticosteroids have well-recognised potentially serious adverse events such as obesity, poor growth, hypertension, diabetes mellitus, osteoporosis, cataracts, glaucoma and behavioural disturbances. This is an update of a review first published in 2000 and updated in 2002, 2005, 2007, 2015 and 2020.\nOBJECTIVES: The aim of this review was to assess the benefits and harms of different corticosteroid regimens in children with steroid-sensitive nephrotic syndrome (SSNS). The benefits and harms of therapy were studied in two groups of children: 1) children in their initial episode of SSNS and 2) children who experience a relapsing course of SSNS.\nSEARCH METHODS: We contacted the Information Specialist and searched the Cochrane Kidney and Transplant Register of Studies up to 9 July 2024 using search terms relevant to this review. Studies in the Register are identified through searches of CENTRAL, MEDLINE, and EMBASE, conference proceedings, the International Clinical Trials Registry Platform (ICTRP) Search Portal, and ClinicalTrials.gov.\nSELECTION CRITERIA: Randomised controlled trials (RCTs) performed in children (one to 18 years) during their initial or subsequent episode of SSNS, comparing different durations, total doses or other dose strategies using any corticosteroid agent.\nDATA COLLECTION AND ANALYSIS: Summary estimates of effects were obtained using a random-effects model, and results were expressed as risk ratios (RR) and their 95% confidence intervals (CI) for dichotomous outcomes and mean difference (MD) and 95% CI for continuous outcomes. Confidence in the evidence was assessed using the Grading of Recommendations Assessment, Development and Evaluation (GRADE) approach.\nMAIN RESULTS: In this 2024 update, we included five new studies, resulting in 54 studies randomising 4670 children. Risk of bias methodology was often poorly performed, with only 31 studies and 28 studies respectively assessed to be at low risk for random sequence generation and allocation concealment. Ten studies were at low risk of performance bias (blinding of participants and personnel), and 12 studies were at low risk of detection bias (blinding of outcome assessment); nine of these studies were placebo-controlled RCTs. Twenty-seven studies (fewer than 50%) were at low risk for attrition bias, and 26 studies were at low risk for reporting bias (selective outcome reporting). In studies at low risk of selection bias evaluating children in their initial episode of SSNS, there is little or no difference in the number of children with frequent relapses when comparing two months of prednisone with three months or more (RR 0.96, 95% CI 0.83 to 1.10; 755 children, 5 studies; I2 = 0%; high certainty evidence) or when comparing three months with five to seven months of therapy (RR 0.99, 95% CI 0.74 to 1.33; 376 children, 3 studies; I2 = 35%; high certainty evidence). In analyses of studies at low risk of selection bias, there is little or no difference in the number of children with any relapse by 12 to 24 months when comparing two months of prednisone with three months or more (RR 0.93, 95% CI 0.81 to 1.06; 808 children; 6 studies; I2 = 47%) or when comparing three months with five to seven months of therapy (RR 0.88, 95% CI 0.70 to 1.11; 377 children, 3 studies; I2 = 53%). Little or no difference was noted in adverse events between the different treatment durations. Amongst children with relapsing SSNS, four small studies (177 children) utilising lower doses of prednisone compared with standard regimens found little or no differences between groups in the numbers with relapse (RR 1.01, 95% CI 0.85 to 1.20; I2 = 0%). A fifth study (117 children) reported little or no difference between two weeks and four weeks of alternate-day prednisone after remission with daily prednisone. A recent large, well-designed study with 271 children found that administering daily prednisone compared with alternate-day prednisone or no prednisone during viral infection did not reduce the risk of relapse. In contrast, four previous small studies in children with frequently relapsing disease had reported that daily prednisone during viral infections compared with alternate-day prednisone or no treatment reduced the risk of relapse.\nAUTHORS' CONCLUSIONS: There are four well-designed studies randomising 823 children, which have demonstrated that there is no benefit of prolonging prednisone therapy beyond two to three months in the first episode of SSNS. Small studies in children with relapsing disease have identified no differences in efficacy using lower induction doses or shorter durations of prednisone therapy. Large, well-designed studies are required to confirm these findings. While previous small studies had suggested that changing from alternate-day to daily prednisone therapy at the onset of infection reduced the likelihood of relapse, a much larger and well-designed study found no reduction in the number relapsing when administering daily prednisone at the onset of infection.","container-title":"The Cochrane Database of Systematic Reviews","DOI":"10.1002/14651858.CD001533.pub7","ISSN":"1469-493X","issue":"8","journalAbbreviation":"Cochrane Database Syst Rev","language":"eng","note":"PMID: 39171624\nPMCID: PMC11339925","page":"CD001533","source":"PubMed","title":"Corticosteroid therapy for nephrotic syndrome in children","volume":"8","author":[{"family":"Hahn","given":"Deirdre"},{"family":"Samuel","given":"Susan M."},{"family":"Willis","given":"Narelle S."},{"family":"Craig","given":"Jonathan C."},{"family":"Hodson","given":"Elisabeth M."}],"issued":{"date-parts":[["2024",8,22]]}}}],"schema":"https://github.com/citation-style-language/schema/raw/master/csl-citation.json"} </w:instrText>
      </w:r>
      <w:r w:rsidR="00037652">
        <w:rPr>
          <w:rFonts w:eastAsia="Arial" w:cstheme="minorHAnsi"/>
          <w:sz w:val="22"/>
          <w:szCs w:val="22"/>
          <w:lang w:val="en" w:eastAsia="en-GB"/>
        </w:rPr>
        <w:fldChar w:fldCharType="separate"/>
      </w:r>
      <w:r w:rsidR="00642970">
        <w:rPr>
          <w:rFonts w:eastAsia="Arial" w:cstheme="minorHAnsi"/>
          <w:noProof/>
          <w:sz w:val="22"/>
          <w:szCs w:val="22"/>
          <w:lang w:val="en" w:eastAsia="en-GB"/>
        </w:rPr>
        <w:t>(121)</w:t>
      </w:r>
      <w:r w:rsidR="00037652">
        <w:rPr>
          <w:rFonts w:eastAsia="Arial" w:cstheme="minorHAnsi"/>
          <w:sz w:val="22"/>
          <w:szCs w:val="22"/>
          <w:lang w:val="en" w:eastAsia="en-GB"/>
        </w:rPr>
        <w:fldChar w:fldCharType="end"/>
      </w:r>
      <w:r w:rsidRPr="00117750">
        <w:rPr>
          <w:rFonts w:eastAsia="Arial" w:cstheme="minorHAnsi"/>
          <w:sz w:val="22"/>
          <w:szCs w:val="22"/>
          <w:lang w:val="en" w:eastAsia="en-GB"/>
        </w:rPr>
        <w:t>. The four RCTs use</w:t>
      </w:r>
      <w:r w:rsidR="00D20CBA">
        <w:rPr>
          <w:rFonts w:eastAsia="Arial" w:cstheme="minorHAnsi"/>
          <w:sz w:val="22"/>
          <w:szCs w:val="22"/>
          <w:lang w:val="en" w:eastAsia="en-GB"/>
        </w:rPr>
        <w:t>d</w:t>
      </w:r>
      <w:r w:rsidRPr="00117750">
        <w:rPr>
          <w:rFonts w:eastAsia="Arial" w:cstheme="minorHAnsi"/>
          <w:sz w:val="22"/>
          <w:szCs w:val="22"/>
          <w:lang w:val="en" w:eastAsia="en-GB"/>
        </w:rPr>
        <w:t xml:space="preserve"> a combination of </w:t>
      </w:r>
      <w:r w:rsidR="00D20CBA" w:rsidRPr="00117750">
        <w:rPr>
          <w:rFonts w:eastAsia="Arial" w:cstheme="minorHAnsi"/>
          <w:sz w:val="22"/>
          <w:szCs w:val="22"/>
          <w:lang w:val="en" w:eastAsia="en-GB"/>
        </w:rPr>
        <w:t xml:space="preserve">the ISKDC 4 weeks + 4 weeks regimen and the German </w:t>
      </w:r>
      <w:proofErr w:type="spellStart"/>
      <w:r w:rsidR="00D20CBA" w:rsidRPr="00117750">
        <w:rPr>
          <w:rFonts w:eastAsia="Arial" w:cstheme="minorHAnsi"/>
          <w:sz w:val="22"/>
          <w:szCs w:val="22"/>
          <w:lang w:val="en" w:eastAsia="en-GB"/>
        </w:rPr>
        <w:t>paediatric</w:t>
      </w:r>
      <w:proofErr w:type="spellEnd"/>
      <w:r w:rsidR="00D20CBA" w:rsidRPr="00117750">
        <w:rPr>
          <w:rFonts w:eastAsia="Arial" w:cstheme="minorHAnsi"/>
          <w:sz w:val="22"/>
          <w:szCs w:val="22"/>
          <w:lang w:val="en" w:eastAsia="en-GB"/>
        </w:rPr>
        <w:t xml:space="preserve"> nephrology group, </w:t>
      </w:r>
      <w:proofErr w:type="spellStart"/>
      <w:r w:rsidR="00D20CBA" w:rsidRPr="00117750">
        <w:rPr>
          <w:rFonts w:eastAsia="Arial" w:cstheme="minorHAnsi"/>
          <w:sz w:val="22"/>
          <w:szCs w:val="22"/>
          <w:lang w:val="en" w:eastAsia="en-GB"/>
        </w:rPr>
        <w:t>Arbeitsgemeinschaft</w:t>
      </w:r>
      <w:proofErr w:type="spellEnd"/>
      <w:r w:rsidR="00D20CBA" w:rsidRPr="00117750">
        <w:rPr>
          <w:rFonts w:eastAsia="Arial" w:cstheme="minorHAnsi"/>
          <w:sz w:val="22"/>
          <w:szCs w:val="22"/>
          <w:lang w:val="en" w:eastAsia="en-GB"/>
        </w:rPr>
        <w:t xml:space="preserve"> für </w:t>
      </w:r>
      <w:proofErr w:type="spellStart"/>
      <w:r w:rsidR="00D20CBA" w:rsidRPr="00117750">
        <w:rPr>
          <w:rFonts w:eastAsia="Arial" w:cstheme="minorHAnsi"/>
          <w:sz w:val="22"/>
          <w:szCs w:val="22"/>
          <w:lang w:val="en" w:eastAsia="en-GB"/>
        </w:rPr>
        <w:t>Pädiatrische</w:t>
      </w:r>
      <w:proofErr w:type="spellEnd"/>
      <w:r w:rsidR="00D20CBA" w:rsidRPr="00117750">
        <w:rPr>
          <w:rFonts w:eastAsia="Arial" w:cstheme="minorHAnsi"/>
          <w:sz w:val="22"/>
          <w:szCs w:val="22"/>
          <w:lang w:val="en" w:eastAsia="en-GB"/>
        </w:rPr>
        <w:t xml:space="preserve"> </w:t>
      </w:r>
      <w:proofErr w:type="spellStart"/>
      <w:r w:rsidR="00D20CBA" w:rsidRPr="00117750">
        <w:rPr>
          <w:rFonts w:eastAsia="Arial" w:cstheme="minorHAnsi"/>
          <w:sz w:val="22"/>
          <w:szCs w:val="22"/>
          <w:lang w:val="en" w:eastAsia="en-GB"/>
        </w:rPr>
        <w:t>Nephrologie</w:t>
      </w:r>
      <w:proofErr w:type="spellEnd"/>
      <w:r w:rsidR="00D20CBA" w:rsidRPr="00117750">
        <w:rPr>
          <w:rFonts w:eastAsia="Arial" w:cstheme="minorHAnsi"/>
          <w:sz w:val="22"/>
          <w:szCs w:val="22"/>
          <w:lang w:val="en" w:eastAsia="en-GB"/>
        </w:rPr>
        <w:t xml:space="preserve"> (APN) regimen of 6 weeks + 6 weeks </w:t>
      </w:r>
      <w:r w:rsidRPr="00117750">
        <w:rPr>
          <w:rFonts w:eastAsia="Arial" w:cstheme="minorHAnsi"/>
          <w:sz w:val="22"/>
          <w:szCs w:val="22"/>
          <w:lang w:val="en" w:eastAsia="en-GB"/>
        </w:rPr>
        <w:t xml:space="preserve">as standard treatment and the 2021 KDIGO </w:t>
      </w:r>
      <w:r w:rsidR="00037652">
        <w:rPr>
          <w:rFonts w:eastAsia="Arial" w:cstheme="minorHAnsi"/>
          <w:sz w:val="22"/>
          <w:szCs w:val="22"/>
          <w:lang w:val="en" w:eastAsia="en-GB"/>
        </w:rPr>
        <w:fldChar w:fldCharType="begin"/>
      </w:r>
      <w:r w:rsidR="00642970">
        <w:rPr>
          <w:rFonts w:eastAsia="Arial" w:cstheme="minorHAnsi"/>
          <w:sz w:val="22"/>
          <w:szCs w:val="22"/>
          <w:lang w:val="en" w:eastAsia="en-GB"/>
        </w:rPr>
        <w:instrText xml:space="preserve"> ADDIN ZOTERO_ITEM CSL_CITATION {"citationID":"ZAsxglpE","properties":{"formattedCitation":"(5)","plainCitation":"(5)","noteIndex":0},"citationItems":[{"id":11,"uris":["http://zotero.org/users/local/lvPLY4Gu/items/PZVAFVT2"],"itemData":{"id":11,"type":"article-journal","container-title":"Kidney International","DOI":"10.1016/j.kint.2021.05.021","ISSN":"1523-1755","issue":"4S","journalAbbreviation":"Kidney Int","language":"eng","note":"PMID: 34556256","page":"S1-S276","source":"PubMed","title":"KDIGO 2021 Clinical Practice Guideline for the Management of Glomerular Diseases","volume":"100","author":[{"literal":"Kidney Disease: Improving Global Outcomes (KDIGO) Glomerular Diseases Work Group"}],"issued":{"date-parts":[["2021",10]]}}}],"schema":"https://github.com/citation-style-language/schema/raw/master/csl-citation.json"} </w:instrText>
      </w:r>
      <w:r w:rsidR="00037652">
        <w:rPr>
          <w:rFonts w:eastAsia="Arial" w:cstheme="minorHAnsi"/>
          <w:sz w:val="22"/>
          <w:szCs w:val="22"/>
          <w:lang w:val="en" w:eastAsia="en-GB"/>
        </w:rPr>
        <w:fldChar w:fldCharType="separate"/>
      </w:r>
      <w:r w:rsidR="00642970">
        <w:rPr>
          <w:rFonts w:eastAsia="Arial" w:cstheme="minorHAnsi"/>
          <w:noProof/>
          <w:sz w:val="22"/>
          <w:szCs w:val="22"/>
          <w:lang w:val="en" w:eastAsia="en-GB"/>
        </w:rPr>
        <w:t>(5)</w:t>
      </w:r>
      <w:r w:rsidR="00037652">
        <w:rPr>
          <w:rFonts w:eastAsia="Arial" w:cstheme="minorHAnsi"/>
          <w:sz w:val="22"/>
          <w:szCs w:val="22"/>
          <w:lang w:val="en" w:eastAsia="en-GB"/>
        </w:rPr>
        <w:fldChar w:fldCharType="end"/>
      </w:r>
      <w:r w:rsidR="00037652">
        <w:rPr>
          <w:rFonts w:eastAsia="Arial" w:cstheme="minorHAnsi"/>
          <w:sz w:val="22"/>
          <w:szCs w:val="22"/>
          <w:lang w:val="en" w:eastAsia="en-GB"/>
        </w:rPr>
        <w:t xml:space="preserve"> </w:t>
      </w:r>
      <w:r w:rsidRPr="00117750">
        <w:rPr>
          <w:rFonts w:eastAsia="Arial" w:cstheme="minorHAnsi"/>
          <w:sz w:val="22"/>
          <w:szCs w:val="22"/>
          <w:lang w:val="en" w:eastAsia="en-GB"/>
        </w:rPr>
        <w:t xml:space="preserve">and 2023 IPNA guidelines </w:t>
      </w:r>
      <w:r w:rsidR="00037652">
        <w:rPr>
          <w:rFonts w:eastAsia="Arial" w:cstheme="minorHAnsi"/>
          <w:color w:val="000000"/>
          <w:sz w:val="22"/>
          <w:szCs w:val="22"/>
          <w:lang w:val="en" w:eastAsia="en-GB"/>
        </w:rPr>
        <w:fldChar w:fldCharType="begin"/>
      </w:r>
      <w:r w:rsidR="00642970">
        <w:rPr>
          <w:rFonts w:eastAsia="Arial" w:cstheme="minorHAnsi"/>
          <w:color w:val="000000"/>
          <w:sz w:val="22"/>
          <w:szCs w:val="22"/>
          <w:lang w:val="en" w:eastAsia="en-GB"/>
        </w:rPr>
        <w:instrText xml:space="preserve"> ADDIN ZOTERO_ITEM CSL_CITATION {"citationID":"MB957AU6","properties":{"formattedCitation":"(4)","plainCitation":"(4)","noteIndex":0},"citationItems":[{"id":8,"uris":["http://zotero.org/users/local/lvPLY4Gu/items/LPZFJLIB"],"itemData":{"id":8,"type":"article-journal","abstract":"Idiopathic nephrotic syndrome is the most frequent pediatric glomerular disease, affecting from 1.15 to 16.9 per 100,000 children per year globally. It is characterized by massive proteinuria, hypoalbuminemia, and/or concomitant edema. Approximately 85-90% of patients attain complete remission of proteinuria within 4-6 weeks of treatment with glucocorticoids, and therefore, have steroid-sensitive nephrotic syndrome (SSNS). Among those patients who are steroid sensitive, 70-80% will have at least one relapse during follow-up, and up to 50% of these patients will experience frequent relapses or become dependent on glucocorticoids to maintain remission. The dose and duration of steroid treatment to prolong time between relapses remains a subject of much debate, and patients continue to experience a high prevalence of steroid-related morbidity. Various steroid-sparing immunosuppressive drugs have been used in clinical practice; however, there is marked practice variation in the selection of these drugs and timing of their introduction during the course of the disease. Therefore, international evidence-based clinical practice recommendations (CPRs) are needed to guide clinical practice and reduce practice variation. The International Pediatric Nephrology Association (IPNA) convened a team of experts including pediatric nephrologists, an adult nephrologist, and a patient representative to develop comprehensive CPRs on the diagnosis and management of SSNS in children. After performing a systematic literature review on 12 clinically relevant PICO (Patient or Population covered, Intervention, Comparator, Outcome) questions, recommendations were formulated and formally graded at several virtual consensus meetings. New definitions for treatment outcomes to help guide change of therapy and recommendations for important research questions are given.","container-title":"Pediatric Nephrology (Berlin, Germany)","DOI":"10.1007/s00467-022-05739-3","ISSN":"1432-198X","issue":"3","journalAbbreviation":"Pediatr Nephrol","language":"eng","note":"PMID: 36269406\nPMCID: PMC9589698","page":"877-919","source":"PubMed","title":"IPNA clinical practice recommendations for the diagnosis and management of children with steroid-sensitive nephrotic syndrome","volume":"38","author":[{"family":"Trautmann","given":"Agnes"},{"family":"Boyer","given":"Olivia"},{"family":"Hodson","given":"Elisabeth"},{"family":"Bagga","given":"Arvind"},{"family":"Gipson","given":"Debbie S."},{"family":"Samuel","given":"Susan"},{"family":"Wetzels","given":"Jack"},{"family":"Alhasan","given":"Khalid"},{"family":"Banerjee","given":"Sushmita"},{"family":"Bhimma","given":"Rajendra"},{"family":"Bonilla-Felix","given":"Melvin"},{"family":"Cano","given":"Francisco"},{"family":"Christian","given":"Martin"},{"family":"Hahn","given":"Deirdre"},{"family":"Kang","given":"Hee Gyung"},{"family":"Nakanishi","given":"Koichi"},{"family":"Safouh","given":"Hesham"},{"family":"Trachtman","given":"Howard"},{"family":"Xu","given":"Hong"},{"family":"Cook","given":"Wendy"},{"family":"Vivarelli","given":"Marina"},{"family":"Haffner","given":"Dieter"},{"literal":"International Pediatric Nephrology Association"}],"issued":{"date-parts":[["2023",3]]}}}],"schema":"https://github.com/citation-style-language/schema/raw/master/csl-citation.json"} </w:instrText>
      </w:r>
      <w:r w:rsidR="00037652">
        <w:rPr>
          <w:rFonts w:eastAsia="Arial" w:cstheme="minorHAnsi"/>
          <w:color w:val="000000"/>
          <w:sz w:val="22"/>
          <w:szCs w:val="22"/>
          <w:lang w:val="en" w:eastAsia="en-GB"/>
        </w:rPr>
        <w:fldChar w:fldCharType="separate"/>
      </w:r>
      <w:r w:rsidR="00642970">
        <w:rPr>
          <w:rFonts w:eastAsia="Arial" w:cstheme="minorHAnsi"/>
          <w:noProof/>
          <w:color w:val="000000"/>
          <w:sz w:val="22"/>
          <w:szCs w:val="22"/>
          <w:lang w:val="en" w:eastAsia="en-GB"/>
        </w:rPr>
        <w:t>(4)</w:t>
      </w:r>
      <w:r w:rsidR="00037652">
        <w:rPr>
          <w:rFonts w:eastAsia="Arial" w:cstheme="minorHAnsi"/>
          <w:color w:val="000000"/>
          <w:sz w:val="22"/>
          <w:szCs w:val="22"/>
          <w:lang w:val="en" w:eastAsia="en-GB"/>
        </w:rPr>
        <w:fldChar w:fldCharType="end"/>
      </w:r>
      <w:r w:rsidR="00037652">
        <w:rPr>
          <w:rFonts w:eastAsia="Arial" w:cstheme="minorHAnsi"/>
          <w:color w:val="000000"/>
          <w:sz w:val="22"/>
          <w:szCs w:val="22"/>
          <w:lang w:val="en" w:eastAsia="en-GB"/>
        </w:rPr>
        <w:t xml:space="preserve"> </w:t>
      </w:r>
      <w:r w:rsidRPr="00D20CBA">
        <w:rPr>
          <w:rFonts w:eastAsia="Arial" w:cstheme="minorHAnsi"/>
          <w:sz w:val="22"/>
          <w:szCs w:val="22"/>
          <w:lang w:val="en" w:eastAsia="en-GB"/>
        </w:rPr>
        <w:t>d</w:t>
      </w:r>
      <w:r w:rsidR="00D20CBA">
        <w:rPr>
          <w:rFonts w:eastAsia="Arial" w:cstheme="minorHAnsi"/>
          <w:sz w:val="22"/>
          <w:szCs w:val="22"/>
          <w:lang w:val="en" w:eastAsia="en-GB"/>
        </w:rPr>
        <w:t>o</w:t>
      </w:r>
      <w:r w:rsidRPr="00D20CBA">
        <w:rPr>
          <w:rFonts w:eastAsia="Arial" w:cstheme="minorHAnsi"/>
          <w:sz w:val="22"/>
          <w:szCs w:val="22"/>
          <w:lang w:val="en" w:eastAsia="en-GB"/>
        </w:rPr>
        <w:t xml:space="preserve"> not</w:t>
      </w:r>
      <w:r w:rsidRPr="00117750">
        <w:rPr>
          <w:rFonts w:eastAsia="Arial" w:cstheme="minorHAnsi"/>
          <w:sz w:val="22"/>
          <w:szCs w:val="22"/>
          <w:lang w:val="en" w:eastAsia="en-GB"/>
        </w:rPr>
        <w:t xml:space="preserve"> distinguish between them</w:t>
      </w:r>
      <w:r w:rsidR="00D20CBA">
        <w:rPr>
          <w:rFonts w:eastAsia="Arial" w:cstheme="minorHAnsi"/>
          <w:sz w:val="22"/>
          <w:szCs w:val="22"/>
          <w:lang w:val="en" w:eastAsia="en-GB"/>
        </w:rPr>
        <w:t xml:space="preserve"> due to little </w:t>
      </w:r>
      <w:r w:rsidRPr="00117750">
        <w:rPr>
          <w:rFonts w:eastAsia="Arial" w:cstheme="minorHAnsi"/>
          <w:sz w:val="22"/>
          <w:szCs w:val="22"/>
          <w:lang w:val="en" w:eastAsia="en-GB"/>
        </w:rPr>
        <w:t>difference in outcomes by 24 months</w:t>
      </w:r>
      <w:r w:rsidR="00037652">
        <w:rPr>
          <w:rFonts w:eastAsia="Arial" w:cstheme="minorHAnsi"/>
          <w:sz w:val="22"/>
          <w:szCs w:val="22"/>
          <w:lang w:val="en" w:eastAsia="en-GB"/>
        </w:rPr>
        <w:t xml:space="preserve"> </w:t>
      </w:r>
      <w:r w:rsidR="00037652">
        <w:rPr>
          <w:rFonts w:eastAsia="Arial" w:cstheme="minorHAnsi"/>
          <w:sz w:val="22"/>
          <w:szCs w:val="22"/>
          <w:lang w:val="en" w:eastAsia="en-GB"/>
        </w:rPr>
        <w:fldChar w:fldCharType="begin"/>
      </w:r>
      <w:r w:rsidR="00642970">
        <w:rPr>
          <w:rFonts w:eastAsia="Arial" w:cstheme="minorHAnsi"/>
          <w:sz w:val="22"/>
          <w:szCs w:val="22"/>
          <w:lang w:val="en" w:eastAsia="en-GB"/>
        </w:rPr>
        <w:instrText xml:space="preserve"> ADDIN ZOTERO_ITEM CSL_CITATION {"citationID":"3ZYpZ4Nu","properties":{"formattedCitation":"(122)","plainCitation":"(122)","noteIndex":0},"citationItems":[{"id":284,"uris":["http://zotero.org/users/local/lvPLY4Gu/items/PL9X7RRQ"],"itemData":{"id":284,"type":"article-journal","abstract":"Steroids are the cornerstone of the treatment of childhood nephrotic syndrome. The optimal duration for the first episode remains a matter of debate. The aim of this study is to determine whether the 8 weeks International Study of Kidney Disease in Children (ISKDC) regimen is equally effective as the 12 weeks steroid regimen from the German society of pediatric nephrology (Arbeitsgemeinschaft für Pädiatrische Nephrologie [APN]). An individual patient data (IPD) meta-analysis of randomized controlled trials reporting on prednisolone treatment for a first episode of childhood nephrotic syndrome was conducted. European trials aimed at investigating the ISKDC and/or APN steroid regimen were selected. The lead investigators of the selected trials were requested to provide the IPD of the specific treatment groups. Four trials included European cohorts using dosing schedules according to the regimens studied. IPD of two trials were available. A significant difference was found in time to first relapse after cessation of steroid treatment between the 8 and 12 weeks treatment group with a median time to relapse of 29 and 63 days, respectively. Moreover, relapse rate ratios during total follow-up were 51% higher for the 8 weeks regimen. Finally, younger children have a significantly lower time to first relapse and frequently relapsing nephrotic syndrome., Conclusions: The results of this IPD meta-analysis suggest that the 8 weeks steroid regimen for a first episode of steroid-sensitive nephrotic syndrome may not be equally effective as the 12 weeks steroid regimen. Moreover, this study highlights the importance of using uniform definitions to enable accurate comparison and interpretation of trial results., Trial registration: Registration number: CRD42020199244, date of registration 16-08-2020\nWhat is Known:• Steroids are the cornerstone of the treatment of childhood nephrotic syndrome, however the optimal duration for the first episode remains a matter of debate.• Currently, the 8 weeks ISKDC protocol and 12 weeks APN protocol are among the most frequently used protocols in Europe.What is New:• The 8 weeks steroid regimen for a first episode of steroid-sensitive nephrotic syndrome may not be equally effective as the 12 weeks steroid regimen for the treatment of a first episode of nephrotic syndrome.• Younger children have a significantly shorter time to first relapse and time to frequent relapsing nephrotic syndrome.","container-title":"European Journal of Pediatrics","DOI":"10.1007/s00431-021-04035-w","ISSN":"0340-6199","issue":"9","journalAbbreviation":"Eur J Pediatr","note":"PMID: 33774744\nPMCID: PMC8346453","page":"2849-2859","source":"PubMed Central","title":"Steroid treatment for the first episode of childhood nephrotic syndrome: comparison of the 8 and 12 weeks regimen using an individual patient data meta-analysis","title-short":"Steroid treatment for the first episode of childhood nephrotic syndrome","volume":"180","author":[{"family":"Schijvens","given":"Anne M."},{"family":"Teeninga","given":"Nynke"},{"family":"Dorresteijn","given":"Eiske M."},{"family":"Teerenstra","given":"Steven"},{"family":"Webb","given":"Nicholas J."},{"family":"Schreuder","given":"Michiel F."}],"issued":{"date-parts":[["2021"]]}}}],"schema":"https://github.com/citation-style-language/schema/raw/master/csl-citation.json"} </w:instrText>
      </w:r>
      <w:r w:rsidR="00037652">
        <w:rPr>
          <w:rFonts w:eastAsia="Arial" w:cstheme="minorHAnsi"/>
          <w:sz w:val="22"/>
          <w:szCs w:val="22"/>
          <w:lang w:val="en" w:eastAsia="en-GB"/>
        </w:rPr>
        <w:fldChar w:fldCharType="separate"/>
      </w:r>
      <w:r w:rsidR="00642970">
        <w:rPr>
          <w:rFonts w:eastAsia="Arial" w:cstheme="minorHAnsi"/>
          <w:noProof/>
          <w:sz w:val="22"/>
          <w:szCs w:val="22"/>
          <w:lang w:val="en" w:eastAsia="en-GB"/>
        </w:rPr>
        <w:t>(122)</w:t>
      </w:r>
      <w:r w:rsidR="00037652">
        <w:rPr>
          <w:rFonts w:eastAsia="Arial" w:cstheme="minorHAnsi"/>
          <w:sz w:val="22"/>
          <w:szCs w:val="22"/>
          <w:lang w:val="en" w:eastAsia="en-GB"/>
        </w:rPr>
        <w:fldChar w:fldCharType="end"/>
      </w:r>
      <w:r w:rsidR="00037652">
        <w:rPr>
          <w:rFonts w:eastAsia="Arial" w:cstheme="minorHAnsi"/>
          <w:sz w:val="22"/>
          <w:szCs w:val="22"/>
          <w:lang w:val="en" w:eastAsia="en-GB"/>
        </w:rPr>
        <w:t>.</w:t>
      </w:r>
      <w:r w:rsidR="004D5D9F">
        <w:rPr>
          <w:rFonts w:eastAsia="Arial" w:cstheme="minorHAnsi"/>
          <w:sz w:val="22"/>
          <w:szCs w:val="22"/>
          <w:lang w:val="en" w:eastAsia="en-GB"/>
        </w:rPr>
        <w:t xml:space="preserve"> </w:t>
      </w:r>
      <w:r w:rsidRPr="00117750">
        <w:rPr>
          <w:rFonts w:eastAsia="Arial" w:cstheme="minorHAnsi"/>
          <w:sz w:val="22"/>
          <w:szCs w:val="22"/>
          <w:lang w:val="en" w:eastAsia="en-GB"/>
        </w:rPr>
        <w:t xml:space="preserve">Studies </w:t>
      </w:r>
      <w:r w:rsidR="009B43F9">
        <w:rPr>
          <w:rFonts w:eastAsia="Arial" w:cstheme="minorHAnsi"/>
          <w:sz w:val="22"/>
          <w:szCs w:val="22"/>
          <w:lang w:val="en" w:eastAsia="en-GB"/>
        </w:rPr>
        <w:t>comparing</w:t>
      </w:r>
      <w:r w:rsidRPr="00117750">
        <w:rPr>
          <w:rFonts w:eastAsia="Arial" w:cstheme="minorHAnsi"/>
          <w:sz w:val="22"/>
          <w:szCs w:val="22"/>
          <w:lang w:val="en" w:eastAsia="en-GB"/>
        </w:rPr>
        <w:t xml:space="preserve"> dosing regimens have not found a</w:t>
      </w:r>
      <w:r w:rsidR="009B43F9">
        <w:rPr>
          <w:rFonts w:eastAsia="Arial" w:cstheme="minorHAnsi"/>
          <w:sz w:val="22"/>
          <w:szCs w:val="22"/>
          <w:lang w:val="en" w:eastAsia="en-GB"/>
        </w:rPr>
        <w:t>ny</w:t>
      </w:r>
      <w:r w:rsidRPr="00117750">
        <w:rPr>
          <w:rFonts w:eastAsia="Arial" w:cstheme="minorHAnsi"/>
          <w:sz w:val="22"/>
          <w:szCs w:val="22"/>
          <w:lang w:val="en" w:eastAsia="en-GB"/>
        </w:rPr>
        <w:t xml:space="preserve"> consistent difference between weight or body surface area regimens</w:t>
      </w:r>
      <w:r w:rsidR="00037652">
        <w:rPr>
          <w:rFonts w:eastAsia="Arial" w:cstheme="minorHAnsi"/>
          <w:sz w:val="22"/>
          <w:szCs w:val="22"/>
          <w:lang w:val="en" w:eastAsia="en-GB"/>
        </w:rPr>
        <w:t xml:space="preserve"> </w:t>
      </w:r>
      <w:r w:rsidR="00197076">
        <w:rPr>
          <w:rFonts w:eastAsia="Arial" w:cstheme="minorHAnsi"/>
          <w:sz w:val="22"/>
          <w:szCs w:val="22"/>
          <w:lang w:val="en" w:eastAsia="en-GB"/>
        </w:rPr>
        <w:fldChar w:fldCharType="begin"/>
      </w:r>
      <w:r w:rsidR="00642970">
        <w:rPr>
          <w:rFonts w:eastAsia="Arial" w:cstheme="minorHAnsi"/>
          <w:sz w:val="22"/>
          <w:szCs w:val="22"/>
          <w:lang w:val="en" w:eastAsia="en-GB"/>
        </w:rPr>
        <w:instrText xml:space="preserve"> ADDIN ZOTERO_ITEM CSL_CITATION {"citationID":"5jHW3G4b","properties":{"formattedCitation":"(123\\uc0\\u8211{}125)","plainCitation":"(123–125)","noteIndex":0},"citationItems":[{"id":295,"uris":["http://zotero.org/users/local/lvPLY4Gu/items/67YSTY96"],"itemData":{"id":295,"type":"article-journal","abstract":"BACKGROUND: Prednisolone dosing regimen based on body surface area (BSA) or body weight (BW) in managing uncomplicated nephrotic syndrome (NS) has been a matter of controversy.\nMETHODS: In this parallel-arm randomized clinical trial, 60 children with uncomplicated NS in relapse were randomized to receive either of two regimens. Children of BW cohort received prednisolone (2 mg/kg/day) till remission (or 6 weeks for first episode); followed by 1.5 mg/kg on alternate days for 4 weeks (or 6 weeks for first episode). Children randomized for BSA cohort received prednisolone (60 mg/m2/day) till remission (or 6 week for first episode); followed by 40 mg/m2 on alternate days for 4 weeks (or 6 weeks for first episode). The primary endpoint was 6-month relapse-free survival in the intention-to-treat population (clinical trial registry of India CTRI/2015/03/005655).\nRESULTS: The 6-month relapse-free survival rates were similar for both BSA cohort 73.33% (22/30) and BW cohort 70% (21/30) (p = 1, OR 0.19, 95% CI 0.07-0.52). Requirement of cumulative steroid to achieve initial remission (96.1 ± 57.8 vs 63.58 ± 40.2 mg/kg, p = 0.014) and over 6-month study period (104.34 ± 50.82 vs 73.88 ± 42.95 mg/kg, p = 0.015) were significantly higher in BSA cohort in comparison to BW cohort. However, time taken in achieving remission during enrolment episode in both BSA and BW groups was comparable (7 ± 1.7 vs 6.9 ± 1.4 days, p = 0.81). While both treatments were well tolerated, the number of adverse events was one and half times as common in the BSA group than BW group (37 vs. 22 events).\nCONCLUSIONS: In treating children with uncomplicated NS, both BSA and BW regimens were equally effective in achieving initial remission and maintaining disease remission. Due to fewer adverse events and lesser cumulative steroid exposure with BW based regimen, it may be considered as better option over BSA regimen.\nCLINICAL TRIAL REGISTRY NAME: Clinical Trial Registry of India (CTRI/2015/03/005655).","container-title":"Clinical and Experimental Nephrology","DOI":"10.1007/s10157-020-01875-y","ISSN":"1437-7799","issue":"7","journalAbbreviation":"Clin Exp Nephrol","language":"eng","note":"PMID: 32201918","page":"622-629","source":"PubMed","title":"Efficacy of body weight vs body surface area-based prednisolone regimen in nephrotic syndrome","volume":"24","author":[{"family":"Basu","given":"Biswanath"},{"family":"Bhattacharyya","given":"Suman"},{"family":"Barua","given":"Shilpita"},{"family":"Naskar","given":"Abhisek"},{"family":"Roy","given":"Birendranath"}],"issued":{"date-parts":[["2020",7]]}}},{"id":297,"uris":["http://zotero.org/users/local/lvPLY4Gu/items/45UJV92H"],"itemData":{"id":297,"type":"article-journal","abstract":"In this edition of Pediatric Nephrology, Vaishnavi Raman et al. have published an open-labeled randomized clinical trial of 100 children with idiopathic nephrotic syndrome who were allocated either a body weight- or body surface area-based prednisolone dosing for a duration of 12 weeks. The authors used Kaplan-Meier analysis for comparison of the time to remission. They also compared the relapse rate and found no difference. This editorial discusses the strengths of the current study as well some limitations. The inclusion of relapsing patients in the study protocol is problematic. The follow-up period of only 6 months forms another limitation. No subgroup analysis by age was performed. This editorial also highlights the lack of correlation between steroid dose and steroid exposure and the need for considering the age dependency (ontogeny) of drug disposition. Finally, the need for adherence to CONSORT criteria for reporting randomized controlled clinical trials is emphasized.","container-title":"Pediatric Nephrology (Berlin, Germany)","DOI":"10.1007/s00467-015-3286-0","ISSN":"1432-198X","issue":"4","journalAbbreviation":"Pediatr Nephrol","language":"eng","note":"PMID: 26712382","page":"519-522","source":"PubMed","title":"Should we stop dosing steroids per body surface area for nephrotics?","volume":"31","author":[{"family":"Filler","given":"Guido"},{"family":"Robinson","given":"Lisa A."}],"issued":{"date-parts":[["2016",4]]}}},{"id":299,"uris":["http://zotero.org/users/local/lvPLY4Gu/items/S62GINI8"],"itemData":{"id":299,"type":"article-journal","abstract":"Although prednisone is the treatment of choice for nephrotic syndrome (NS) in childhood, the dosing regimen varies between 60 mg/m(2)/day, as recommended in early studies, to the often prescribed 2 mg/kg/day dose, which is used in common practice. Mathematical models have demonstrated that weight-based dosing can be less than body surface area (BSA)-based dosing in smaller children. To test our hypothesis that weight-based dosing would result in altered treatment outcomes in children with NS, we analyzed a cohort of 56 children (mean age 5.4 ± 3.8 years) treated with a weight-based dosing regimen. Theoretical underdosing of corticosteroids was tested by calculating a relative underdosing percentage (RUP), which was defined as the dose difference between the theoretical BSA-based dose and the actual weight-based doses divided by the BSA-based dose × 100. We found that the mean \"actual\" prednisone dose in our patients was 43.6 ± 19.3 mg/day; in contrast, the mean theoretical BSA-based dose was calculated to be 48.8 ± 16.7 mg/day. Among the 56 patients, 43 (76.7%) were initial responders, of whom 58% followed a frequently relapsing (FR) course. RUP was significantly higher in FR (16.6 ± 7.9%) than in infrequent relapsers (8.7 ± 9.8%) (P = 0.03). RUP was not significantly different among initial responders and nonresponders. Based on these results, we conclude that prednisone underdosing, when dosing is prescribed according to weight, does not affect the initial response to treatment, but it does increase the likelihood of a FR course in responders.","container-title":"Pediatric Nephrology (Berlin, Germany)","DOI":"10.1007/s00467-011-1961-3","ISSN":"1432-198X","issue":"12","journalAbbreviation":"Pediatr Nephrol","language":"eng","note":"PMID: 21769641","page":"2167-2171","source":"PubMed","title":"Weight or body surface area dosing of steroids in nephrotic syndrome: is there an outcome difference?","title-short":"Weight or body surface area dosing of steroids in nephrotic syndrome","volume":"26","author":[{"family":"Saadeh","given":"Sermin A."},{"family":"Baracco","given":"Rossana"},{"family":"Jain","given":"Amrish"},{"family":"Kapur","given":"Gaurav"},{"family":"Mattoo","given":"Tej K."},{"family":"Valentini","given":"Rudolph P."}],"issued":{"date-parts":[["2011",12]]}}}],"schema":"https://github.com/citation-style-language/schema/raw/master/csl-citation.json"} </w:instrText>
      </w:r>
      <w:r w:rsidR="00197076">
        <w:rPr>
          <w:rFonts w:eastAsia="Arial" w:cstheme="minorHAnsi"/>
          <w:sz w:val="22"/>
          <w:szCs w:val="22"/>
          <w:lang w:val="en" w:eastAsia="en-GB"/>
        </w:rPr>
        <w:fldChar w:fldCharType="separate"/>
      </w:r>
      <w:r w:rsidR="00642970" w:rsidRPr="00642970">
        <w:rPr>
          <w:rFonts w:ascii="Calibri" w:cs="Calibri"/>
          <w:sz w:val="22"/>
        </w:rPr>
        <w:t>(123–125)</w:t>
      </w:r>
      <w:r w:rsidR="00197076">
        <w:rPr>
          <w:rFonts w:eastAsia="Arial" w:cstheme="minorHAnsi"/>
          <w:sz w:val="22"/>
          <w:szCs w:val="22"/>
          <w:lang w:val="en" w:eastAsia="en-GB"/>
        </w:rPr>
        <w:fldChar w:fldCharType="end"/>
      </w:r>
      <w:r w:rsidR="00197076">
        <w:rPr>
          <w:rFonts w:eastAsia="Arial" w:cstheme="minorHAnsi"/>
          <w:sz w:val="22"/>
          <w:szCs w:val="22"/>
          <w:lang w:val="en" w:eastAsia="en-GB"/>
        </w:rPr>
        <w:t>.</w:t>
      </w:r>
      <w:r w:rsidRPr="00117750">
        <w:rPr>
          <w:rFonts w:eastAsia="Arial" w:cstheme="minorHAnsi"/>
          <w:sz w:val="22"/>
          <w:szCs w:val="22"/>
          <w:lang w:val="en" w:eastAsia="en-GB"/>
        </w:rPr>
        <w:t xml:space="preserve"> </w:t>
      </w:r>
      <w:r w:rsidR="00375CA8">
        <w:rPr>
          <w:rFonts w:eastAsia="Arial" w:cstheme="minorHAnsi"/>
          <w:sz w:val="22"/>
          <w:szCs w:val="22"/>
          <w:lang w:val="en" w:eastAsia="en-GB"/>
        </w:rPr>
        <w:t>F</w:t>
      </w:r>
      <w:r w:rsidRPr="00117750">
        <w:rPr>
          <w:rFonts w:eastAsia="Arial" w:cstheme="minorHAnsi"/>
          <w:sz w:val="22"/>
          <w:szCs w:val="22"/>
          <w:lang w:val="en" w:eastAsia="en-GB"/>
        </w:rPr>
        <w:t xml:space="preserve">or very small children, </w:t>
      </w:r>
      <w:r w:rsidR="009B43F9">
        <w:rPr>
          <w:rFonts w:eastAsia="Arial" w:cstheme="minorHAnsi"/>
          <w:sz w:val="22"/>
          <w:szCs w:val="22"/>
          <w:lang w:val="en" w:eastAsia="en-GB"/>
        </w:rPr>
        <w:t>b</w:t>
      </w:r>
      <w:r w:rsidRPr="00117750">
        <w:rPr>
          <w:rFonts w:eastAsia="Arial" w:cstheme="minorHAnsi"/>
          <w:sz w:val="22"/>
          <w:szCs w:val="22"/>
          <w:lang w:val="en" w:eastAsia="en-GB"/>
        </w:rPr>
        <w:t xml:space="preserve">ody surface area dosage calculation </w:t>
      </w:r>
      <w:r w:rsidR="00375CA8">
        <w:rPr>
          <w:rFonts w:eastAsia="Arial" w:cstheme="minorHAnsi"/>
          <w:sz w:val="22"/>
          <w:szCs w:val="22"/>
          <w:lang w:val="en" w:eastAsia="en-GB"/>
        </w:rPr>
        <w:t>are more precise</w:t>
      </w:r>
      <w:r w:rsidR="00197076">
        <w:rPr>
          <w:rFonts w:eastAsia="Arial" w:cstheme="minorHAnsi"/>
          <w:sz w:val="22"/>
          <w:szCs w:val="22"/>
          <w:lang w:val="en" w:eastAsia="en-GB"/>
        </w:rPr>
        <w:t xml:space="preserve"> </w:t>
      </w:r>
      <w:r w:rsidR="00197076">
        <w:rPr>
          <w:rFonts w:eastAsia="Arial" w:cstheme="minorHAnsi"/>
          <w:sz w:val="22"/>
          <w:szCs w:val="22"/>
          <w:lang w:val="en" w:eastAsia="en-GB"/>
        </w:rPr>
        <w:fldChar w:fldCharType="begin"/>
      </w:r>
      <w:r w:rsidR="00642970">
        <w:rPr>
          <w:rFonts w:eastAsia="Arial" w:cstheme="minorHAnsi"/>
          <w:sz w:val="22"/>
          <w:szCs w:val="22"/>
          <w:lang w:val="en" w:eastAsia="en-GB"/>
        </w:rPr>
        <w:instrText xml:space="preserve"> ADDIN ZOTERO_ITEM CSL_CITATION {"citationID":"IFKH59FB","properties":{"formattedCitation":"(126)","plainCitation":"(126)","noteIndex":0},"citationItems":[{"id":301,"uris":["http://zotero.org/users/local/lvPLY4Gu/items/GHW6IFZ3"],"itemData":{"id":301,"type":"article-journal","abstract":"The use of corticosteroids in the treatment of steroid-sensitive nephrotic (SSNS) syndrome in children has evolved surprisingly slowly since the ISKDC consensus over 50 years ago. From a move towards longer courses of corticosteroid to treat the first episode in the 1990s and 2000s, more recent large, well-designed randomized controlled trials (RCTs) have unequivocally shown no benefit from an extended course, although doubt remains whether this applies across all age groups. With regard to prevention of relapses, daily ultra-low-dose prednisolone has recently been shown to be more effective than low-dose alternate-day prednisolone. Daily low-dose prednisolone for a week at the time of acute viral infection seems to be effective in the prevention of relapses but the results of a larger RCT are awaited. Recently, corticosteroid dosing to treat relapses has been questioned, with data suggesting lower doses may be as effective. The need for large RCTs to address the question of whether corticosteroid doses can be reduced was the conclusion of the authors of the recent corticosteroid therapy for nephrotic syndrome in children Cochrane update. This review summarizes development in thinking on corticosteroid use in SSNS and makes suggestions for areas that merit further scrutiny.","container-title":"Pediatric Nephrology (Berlin, Germany)","DOI":"10.1007/s00467-021-04985-1","ISSN":"1432-198X","issue":"1","journalAbbreviation":"Pediatr Nephrol","language":"eng","note":"PMID: 33611671\nPMCID: PMC7896825","page":"37-47","source":"PubMed","title":"Optimizing the corticosteroid dose in steroid-sensitive nephrotic syndrome","volume":"37","author":[{"family":"Christian","given":"Martin T."},{"family":"Maxted","given":"Andrew P."}],"issued":{"date-parts":[["2022",1]]}}}],"schema":"https://github.com/citation-style-language/schema/raw/master/csl-citation.json"} </w:instrText>
      </w:r>
      <w:r w:rsidR="00197076">
        <w:rPr>
          <w:rFonts w:eastAsia="Arial" w:cstheme="minorHAnsi"/>
          <w:sz w:val="22"/>
          <w:szCs w:val="22"/>
          <w:lang w:val="en" w:eastAsia="en-GB"/>
        </w:rPr>
        <w:fldChar w:fldCharType="separate"/>
      </w:r>
      <w:r w:rsidR="00642970">
        <w:rPr>
          <w:rFonts w:eastAsia="Arial" w:cstheme="minorHAnsi"/>
          <w:noProof/>
          <w:sz w:val="22"/>
          <w:szCs w:val="22"/>
          <w:lang w:val="en" w:eastAsia="en-GB"/>
        </w:rPr>
        <w:t>(126)</w:t>
      </w:r>
      <w:r w:rsidR="00197076">
        <w:rPr>
          <w:rFonts w:eastAsia="Arial" w:cstheme="minorHAnsi"/>
          <w:sz w:val="22"/>
          <w:szCs w:val="22"/>
          <w:lang w:val="en" w:eastAsia="en-GB"/>
        </w:rPr>
        <w:fldChar w:fldCharType="end"/>
      </w:r>
      <w:r w:rsidR="00197076">
        <w:rPr>
          <w:rFonts w:eastAsia="Arial" w:cstheme="minorHAnsi"/>
          <w:sz w:val="22"/>
          <w:szCs w:val="22"/>
          <w:lang w:val="en" w:eastAsia="en-GB"/>
        </w:rPr>
        <w:t>.</w:t>
      </w:r>
      <w:r w:rsidRPr="00117750">
        <w:rPr>
          <w:rFonts w:eastAsia="Arial" w:cstheme="minorHAnsi"/>
          <w:sz w:val="22"/>
          <w:szCs w:val="22"/>
          <w:lang w:val="en" w:eastAsia="en-GB"/>
        </w:rPr>
        <w:t xml:space="preserve">  </w:t>
      </w:r>
      <w:r w:rsidR="004D5D9F">
        <w:rPr>
          <w:rFonts w:eastAsia="Arial" w:cstheme="minorHAnsi"/>
          <w:sz w:val="22"/>
          <w:szCs w:val="22"/>
          <w:lang w:val="en" w:eastAsia="en-GB"/>
        </w:rPr>
        <w:t xml:space="preserve"> </w:t>
      </w:r>
    </w:p>
    <w:p w14:paraId="18029DEF" w14:textId="52C49E0D" w:rsidR="001D1F02" w:rsidRPr="00117750" w:rsidRDefault="001630D4" w:rsidP="003F494F">
      <w:pPr>
        <w:spacing w:before="240" w:after="240" w:line="360" w:lineRule="auto"/>
        <w:jc w:val="both"/>
        <w:rPr>
          <w:rFonts w:eastAsia="Arial" w:cstheme="minorHAnsi"/>
          <w:sz w:val="22"/>
          <w:szCs w:val="22"/>
          <w:lang w:val="en" w:eastAsia="en-GB"/>
        </w:rPr>
      </w:pPr>
      <w:r w:rsidRPr="00117750">
        <w:rPr>
          <w:rFonts w:eastAsia="Arial" w:cstheme="minorHAnsi"/>
          <w:sz w:val="22"/>
          <w:szCs w:val="22"/>
          <w:lang w:val="en" w:eastAsia="en-GB"/>
        </w:rPr>
        <w:t>Endocrinologists have</w:t>
      </w:r>
      <w:r w:rsidR="00443B8A">
        <w:rPr>
          <w:rFonts w:eastAsia="Arial" w:cstheme="minorHAnsi"/>
          <w:sz w:val="22"/>
          <w:szCs w:val="22"/>
          <w:lang w:val="en" w:eastAsia="en-GB"/>
        </w:rPr>
        <w:t xml:space="preserve"> strongly advocated for the avoidance of</w:t>
      </w:r>
      <w:r w:rsidRPr="00117750">
        <w:rPr>
          <w:rFonts w:eastAsia="Arial" w:cstheme="minorHAnsi"/>
          <w:sz w:val="22"/>
          <w:szCs w:val="22"/>
          <w:lang w:val="en" w:eastAsia="en-GB"/>
        </w:rPr>
        <w:t xml:space="preserve"> abrupt discontinuation of corticosteroids after </w:t>
      </w:r>
      <w:r w:rsidR="009B43F9">
        <w:rPr>
          <w:rFonts w:eastAsia="Arial" w:cstheme="minorHAnsi"/>
          <w:sz w:val="22"/>
          <w:szCs w:val="22"/>
          <w:lang w:val="en" w:eastAsia="en-GB"/>
        </w:rPr>
        <w:t xml:space="preserve">this treatment course </w:t>
      </w:r>
      <w:r w:rsidR="00443B8A">
        <w:rPr>
          <w:rFonts w:eastAsia="Arial" w:cstheme="minorHAnsi"/>
          <w:sz w:val="22"/>
          <w:szCs w:val="22"/>
          <w:lang w:val="en" w:eastAsia="en-GB"/>
        </w:rPr>
        <w:t>due to the risk of</w:t>
      </w:r>
      <w:r w:rsidRPr="00117750">
        <w:rPr>
          <w:rFonts w:eastAsia="Arial" w:cstheme="minorHAnsi"/>
          <w:sz w:val="22"/>
          <w:szCs w:val="22"/>
          <w:lang w:val="en" w:eastAsia="en-GB"/>
        </w:rPr>
        <w:t xml:space="preserve"> acute adrenal insufficiency</w:t>
      </w:r>
      <w:r w:rsidR="00443B8A">
        <w:rPr>
          <w:rFonts w:eastAsia="Arial" w:cstheme="minorHAnsi"/>
          <w:sz w:val="22"/>
          <w:szCs w:val="22"/>
          <w:lang w:val="en" w:eastAsia="en-GB"/>
        </w:rPr>
        <w:t xml:space="preserve"> reported in adults with other diseases </w:t>
      </w:r>
      <w:r w:rsidR="00443B8A">
        <w:rPr>
          <w:rFonts w:eastAsia="Arial" w:cstheme="minorHAnsi"/>
          <w:sz w:val="22"/>
          <w:szCs w:val="22"/>
          <w:lang w:val="en" w:eastAsia="en-GB"/>
        </w:rPr>
        <w:fldChar w:fldCharType="begin"/>
      </w:r>
      <w:r w:rsidR="00642970">
        <w:rPr>
          <w:rFonts w:eastAsia="Arial" w:cstheme="minorHAnsi"/>
          <w:sz w:val="22"/>
          <w:szCs w:val="22"/>
          <w:lang w:val="en" w:eastAsia="en-GB"/>
        </w:rPr>
        <w:instrText xml:space="preserve"> ADDIN ZOTERO_ITEM CSL_CITATION {"citationID":"UBb3hYrV","properties":{"formattedCitation":"(127)","plainCitation":"(127)","noteIndex":0},"citationItems":[{"id":304,"uris":["http://zotero.org/users/local/lvPLY4Gu/items/FUZAXGTJ"],"itemData":{"id":304,"type":"article-journal","abstract":"Adrenal insufficiency (AI) is an often-unrecognised endocrine disorder, which can lead to adrenal crisis and death if not identified and treated. Omission of steroids in patients with AI, particularly during physiological stress such as an intercurrent illness or surgery, can also lead to an adrenal crisis. The National Reporting and Learning System (NRLS) identified 78 incidents including two deaths and six incidents of severe harm to patients in a recent 4-year period. This guidance will go through causes of adrenal insufficiency, groups at risk of an adrenal crisis, emergency management and management for surgical procedures. A new NHS Steroid Emergency Card has been developed to be carried by patients at risk of adrenal crisis. We hope the new emergency card and this guidance will increase awareness of the need to start steroids promptly in patients at risk of an adrenal crisis, particularly those presenting in the emergency department or to acute medicine teams and those undergoing surgery or invasive procedures.","container-title":"Clinical Medicine (London, England)","DOI":"10.7861/clinmed.2019-0324","ISSN":"1473-4893","issue":"4","journalAbbreviation":"Clin Med (Lond)","language":"eng","note":"PMID: 32675141\nPMCID: PMC7385786","page":"371-378","source":"PubMed","title":"Guidance for the prevention and emergency management of adult patients with adrenal insufficiency","volume":"20","author":[{"family":"Simpson","given":"Helen"},{"family":"Tomlinson","given":"Jeremy"},{"family":"Wass","given":"John"},{"family":"Dean","given":"John"},{"family":"Arlt","given":"Wiebke"}],"issued":{"date-parts":[["2020",7]]}}}],"schema":"https://github.com/citation-style-language/schema/raw/master/csl-citation.json"} </w:instrText>
      </w:r>
      <w:r w:rsidR="00443B8A">
        <w:rPr>
          <w:rFonts w:eastAsia="Arial" w:cstheme="minorHAnsi"/>
          <w:sz w:val="22"/>
          <w:szCs w:val="22"/>
          <w:lang w:val="en" w:eastAsia="en-GB"/>
        </w:rPr>
        <w:fldChar w:fldCharType="separate"/>
      </w:r>
      <w:r w:rsidR="00642970">
        <w:rPr>
          <w:rFonts w:eastAsia="Arial" w:cstheme="minorHAnsi"/>
          <w:noProof/>
          <w:sz w:val="22"/>
          <w:szCs w:val="22"/>
          <w:lang w:val="en" w:eastAsia="en-GB"/>
        </w:rPr>
        <w:t>(127)</w:t>
      </w:r>
      <w:r w:rsidR="00443B8A">
        <w:rPr>
          <w:rFonts w:eastAsia="Arial" w:cstheme="minorHAnsi"/>
          <w:sz w:val="22"/>
          <w:szCs w:val="22"/>
          <w:lang w:val="en" w:eastAsia="en-GB"/>
        </w:rPr>
        <w:fldChar w:fldCharType="end"/>
      </w:r>
      <w:r w:rsidRPr="00117750">
        <w:rPr>
          <w:rFonts w:eastAsia="Arial" w:cstheme="minorHAnsi"/>
          <w:sz w:val="22"/>
          <w:szCs w:val="22"/>
          <w:lang w:val="en" w:eastAsia="en-GB"/>
        </w:rPr>
        <w:t>.  Th</w:t>
      </w:r>
      <w:r w:rsidR="00D20CBA">
        <w:rPr>
          <w:rFonts w:eastAsia="Arial" w:cstheme="minorHAnsi"/>
          <w:sz w:val="22"/>
          <w:szCs w:val="22"/>
          <w:lang w:val="en" w:eastAsia="en-GB"/>
        </w:rPr>
        <w:t>ese concerns</w:t>
      </w:r>
      <w:r w:rsidRPr="00117750">
        <w:rPr>
          <w:rFonts w:eastAsia="Arial" w:cstheme="minorHAnsi"/>
          <w:sz w:val="22"/>
          <w:szCs w:val="22"/>
          <w:lang w:val="en" w:eastAsia="en-GB"/>
        </w:rPr>
        <w:t xml:space="preserve"> </w:t>
      </w:r>
      <w:r w:rsidR="00443B8A">
        <w:rPr>
          <w:rFonts w:eastAsia="Arial" w:cstheme="minorHAnsi"/>
          <w:sz w:val="22"/>
          <w:szCs w:val="22"/>
          <w:lang w:val="en" w:eastAsia="en-GB"/>
        </w:rPr>
        <w:t xml:space="preserve">have </w:t>
      </w:r>
      <w:r w:rsidRPr="00117750">
        <w:rPr>
          <w:rFonts w:eastAsia="Arial" w:cstheme="minorHAnsi"/>
          <w:sz w:val="22"/>
          <w:szCs w:val="22"/>
          <w:lang w:val="en" w:eastAsia="en-GB"/>
        </w:rPr>
        <w:t xml:space="preserve">led to </w:t>
      </w:r>
      <w:r w:rsidR="00443B8A">
        <w:rPr>
          <w:rFonts w:eastAsia="Arial" w:cstheme="minorHAnsi"/>
          <w:sz w:val="22"/>
          <w:szCs w:val="22"/>
          <w:lang w:val="en" w:eastAsia="en-GB"/>
        </w:rPr>
        <w:t xml:space="preserve">national </w:t>
      </w:r>
      <w:r w:rsidRPr="00117750">
        <w:rPr>
          <w:rFonts w:eastAsia="Arial" w:cstheme="minorHAnsi"/>
          <w:sz w:val="22"/>
          <w:szCs w:val="22"/>
          <w:lang w:val="en" w:eastAsia="en-GB"/>
        </w:rPr>
        <w:t xml:space="preserve">guidance from the Neonatal and </w:t>
      </w:r>
      <w:proofErr w:type="spellStart"/>
      <w:r w:rsidRPr="00117750">
        <w:rPr>
          <w:rFonts w:eastAsia="Arial" w:cstheme="minorHAnsi"/>
          <w:sz w:val="22"/>
          <w:szCs w:val="22"/>
          <w:lang w:val="en" w:eastAsia="en-GB"/>
        </w:rPr>
        <w:t>Paediatric</w:t>
      </w:r>
      <w:proofErr w:type="spellEnd"/>
      <w:r w:rsidRPr="00117750">
        <w:rPr>
          <w:rFonts w:eastAsia="Arial" w:cstheme="minorHAnsi"/>
          <w:sz w:val="22"/>
          <w:szCs w:val="22"/>
          <w:lang w:val="en" w:eastAsia="en-GB"/>
        </w:rPr>
        <w:t xml:space="preserve"> Pharmacists Group (NPPG) </w:t>
      </w:r>
      <w:r w:rsidR="00443B8A">
        <w:rPr>
          <w:rFonts w:eastAsia="Arial" w:cstheme="minorHAnsi"/>
          <w:sz w:val="22"/>
          <w:szCs w:val="22"/>
          <w:lang w:val="en" w:eastAsia="en-GB"/>
        </w:rPr>
        <w:t xml:space="preserve">providing </w:t>
      </w:r>
      <w:r w:rsidRPr="00117750">
        <w:rPr>
          <w:rFonts w:eastAsia="Arial" w:cstheme="minorHAnsi"/>
          <w:sz w:val="22"/>
          <w:szCs w:val="22"/>
          <w:lang w:val="en" w:eastAsia="en-GB"/>
        </w:rPr>
        <w:t xml:space="preserve">caution against abrupt discontinuation </w:t>
      </w:r>
      <w:r w:rsidR="00443B8A">
        <w:rPr>
          <w:rFonts w:eastAsia="Arial" w:cstheme="minorHAnsi"/>
          <w:sz w:val="22"/>
          <w:szCs w:val="22"/>
          <w:lang w:val="en" w:eastAsia="en-GB"/>
        </w:rPr>
        <w:t>for all indications</w:t>
      </w:r>
      <w:r w:rsidRPr="00117750">
        <w:rPr>
          <w:rFonts w:eastAsia="Arial" w:cstheme="minorHAnsi"/>
          <w:sz w:val="22"/>
          <w:szCs w:val="22"/>
          <w:lang w:val="en" w:eastAsia="en-GB"/>
        </w:rPr>
        <w:t>.  Despite the ISKDC regimen being in use for more than 50 years, th</w:t>
      </w:r>
      <w:r w:rsidR="00D20CBA">
        <w:rPr>
          <w:rFonts w:eastAsia="Arial" w:cstheme="minorHAnsi"/>
          <w:sz w:val="22"/>
          <w:szCs w:val="22"/>
          <w:lang w:val="en" w:eastAsia="en-GB"/>
        </w:rPr>
        <w:t>ese concerns are</w:t>
      </w:r>
      <w:r w:rsidRPr="00117750">
        <w:rPr>
          <w:rFonts w:eastAsia="Arial" w:cstheme="minorHAnsi"/>
          <w:sz w:val="22"/>
          <w:szCs w:val="22"/>
          <w:lang w:val="en" w:eastAsia="en-GB"/>
        </w:rPr>
        <w:t xml:space="preserve"> not well-described in children with SSNS</w:t>
      </w:r>
      <w:r w:rsidR="00D20CBA">
        <w:rPr>
          <w:rFonts w:eastAsia="Arial" w:cstheme="minorHAnsi"/>
          <w:sz w:val="22"/>
          <w:szCs w:val="22"/>
          <w:lang w:val="en" w:eastAsia="en-GB"/>
        </w:rPr>
        <w:t xml:space="preserve"> and</w:t>
      </w:r>
      <w:r w:rsidR="00104C86">
        <w:rPr>
          <w:rFonts w:eastAsia="Arial" w:cstheme="minorHAnsi"/>
          <w:sz w:val="22"/>
          <w:szCs w:val="22"/>
          <w:lang w:val="en" w:eastAsia="en-GB"/>
        </w:rPr>
        <w:t xml:space="preserve"> in</w:t>
      </w:r>
      <w:r w:rsidRPr="00117750">
        <w:rPr>
          <w:rFonts w:eastAsia="Arial" w:cstheme="minorHAnsi"/>
          <w:sz w:val="22"/>
          <w:szCs w:val="22"/>
          <w:lang w:val="en" w:eastAsia="en-GB"/>
        </w:rPr>
        <w:t xml:space="preserve"> the PREDNOS trial where corticosteroid adverse effects were systematically recorded</w:t>
      </w:r>
      <w:r w:rsidR="0013090F">
        <w:rPr>
          <w:rFonts w:eastAsia="Arial" w:cstheme="minorHAnsi"/>
          <w:sz w:val="22"/>
          <w:szCs w:val="22"/>
          <w:lang w:val="en" w:eastAsia="en-GB"/>
        </w:rPr>
        <w:t xml:space="preserve"> </w:t>
      </w:r>
      <w:r w:rsidR="00D20CBA">
        <w:rPr>
          <w:rFonts w:eastAsia="Arial" w:cstheme="minorHAnsi"/>
          <w:sz w:val="22"/>
          <w:szCs w:val="22"/>
          <w:lang w:val="en" w:eastAsia="en-GB"/>
        </w:rPr>
        <w:t>there were no cases of</w:t>
      </w:r>
      <w:r w:rsidRPr="00117750">
        <w:rPr>
          <w:rFonts w:eastAsia="Arial" w:cstheme="minorHAnsi"/>
          <w:sz w:val="22"/>
          <w:szCs w:val="22"/>
          <w:lang w:val="en" w:eastAsia="en-GB"/>
        </w:rPr>
        <w:t xml:space="preserve"> adrenal insufficiency</w:t>
      </w:r>
      <w:r w:rsidR="0013090F">
        <w:rPr>
          <w:rFonts w:eastAsia="Arial" w:cstheme="minorHAnsi"/>
          <w:sz w:val="22"/>
          <w:szCs w:val="22"/>
          <w:lang w:val="en" w:eastAsia="en-GB"/>
        </w:rPr>
        <w:t xml:space="preserve"> </w:t>
      </w:r>
      <w:r w:rsidR="0013090F">
        <w:rPr>
          <w:rFonts w:eastAsia="Arial" w:cstheme="minorHAnsi"/>
          <w:sz w:val="22"/>
          <w:szCs w:val="22"/>
          <w:lang w:val="en" w:eastAsia="en-GB"/>
        </w:rPr>
        <w:fldChar w:fldCharType="begin"/>
      </w:r>
      <w:r w:rsidR="00642970">
        <w:rPr>
          <w:rFonts w:eastAsia="Arial" w:cstheme="minorHAnsi"/>
          <w:sz w:val="22"/>
          <w:szCs w:val="22"/>
          <w:lang w:val="en" w:eastAsia="en-GB"/>
        </w:rPr>
        <w:instrText xml:space="preserve"> ADDIN ZOTERO_ITEM CSL_CITATION {"citationID":"QBreGb0c","properties":{"formattedCitation":"(128)","plainCitation":"(128)","noteIndex":0},"citationItems":[{"id":307,"uris":["http://zotero.org/users/local/lvPLY4Gu/items/2HBKA4B5"],"itemData":{"id":307,"type":"article-journal","abstract":"OBJECTIVE: To determine whether extending initial prednisolone treatment from eight to 16 weeks in children with idiopathic steroid sensitive nephrotic syndrome improves the pattern of disease relapse.\nDESIGN: Double blind, parallel group, phase III randomised placebo controlled trial, including a cost effectiveness analysis.\nSETTING: 125 UK National Health Service district general hospitals and tertiary paediatric nephrology centres.\nPARTICIPANTS: 237 children aged 1-14 years with a first episode of steroid sensitive nephrotic syndrome.\nINTERVENTIONS: Children were randomised to receive an extended 16 week course of prednisolone (total dose 3150 mg/m2) or a standard eight week course of prednisolone (total dose 2240 mg/m2). The drug was supplied as 5 mg tablets alongside matching placebo so that participants in both groups received the same number of tablets at any time point in the study. A minimisation algorithm ensured balanced treatment allocation by ethnicity (South Asian, white, or other) and age (5 years or less, 6 years or more).\nMAIN OUTCOME MEASURES: The primary outcome measure was time to first relapse over a minimum follow-up of 24 months. Secondary outcome measures were relapse rate, incidence of frequently relapsing nephrotic syndrome and steroid dependent nephrotic syndrome, use of alternative immunosuppressive treatment, rates of adverse events, behavioural change using the Achenbach child behaviour checklist, quality adjusted life years, and cost effectiveness from a healthcare perspective. Analysis was by intention to treat.\nRESULTS: No significant difference was found in time to first relapse (hazard ratio 0.87, 95% confidence interval 0.65 to 1.17, log rank P=0.28) or in the incidence of frequently relapsing nephrotic syndrome (extended course 60/114 (53%) v standard course 55/109 (50%), P=0.75), steroid dependent nephrotic syndrome (48/114 (42%) v 48/109 (44%), P=0.77), or requirement for alternative immunosuppressive treatment (62/114 (54%) v 61/109 (56%), P=0.81). Total prednisolone dose after completion of the trial drug was 6674 mg for the extended course versus 5475 mg for the standard course (P=0.07). There were no statistically significant differences in serious adverse event rates (extended course 19/114 (17%) v standard course 27/109 (25%), P=0.13) or adverse event rates, with the exception of behaviour, which was poorer in the standard course group. Scores on the Achenbach child behaviour checklist did not, however, differ. Extended course treatment was associated with a mean increase in generic quality of life (0.0162 additional quality adjusted life years, 95% confidence interval -0.005 to 0.037) and cost savings (difference -£1673 ($2160; €1930), 95% confidence interval -£3455 to £109).\nCONCLUSIONS: Clinical outcomes did not improve when the initial course of prednisolone treatment was extended from eight to 16 weeks in UK children with steroid sensitive nephrotic syndrome. However, evidence was found of a short term health economic benefit through reduced resource use and increased quality of life.\nTRIAL REGISTRATION: ISRCTN16645249; EudraCT 2010-022489-29.","container-title":"BMJ (Clinical research ed.)","DOI":"10.1136/bmj.l1800","ISSN":"1756-1833","journalAbbreviation":"BMJ","language":"eng","note":"PMID: 31335316\nPMCID: PMC6531851","page":"l1800","source":"PubMed","title":"Long term tapering versus standard prednisolone treatment for first episode of childhood nephrotic syndrome: phase III randomised controlled trial and economic evaluation","title-short":"Long term tapering versus standard prednisolone treatment for first episode of childhood nephrotic syndrome","volume":"365","author":[{"family":"Webb","given":"Nicholas J. A."},{"family":"Woolley","given":"Rebecca L."},{"family":"Lambe","given":"Tosin"},{"family":"Frew","given":"Emma"},{"family":"Brettell","given":"Elizabeth A."},{"family":"Barsoum","given":"Emma N."},{"family":"Trompeter","given":"Richard S."},{"family":"Cummins","given":"Carole"},{"family":"Deeks","given":"Jonathan J."},{"family":"Wheatley","given":"Keith"},{"family":"Ives","given":"Natalie J."},{"literal":"PREDNOS Collaborative Group"}],"issued":{"date-parts":[["2019",5,23]]}}}],"schema":"https://github.com/citation-style-language/schema/raw/master/csl-citation.json"} </w:instrText>
      </w:r>
      <w:r w:rsidR="0013090F">
        <w:rPr>
          <w:rFonts w:eastAsia="Arial" w:cstheme="minorHAnsi"/>
          <w:sz w:val="22"/>
          <w:szCs w:val="22"/>
          <w:lang w:val="en" w:eastAsia="en-GB"/>
        </w:rPr>
        <w:fldChar w:fldCharType="separate"/>
      </w:r>
      <w:r w:rsidR="00642970">
        <w:rPr>
          <w:rFonts w:eastAsia="Arial" w:cstheme="minorHAnsi"/>
          <w:noProof/>
          <w:sz w:val="22"/>
          <w:szCs w:val="22"/>
          <w:lang w:val="en" w:eastAsia="en-GB"/>
        </w:rPr>
        <w:t>(128)</w:t>
      </w:r>
      <w:r w:rsidR="0013090F">
        <w:rPr>
          <w:rFonts w:eastAsia="Arial" w:cstheme="minorHAnsi"/>
          <w:sz w:val="22"/>
          <w:szCs w:val="22"/>
          <w:lang w:val="en" w:eastAsia="en-GB"/>
        </w:rPr>
        <w:fldChar w:fldCharType="end"/>
      </w:r>
      <w:r w:rsidR="0013090F">
        <w:rPr>
          <w:rFonts w:eastAsia="Arial" w:cstheme="minorHAnsi"/>
          <w:sz w:val="22"/>
          <w:szCs w:val="22"/>
          <w:lang w:val="en" w:eastAsia="en-GB"/>
        </w:rPr>
        <w:t>,</w:t>
      </w:r>
      <w:r w:rsidR="00D20CBA">
        <w:rPr>
          <w:rFonts w:eastAsia="Arial" w:cstheme="minorHAnsi"/>
          <w:sz w:val="22"/>
          <w:szCs w:val="22"/>
          <w:lang w:val="en" w:eastAsia="en-GB"/>
        </w:rPr>
        <w:t xml:space="preserve"> suggesting it is not a common phenomenon</w:t>
      </w:r>
      <w:r w:rsidRPr="00117750">
        <w:rPr>
          <w:rFonts w:eastAsia="Arial" w:cstheme="minorHAnsi"/>
          <w:sz w:val="22"/>
          <w:szCs w:val="22"/>
          <w:lang w:val="en" w:eastAsia="en-GB"/>
        </w:rPr>
        <w:t xml:space="preserve">. A British </w:t>
      </w:r>
      <w:proofErr w:type="spellStart"/>
      <w:r w:rsidRPr="00117750">
        <w:rPr>
          <w:rFonts w:eastAsia="Arial" w:cstheme="minorHAnsi"/>
          <w:sz w:val="22"/>
          <w:szCs w:val="22"/>
          <w:lang w:val="en" w:eastAsia="en-GB"/>
        </w:rPr>
        <w:t>Paediatric</w:t>
      </w:r>
      <w:proofErr w:type="spellEnd"/>
      <w:r w:rsidRPr="00117750">
        <w:rPr>
          <w:rFonts w:eastAsia="Arial" w:cstheme="minorHAnsi"/>
          <w:sz w:val="22"/>
          <w:szCs w:val="22"/>
          <w:lang w:val="en" w:eastAsia="en-GB"/>
        </w:rPr>
        <w:t xml:space="preserve"> Surveillance Unit (BPSU) survey on acute adrenal insufficiency between 2020 and 2022 is due to </w:t>
      </w:r>
      <w:r w:rsidR="009B43F9">
        <w:rPr>
          <w:rFonts w:eastAsia="Arial" w:cstheme="minorHAnsi"/>
          <w:sz w:val="22"/>
          <w:szCs w:val="22"/>
          <w:lang w:val="en" w:eastAsia="en-GB"/>
        </w:rPr>
        <w:t xml:space="preserve">be </w:t>
      </w:r>
      <w:r w:rsidRPr="00117750">
        <w:rPr>
          <w:rFonts w:eastAsia="Arial" w:cstheme="minorHAnsi"/>
          <w:sz w:val="22"/>
          <w:szCs w:val="22"/>
          <w:lang w:val="en" w:eastAsia="en-GB"/>
        </w:rPr>
        <w:t>publish</w:t>
      </w:r>
      <w:r w:rsidR="009B43F9">
        <w:rPr>
          <w:rFonts w:eastAsia="Arial" w:cstheme="minorHAnsi"/>
          <w:sz w:val="22"/>
          <w:szCs w:val="22"/>
          <w:lang w:val="en" w:eastAsia="en-GB"/>
        </w:rPr>
        <w:t>ed</w:t>
      </w:r>
      <w:r w:rsidRPr="00117750">
        <w:rPr>
          <w:rFonts w:eastAsia="Arial" w:cstheme="minorHAnsi"/>
          <w:sz w:val="22"/>
          <w:szCs w:val="22"/>
          <w:lang w:val="en" w:eastAsia="en-GB"/>
        </w:rPr>
        <w:t xml:space="preserve"> soon</w:t>
      </w:r>
      <w:r w:rsidR="009B43F9">
        <w:rPr>
          <w:rFonts w:eastAsia="Arial" w:cstheme="minorHAnsi"/>
          <w:sz w:val="22"/>
          <w:szCs w:val="22"/>
          <w:lang w:val="en" w:eastAsia="en-GB"/>
        </w:rPr>
        <w:t xml:space="preserve"> and this </w:t>
      </w:r>
      <w:r w:rsidR="00104C86">
        <w:rPr>
          <w:rFonts w:eastAsia="Arial" w:cstheme="minorHAnsi"/>
          <w:sz w:val="22"/>
          <w:szCs w:val="22"/>
          <w:lang w:val="en" w:eastAsia="en-GB"/>
        </w:rPr>
        <w:t xml:space="preserve">topic </w:t>
      </w:r>
      <w:r w:rsidR="00375CA8">
        <w:rPr>
          <w:rFonts w:eastAsia="Arial" w:cstheme="minorHAnsi"/>
          <w:sz w:val="22"/>
          <w:szCs w:val="22"/>
          <w:lang w:val="en" w:eastAsia="en-GB"/>
        </w:rPr>
        <w:t>has been highlighted as a priority</w:t>
      </w:r>
      <w:r w:rsidR="009B43F9">
        <w:rPr>
          <w:rFonts w:eastAsia="Arial" w:cstheme="minorHAnsi"/>
          <w:sz w:val="22"/>
          <w:szCs w:val="22"/>
          <w:lang w:val="en" w:eastAsia="en-GB"/>
        </w:rPr>
        <w:t xml:space="preserve"> area for research</w:t>
      </w:r>
      <w:r w:rsidRPr="00117750">
        <w:rPr>
          <w:rFonts w:eastAsia="Arial" w:cstheme="minorHAnsi"/>
          <w:sz w:val="22"/>
          <w:szCs w:val="22"/>
          <w:lang w:val="en" w:eastAsia="en-GB"/>
        </w:rPr>
        <w:t xml:space="preserve">. </w:t>
      </w:r>
      <w:r w:rsidR="00D20CBA">
        <w:rPr>
          <w:rFonts w:eastAsia="Arial" w:cstheme="minorHAnsi"/>
          <w:sz w:val="22"/>
          <w:szCs w:val="22"/>
          <w:lang w:val="en" w:eastAsia="en-GB"/>
        </w:rPr>
        <w:t>In the meantime, c</w:t>
      </w:r>
      <w:r w:rsidRPr="00117750">
        <w:rPr>
          <w:rFonts w:eastAsia="Arial" w:cstheme="minorHAnsi"/>
          <w:sz w:val="22"/>
          <w:szCs w:val="22"/>
          <w:lang w:val="en" w:eastAsia="en-GB"/>
        </w:rPr>
        <w:t xml:space="preserve">hildren should </w:t>
      </w:r>
      <w:r w:rsidR="009B43F9">
        <w:rPr>
          <w:rFonts w:eastAsia="Arial" w:cstheme="minorHAnsi"/>
          <w:sz w:val="22"/>
          <w:szCs w:val="22"/>
          <w:lang w:val="en" w:eastAsia="en-GB"/>
        </w:rPr>
        <w:t>b</w:t>
      </w:r>
      <w:r w:rsidRPr="00117750">
        <w:rPr>
          <w:rFonts w:eastAsia="Arial" w:cstheme="minorHAnsi"/>
          <w:sz w:val="22"/>
          <w:szCs w:val="22"/>
          <w:lang w:val="en" w:eastAsia="en-GB"/>
        </w:rPr>
        <w:t>e issued with a steroid card</w:t>
      </w:r>
      <w:r w:rsidR="00104C86">
        <w:rPr>
          <w:rFonts w:eastAsia="Arial" w:cstheme="minorHAnsi"/>
          <w:sz w:val="22"/>
          <w:szCs w:val="22"/>
          <w:lang w:val="en" w:eastAsia="en-GB"/>
        </w:rPr>
        <w:t xml:space="preserve"> and advised about this risk</w:t>
      </w:r>
      <w:r w:rsidRPr="00117750">
        <w:rPr>
          <w:rFonts w:eastAsia="Arial" w:cstheme="minorHAnsi"/>
          <w:sz w:val="22"/>
          <w:szCs w:val="22"/>
          <w:lang w:val="en" w:eastAsia="en-GB"/>
        </w:rPr>
        <w:t>.  Recent studies comparing whether prednisolone should be given as a single or divided dose for an initial episode of nephrotic syndrome</w:t>
      </w:r>
      <w:r w:rsidR="0013090F">
        <w:rPr>
          <w:rFonts w:eastAsia="Arial" w:cstheme="minorHAnsi"/>
          <w:sz w:val="22"/>
          <w:szCs w:val="22"/>
          <w:lang w:val="en" w:eastAsia="en-GB"/>
        </w:rPr>
        <w:t xml:space="preserve"> </w:t>
      </w:r>
      <w:r w:rsidR="0013090F">
        <w:rPr>
          <w:rFonts w:eastAsia="Arial" w:cstheme="minorHAnsi"/>
          <w:sz w:val="22"/>
          <w:szCs w:val="22"/>
          <w:lang w:val="en" w:eastAsia="en-GB"/>
        </w:rPr>
        <w:fldChar w:fldCharType="begin"/>
      </w:r>
      <w:r w:rsidR="00642970">
        <w:rPr>
          <w:rFonts w:eastAsia="Arial" w:cstheme="minorHAnsi"/>
          <w:sz w:val="22"/>
          <w:szCs w:val="22"/>
          <w:lang w:val="en" w:eastAsia="en-GB"/>
        </w:rPr>
        <w:instrText xml:space="preserve"> ADDIN ZOTERO_ITEM CSL_CITATION {"citationID":"bQYriOhV","properties":{"formattedCitation":"(129)","plainCitation":"(129)","noteIndex":0},"citationItems":[{"id":310,"uris":["http://zotero.org/users/local/lvPLY4Gu/items/AB3DFDVF"],"itemData":{"id":310,"type":"article-journal","abstract":"BACKGROUND: Early morning single-dose prednisolone has a hypothetical advantage of less hypothalamic-pituitary-adrenal (HPA) axis suppression, but lack of robust evidence has resulted in variation in practice, with divided-dose prednisolone still commonly used. We conducted this open-label randomized control trial to compare HPA axis suppression between single-dose or divided-dose prednisolone among children with first episode of nephrotic syndrome.\nMETHODS: Sixty children with first episode of nephrotic syndrome were randomized (1:1) to receive prednisolone (2 mg/kg per day), either as single or two divided doses for 6 weeks, followed by single alternative daily dose of 1.5 mg/kg for 6 weeks. The Short Synacthen Test was conducted at 6 weeks, with HPA suppression defined as postadrenocorticotropic hormone cortisol &lt;18 µ mg/dl.\nRESULTS: Four children (single=1 and divided dose=3) did not attend the Short Synacthen Test and were hence excluded from analysis. Remission was induced in all, and no relapse postremission was noted during the 6+6 weeks of steroid therapy. After 6 weeks of daily steroids, HPA suppression was greater in divided (100%) versus single dose (83%) ( P = 0.02). Time to remission and final relapse rates were similar, but for those children who relapsed within 6 months of follow-up period, time to first relapse was shorter for divided dose (median 28 versus 131 days) P = 0.002.\nCONCLUSIONS: Among children with first episode of nephrotic syndrome, single-dose and/or divided-dose prednisolone were equally effective in inducing remission with similar relapse rates, but single dose had less HPA suppression and longer time to first relapse.\nCLINICAL TRIAL REGISTRY NAME AND REGISTRATION NUMBER: CTRI/2021/11/037940.\nPODCAST: This article contains a podcast at https://dts.podtrac.com/redirect.mp3/www.asn-online.org/media/podcast/CJASN/2023_10_09_CJN0000000000000216.mp3.","container-title":"Clinical journal of the American Society of Nephrology: CJASN","DOI":"10.2215/CJN.0000000000000216","ISSN":"1555-905X","issue":"10","journalAbbreviation":"Clin J Am Soc Nephrol","language":"eng","note":"PMID: 37335578\nPMCID: PMC10578634","page":"1294-1299","source":"PubMed","title":"Single- versus Divided-Dose Prednisolone for the First Episode of Nephrotic Syndrome in Children: An Open-Label RCT","title-short":"Single- versus Divided-Dose Prednisolone for the First Episode of Nephrotic Syndrome in Children","volume":"18","author":[{"family":"Khan","given":"Tania"},{"family":"Akhtar","given":"Shakil"},{"family":"Mukherjee","given":"Devdeep"},{"family":"Basu","given":"Surupa"},{"family":"Tse","given":"Yincent"},{"family":"Sinha","given":"Rajiv"}],"issued":{"date-parts":[["2023",10,1]]}}}],"schema":"https://github.com/citation-style-language/schema/raw/master/csl-citation.json"} </w:instrText>
      </w:r>
      <w:r w:rsidR="0013090F">
        <w:rPr>
          <w:rFonts w:eastAsia="Arial" w:cstheme="minorHAnsi"/>
          <w:sz w:val="22"/>
          <w:szCs w:val="22"/>
          <w:lang w:val="en" w:eastAsia="en-GB"/>
        </w:rPr>
        <w:fldChar w:fldCharType="separate"/>
      </w:r>
      <w:r w:rsidR="00642970">
        <w:rPr>
          <w:rFonts w:eastAsia="Arial" w:cstheme="minorHAnsi"/>
          <w:noProof/>
          <w:sz w:val="22"/>
          <w:szCs w:val="22"/>
          <w:lang w:val="en" w:eastAsia="en-GB"/>
        </w:rPr>
        <w:t>(129)</w:t>
      </w:r>
      <w:r w:rsidR="0013090F">
        <w:rPr>
          <w:rFonts w:eastAsia="Arial" w:cstheme="minorHAnsi"/>
          <w:sz w:val="22"/>
          <w:szCs w:val="22"/>
          <w:lang w:val="en" w:eastAsia="en-GB"/>
        </w:rPr>
        <w:fldChar w:fldCharType="end"/>
      </w:r>
      <w:r w:rsidRPr="00117750">
        <w:rPr>
          <w:rFonts w:eastAsia="Arial" w:cstheme="minorHAnsi"/>
          <w:sz w:val="22"/>
          <w:szCs w:val="22"/>
          <w:lang w:val="en" w:eastAsia="en-GB"/>
        </w:rPr>
        <w:t xml:space="preserve"> and in relapse</w:t>
      </w:r>
      <w:r w:rsidR="0013090F">
        <w:rPr>
          <w:rFonts w:eastAsia="Arial" w:cstheme="minorHAnsi"/>
          <w:sz w:val="22"/>
          <w:szCs w:val="22"/>
          <w:lang w:val="en" w:eastAsia="en-GB"/>
        </w:rPr>
        <w:t xml:space="preserve"> </w:t>
      </w:r>
      <w:r w:rsidR="0013090F">
        <w:rPr>
          <w:rFonts w:eastAsia="Arial" w:cstheme="minorHAnsi"/>
          <w:sz w:val="22"/>
          <w:szCs w:val="22"/>
          <w:lang w:val="en" w:eastAsia="en-GB"/>
        </w:rPr>
        <w:fldChar w:fldCharType="begin"/>
      </w:r>
      <w:r w:rsidR="00642970">
        <w:rPr>
          <w:rFonts w:eastAsia="Arial" w:cstheme="minorHAnsi"/>
          <w:sz w:val="22"/>
          <w:szCs w:val="22"/>
          <w:lang w:val="en" w:eastAsia="en-GB"/>
        </w:rPr>
        <w:instrText xml:space="preserve"> ADDIN ZOTERO_ITEM CSL_CITATION {"citationID":"YW6o9RnQ","properties":{"formattedCitation":"(30)","plainCitation":"(30)","noteIndex":0},"citationItems":[{"id":72,"uris":["http://zotero.org/users/local/lvPLY4Gu/items/PIB2R6LK"],"itemData":{"id":72,"type":"article-journal","abstract":"Nephrotic syndrome is the commonest glomerular disease in childhood. It usually follows a relapsing and remitting course. Corticosteroids are the mainstay of treatment for both the first episode and subsequent relapses. This study was conducted at a single centre to compare the clinical response to a single dose vs. split dose of prednisolone in the treatment of relapses of childhood nephrotic syndrome. Children between the ages of 1 and 14 years admitted with a relapse of idiopathic steroid sensitive nephrotic syndrome from August 2019 to February 2020 were considered for recruitment. A block randomization method based on age was used for allocation. Patients randomised to group A received oral prednisolone at 60 mg/m2 as a single morning dose, while those randomised to group B received the same total dose as two divided doses, of which 2/3 was given in the morning and the rest in the evening. Treatment was continued until remission was achieved following which all patients were switched to alternate day prednisolone. An independent sample t test was used to compare the two groups. One hundred and four episodes of relapse occurring in 96 children were included of which 49 were treated with prednisolone as a split dose and 55 were treated with a single dose of prednisolone. The mean duration to achieve remission for the split-dose group was 8.02 days (SD 1.58) while it was 9.74 days (SD 3.72) for the single-dose group. This difference was statistically highly significant (t(102) = 3.004; p = 0.001; CI 0.58 to 2.86). There was no difference in the adverse events profile of the two groups.  Conclusion: The use of prednisolone as a split dose results in a shorter duration to achieve remission when compared to a single morning dose, resulting in a lower cumulative dose of prednisolone to achieve remission. What is Known: • Corticosteroids are the mainstay of treatment for childhood nephrotic syndrome. • Corticosteroids are given as a single dose in the morning to minimise adrenocortical suppression. What is New: • A more rapid attainment of remission can be achieved with a split dose of corticosteroids.","container-title":"European Journal of Pediatrics","DOI":"10.1007/s00431-023-04804-9","ISSN":"1432-1076","issue":"4","journalAbbreviation":"Eur J Pediatr","language":"eng","note":"PMID: 36757496","page":"1741-1747","source":"PubMed","title":"Single vs split dose of prednisolone in the treatment of relapses of childhood nephrotic syndrome","volume":"182","author":[{"family":"Weerasooriya","given":"W. a. L. K."},{"family":"Abeyagunawardena","given":"A. S."},{"family":"Thalgahagoda","given":"R. S."}],"issued":{"date-parts":[["2023",4]]}}}],"schema":"https://github.com/citation-style-language/schema/raw/master/csl-citation.json"} </w:instrText>
      </w:r>
      <w:r w:rsidR="0013090F">
        <w:rPr>
          <w:rFonts w:eastAsia="Arial" w:cstheme="minorHAnsi"/>
          <w:sz w:val="22"/>
          <w:szCs w:val="22"/>
          <w:lang w:val="en" w:eastAsia="en-GB"/>
        </w:rPr>
        <w:fldChar w:fldCharType="separate"/>
      </w:r>
      <w:r w:rsidR="00642970">
        <w:rPr>
          <w:rFonts w:eastAsia="Arial" w:cstheme="minorHAnsi"/>
          <w:noProof/>
          <w:sz w:val="22"/>
          <w:szCs w:val="22"/>
          <w:lang w:val="en" w:eastAsia="en-GB"/>
        </w:rPr>
        <w:t>(30)</w:t>
      </w:r>
      <w:r w:rsidR="0013090F">
        <w:rPr>
          <w:rFonts w:eastAsia="Arial" w:cstheme="minorHAnsi"/>
          <w:sz w:val="22"/>
          <w:szCs w:val="22"/>
          <w:lang w:val="en" w:eastAsia="en-GB"/>
        </w:rPr>
        <w:fldChar w:fldCharType="end"/>
      </w:r>
      <w:r w:rsidRPr="00117750">
        <w:rPr>
          <w:rFonts w:eastAsia="Arial" w:cstheme="minorHAnsi"/>
          <w:sz w:val="22"/>
          <w:szCs w:val="22"/>
          <w:lang w:val="en" w:eastAsia="en-GB"/>
        </w:rPr>
        <w:t xml:space="preserve"> do not add convincing evidence </w:t>
      </w:r>
      <w:r w:rsidR="00CA6C8A">
        <w:rPr>
          <w:rFonts w:eastAsia="Arial" w:cstheme="minorHAnsi"/>
          <w:sz w:val="22"/>
          <w:szCs w:val="22"/>
          <w:lang w:val="en" w:eastAsia="en-GB"/>
        </w:rPr>
        <w:t xml:space="preserve">to </w:t>
      </w:r>
      <w:r w:rsidR="009B43F9">
        <w:rPr>
          <w:rFonts w:eastAsia="Arial" w:cstheme="minorHAnsi"/>
          <w:sz w:val="22"/>
          <w:szCs w:val="22"/>
          <w:lang w:val="en" w:eastAsia="en-GB"/>
        </w:rPr>
        <w:t xml:space="preserve">change practice. </w:t>
      </w:r>
      <w:r w:rsidRPr="00117750">
        <w:rPr>
          <w:rFonts w:eastAsia="Arial" w:cstheme="minorHAnsi"/>
          <w:sz w:val="22"/>
          <w:szCs w:val="22"/>
          <w:lang w:val="en" w:eastAsia="en-GB"/>
        </w:rPr>
        <w:t xml:space="preserve"> Single daily dosing is therefore suggested in line with </w:t>
      </w:r>
      <w:r w:rsidRPr="00117750">
        <w:rPr>
          <w:rFonts w:eastAsia="Arial" w:cstheme="minorHAnsi"/>
          <w:sz w:val="22"/>
          <w:szCs w:val="22"/>
          <w:lang w:val="en" w:eastAsia="en-GB"/>
        </w:rPr>
        <w:lastRenderedPageBreak/>
        <w:t>IPNA guidance</w:t>
      </w:r>
      <w:r w:rsidR="00EE5437">
        <w:rPr>
          <w:rFonts w:eastAsia="Arial" w:cstheme="minorHAnsi"/>
          <w:sz w:val="22"/>
          <w:szCs w:val="22"/>
          <w:lang w:val="en" w:eastAsia="en-GB"/>
        </w:rPr>
        <w:t xml:space="preserve"> and maintaining alternate day dosing for consolidation was felt to be most aligned with UK practice</w:t>
      </w:r>
      <w:r w:rsidR="00375CA8">
        <w:rPr>
          <w:rFonts w:eastAsia="Arial" w:cstheme="minorHAnsi"/>
          <w:sz w:val="22"/>
          <w:szCs w:val="22"/>
          <w:lang w:val="en" w:eastAsia="en-GB"/>
        </w:rPr>
        <w:t xml:space="preserve"> in the absence of data to prove adrenal insufficiency</w:t>
      </w:r>
      <w:r w:rsidRPr="00117750">
        <w:rPr>
          <w:rFonts w:eastAsia="Arial" w:cstheme="minorHAnsi"/>
          <w:sz w:val="22"/>
          <w:szCs w:val="22"/>
          <w:lang w:val="en" w:eastAsia="en-GB"/>
        </w:rPr>
        <w:t xml:space="preserve">. </w:t>
      </w:r>
    </w:p>
    <w:p w14:paraId="2C91C9EF" w14:textId="23C4032C" w:rsidR="00EE5437" w:rsidRDefault="001630D4" w:rsidP="003F494F">
      <w:pPr>
        <w:spacing w:after="240" w:line="360" w:lineRule="auto"/>
        <w:jc w:val="both"/>
        <w:rPr>
          <w:sz w:val="22"/>
          <w:szCs w:val="22"/>
          <w:lang w:val="en" w:eastAsia="en-GB"/>
        </w:rPr>
      </w:pPr>
      <w:r>
        <w:rPr>
          <w:rFonts w:eastAsia="Arial" w:cstheme="minorHAnsi"/>
          <w:sz w:val="22"/>
          <w:szCs w:val="22"/>
          <w:lang w:val="en" w:eastAsia="en-GB"/>
        </w:rPr>
        <w:t>S</w:t>
      </w:r>
      <w:r w:rsidR="001D1F02" w:rsidRPr="00117750">
        <w:rPr>
          <w:rFonts w:eastAsia="Arial" w:cstheme="minorHAnsi"/>
          <w:sz w:val="22"/>
          <w:szCs w:val="22"/>
          <w:lang w:val="en" w:eastAsia="en-GB"/>
        </w:rPr>
        <w:t xml:space="preserve">tudies </w:t>
      </w:r>
      <w:r>
        <w:rPr>
          <w:rFonts w:eastAsia="Arial" w:cstheme="minorHAnsi"/>
          <w:sz w:val="22"/>
          <w:szCs w:val="22"/>
          <w:lang w:val="en" w:eastAsia="en-GB"/>
        </w:rPr>
        <w:t>using</w:t>
      </w:r>
      <w:r w:rsidR="001D1F02" w:rsidRPr="00117750">
        <w:rPr>
          <w:rFonts w:eastAsia="Arial" w:cstheme="minorHAnsi"/>
          <w:sz w:val="22"/>
          <w:szCs w:val="22"/>
          <w:lang w:val="en" w:eastAsia="en-GB"/>
        </w:rPr>
        <w:t xml:space="preserve"> the addition of non-steroid-based immunosuppression in the initial presentation</w:t>
      </w:r>
      <w:r>
        <w:rPr>
          <w:rFonts w:eastAsia="Arial" w:cstheme="minorHAnsi"/>
          <w:sz w:val="22"/>
          <w:szCs w:val="22"/>
          <w:lang w:val="en" w:eastAsia="en-GB"/>
        </w:rPr>
        <w:t xml:space="preserve"> are emerging however to date</w:t>
      </w:r>
      <w:r w:rsidR="001D1F02" w:rsidRPr="00117750">
        <w:rPr>
          <w:rFonts w:eastAsia="Arial" w:cstheme="minorHAnsi"/>
          <w:sz w:val="22"/>
          <w:szCs w:val="22"/>
          <w:lang w:val="en" w:eastAsia="en-GB"/>
        </w:rPr>
        <w:t xml:space="preserve"> these </w:t>
      </w:r>
      <w:r>
        <w:rPr>
          <w:rFonts w:eastAsia="Arial" w:cstheme="minorHAnsi"/>
          <w:sz w:val="22"/>
          <w:szCs w:val="22"/>
          <w:lang w:val="en" w:eastAsia="en-GB"/>
        </w:rPr>
        <w:t>have been</w:t>
      </w:r>
      <w:r w:rsidR="001D1F02" w:rsidRPr="00117750">
        <w:rPr>
          <w:rFonts w:eastAsia="Arial" w:cstheme="minorHAnsi"/>
          <w:sz w:val="22"/>
          <w:szCs w:val="22"/>
          <w:lang w:val="en" w:eastAsia="en-GB"/>
        </w:rPr>
        <w:t xml:space="preserve"> small, single-</w:t>
      </w:r>
      <w:proofErr w:type="spellStart"/>
      <w:r w:rsidR="001D1F02" w:rsidRPr="00117750">
        <w:rPr>
          <w:rFonts w:eastAsia="Arial" w:cstheme="minorHAnsi"/>
          <w:sz w:val="22"/>
          <w:szCs w:val="22"/>
          <w:lang w:val="en" w:eastAsia="en-GB"/>
        </w:rPr>
        <w:t>centre</w:t>
      </w:r>
      <w:proofErr w:type="spellEnd"/>
      <w:r w:rsidR="001D1F02" w:rsidRPr="00117750">
        <w:rPr>
          <w:rFonts w:eastAsia="Arial" w:cstheme="minorHAnsi"/>
          <w:sz w:val="22"/>
          <w:szCs w:val="22"/>
          <w:lang w:val="en" w:eastAsia="en-GB"/>
        </w:rPr>
        <w:t>, and inadequately powered</w:t>
      </w:r>
      <w:r w:rsidR="00AF2775">
        <w:rPr>
          <w:rFonts w:eastAsia="Arial" w:cstheme="minorHAnsi"/>
          <w:sz w:val="22"/>
          <w:szCs w:val="22"/>
          <w:lang w:val="en" w:eastAsia="en-GB"/>
        </w:rPr>
        <w:t xml:space="preserve">. </w:t>
      </w:r>
      <w:r>
        <w:rPr>
          <w:rFonts w:eastAsia="Arial" w:cstheme="minorHAnsi"/>
          <w:sz w:val="22"/>
          <w:szCs w:val="22"/>
          <w:lang w:val="en" w:eastAsia="en-GB"/>
        </w:rPr>
        <w:t>RCT</w:t>
      </w:r>
      <w:r w:rsidR="00AF2775">
        <w:rPr>
          <w:rFonts w:eastAsia="Arial" w:cstheme="minorHAnsi"/>
          <w:sz w:val="22"/>
          <w:szCs w:val="22"/>
          <w:lang w:val="en" w:eastAsia="en-GB"/>
        </w:rPr>
        <w:t>’s evaluating</w:t>
      </w:r>
      <w:r>
        <w:rPr>
          <w:rFonts w:eastAsia="Arial" w:cstheme="minorHAnsi"/>
          <w:sz w:val="22"/>
          <w:szCs w:val="22"/>
          <w:lang w:val="en" w:eastAsia="en-GB"/>
        </w:rPr>
        <w:t xml:space="preserve"> </w:t>
      </w:r>
      <w:r w:rsidR="001D1F02" w:rsidRPr="00117750">
        <w:rPr>
          <w:rFonts w:eastAsia="Arial" w:cstheme="minorHAnsi"/>
          <w:sz w:val="22"/>
          <w:szCs w:val="22"/>
          <w:lang w:val="en" w:eastAsia="en-GB"/>
        </w:rPr>
        <w:t xml:space="preserve">MMF </w:t>
      </w:r>
      <w:r w:rsidR="001D1F02" w:rsidRPr="0013090F">
        <w:rPr>
          <w:rFonts w:eastAsia="Arial" w:cstheme="minorHAnsi"/>
          <w:sz w:val="22"/>
          <w:szCs w:val="22"/>
          <w:lang w:val="en" w:eastAsia="en-GB"/>
        </w:rPr>
        <w:t xml:space="preserve">and levamisole </w:t>
      </w:r>
      <w:r w:rsidRPr="0013090F">
        <w:rPr>
          <w:rFonts w:eastAsia="Arial" w:cstheme="minorHAnsi"/>
          <w:sz w:val="22"/>
          <w:szCs w:val="22"/>
          <w:lang w:val="en" w:eastAsia="en-GB"/>
        </w:rPr>
        <w:t>as</w:t>
      </w:r>
      <w:r w:rsidR="001D1F02" w:rsidRPr="0013090F">
        <w:rPr>
          <w:rFonts w:eastAsia="Arial" w:cstheme="minorHAnsi"/>
          <w:sz w:val="22"/>
          <w:szCs w:val="22"/>
          <w:lang w:val="en" w:eastAsia="en-GB"/>
        </w:rPr>
        <w:t xml:space="preserve"> initial therapy </w:t>
      </w:r>
      <w:r w:rsidR="00AF2775">
        <w:rPr>
          <w:rFonts w:eastAsia="Arial" w:cstheme="minorHAnsi"/>
          <w:sz w:val="22"/>
          <w:szCs w:val="22"/>
          <w:lang w:val="en" w:eastAsia="en-GB"/>
        </w:rPr>
        <w:t>are</w:t>
      </w:r>
      <w:r w:rsidR="001D1F02" w:rsidRPr="0013090F">
        <w:rPr>
          <w:rFonts w:eastAsia="Arial" w:cstheme="minorHAnsi"/>
          <w:sz w:val="22"/>
          <w:szCs w:val="22"/>
          <w:lang w:val="en" w:eastAsia="en-GB"/>
        </w:rPr>
        <w:t xml:space="preserve"> underway </w:t>
      </w:r>
      <w:r w:rsidRPr="0013090F">
        <w:rPr>
          <w:rFonts w:eastAsia="Arial" w:cstheme="minorHAnsi"/>
          <w:sz w:val="22"/>
          <w:szCs w:val="22"/>
          <w:lang w:val="en" w:eastAsia="en-GB"/>
        </w:rPr>
        <w:t xml:space="preserve">and may </w:t>
      </w:r>
      <w:r w:rsidR="00D20CBA" w:rsidRPr="0013090F">
        <w:rPr>
          <w:rFonts w:eastAsia="Arial" w:cstheme="minorHAnsi"/>
          <w:sz w:val="22"/>
          <w:szCs w:val="22"/>
          <w:lang w:val="en" w:eastAsia="en-GB"/>
        </w:rPr>
        <w:t xml:space="preserve">provide evidence </w:t>
      </w:r>
      <w:r w:rsidR="00AF2775">
        <w:rPr>
          <w:rFonts w:eastAsia="Arial" w:cstheme="minorHAnsi"/>
          <w:sz w:val="22"/>
          <w:szCs w:val="22"/>
          <w:lang w:val="en" w:eastAsia="en-GB"/>
        </w:rPr>
        <w:t>for</w:t>
      </w:r>
      <w:r w:rsidRPr="0013090F">
        <w:rPr>
          <w:rFonts w:eastAsia="Arial" w:cstheme="minorHAnsi"/>
          <w:sz w:val="22"/>
          <w:szCs w:val="22"/>
          <w:lang w:val="en" w:eastAsia="en-GB"/>
        </w:rPr>
        <w:t xml:space="preserve"> future updates</w:t>
      </w:r>
      <w:r w:rsidR="0013090F" w:rsidRPr="0013090F">
        <w:rPr>
          <w:rFonts w:eastAsia="Arial" w:cstheme="minorHAnsi"/>
          <w:sz w:val="22"/>
          <w:szCs w:val="22"/>
          <w:lang w:val="en" w:eastAsia="en-GB"/>
        </w:rPr>
        <w:t xml:space="preserve"> </w:t>
      </w:r>
      <w:r w:rsidR="0013090F" w:rsidRPr="0013090F">
        <w:rPr>
          <w:rFonts w:eastAsia="Arial" w:cstheme="minorHAnsi"/>
          <w:sz w:val="22"/>
          <w:szCs w:val="22"/>
          <w:lang w:val="en" w:eastAsia="en-GB"/>
        </w:rPr>
        <w:fldChar w:fldCharType="begin"/>
      </w:r>
      <w:r w:rsidR="00642970">
        <w:rPr>
          <w:rFonts w:eastAsia="Arial" w:cstheme="minorHAnsi"/>
          <w:sz w:val="22"/>
          <w:szCs w:val="22"/>
          <w:lang w:val="en" w:eastAsia="en-GB"/>
        </w:rPr>
        <w:instrText xml:space="preserve"> ADDIN ZOTERO_ITEM CSL_CITATION {"citationID":"SSCdaRsu","properties":{"formattedCitation":"(130,131)","plainCitation":"(130,131)","noteIndex":0},"citationItems":[{"id":315,"uris":["http://zotero.org/users/local/lvPLY4Gu/items/2TQJ6588"],"itemData":{"id":315,"type":"article-journal","abstract":"INTRODUCTION: Idiopathic nephrotic syndrome (INS) is characterised by a high relapse rate up to 80% after initial response to standard therapy with corticosteroids. Steroid toxicity is common and causes a great burden of disease that negatively influences the health-related quality of life (HRQoL). Recently, studies have shown that levamisole, an anthelminthic drug, significantly improves relapse-free survival in children with frequent relapses or steroid dependency. Compared with other steroid-sparing drugs, levamisole has relatively few side effects. We hypothesise that adding levamisole to standard therapy with corticosteroids in children with a first episode of INS will prevent relapses, decrease cumulative dosage of steroids used and improve HRQoL. This paper presents the study protocol for the LEARNS study (LEvamisole as Adjuvant therapy to Reduce relapses of Nephrotic Syndrome).\nMETHODS AND ANALYSIS: An international, double-blind, placebo-controlled randomised trial will be conducted in 20 participating hospitals in the Netherlands and Belgium. Participants (n=92) with a first episode of INS, aged 2-16 years, who achieve remission after 4 weeks of oral prednisolone will be randomly assigned (1:1) to receive either levamisole 2.5 mg/kg alternate day or placebo added to prednisolone (18-week tapering schedule) for a total of 24 weeks. Follow-up will be until 2 years after first presentation. Additionally, parents and/or children will fill out five HRQoL questionnaires. Primary outcome of the LEARNS study is occurrence of relapses within 12 months after first presentation. Secondary outcomes include time to first relapse, cumulative steroid dose after 2 years, safety parameters and quality of life scores.\nETHICS AND DISSEMINATION: The trial was approved by the Medical Ethical Committee. Results of the study will be published in a peer-reviewed journal.\nTRIAL REGISTRATION NUMBER: NL6826, 2017-001025-41.","container-title":"BMJ open","DOI":"10.1136/bmjopen-2018-027011","ISSN":"2044-6055","issue":"8","journalAbbreviation":"BMJ Open","language":"eng","note":"PMID: 31375606\nPMCID: PMC6688689","page":"e027011","source":"PubMed","title":"Prevention of relapses with levamisole as adjuvant therapy in children with a first episode of idiopathic nephrotic syndrome: study protocol for a double blind, randomised placebo-controlled trial (the LEARNS study)","title-short":"Prevention of relapses with levamisole as adjuvant therapy in children with a first episode of idiopathic nephrotic syndrome","volume":"9","author":[{"family":"Veltkamp","given":"Floor"},{"family":"Khan","given":"Djera H."},{"family":"Reefman","given":"Christa"},{"family":"Veissi","given":"Susan"},{"family":"Oers","given":"Hedy A.","non-dropping-particle":"van"},{"family":"Levtchenko","given":"Elena"},{"family":"Mathôt","given":"Ron A. A."},{"family":"Florquin","given":"Sandrine"},{"family":"Wijk","given":"Joanna A. E.","non-dropping-particle":"van"},{"family":"Schreuder","given":"Michiel F."},{"family":"Haverman","given":"Lotte"},{"family":"Bouts","given":"Antonia H. M."}],"issued":{"date-parts":[["2019",8,1]]}}},{"id":318,"uris":["http://zotero.org/users/local/lvPLY4Gu/items/RAIM8HH5"],"itemData":{"id":318,"type":"article-journal","abstract":"INTRODUCTION: Idiopathic nephrotic syndrome is the most common glomerular disease in childhood with an incidence of 1.8 cases per 100 000 children in Germany. The treatment of the first episode implies two aspects: induction of remission and sustainment of remission. The recent Kidney Disease Improving Global Outcomes, American Academy of Pediatrics and German guidelines for the initial treatment of the first episode of a nephrotic syndrome recommend a 12-week course of prednisone. Despite being effective, this treatment is associated with pronounced glucocorticoid-associated toxicity due to high-dose prednisone administration over a prolonged period of time. The aim of the INTENT study (Initial treatment of steroid-sensitive idiopathic nephrotic syndrom in children with mycophenolate mofetil versus prednisone: protocol for a randomised, controlled, multicentre trial) is to show that an alternative treatment regimen with mycophenolic acid is not inferior regarding sustainment of remission, but with lower toxicity compared with treatment with glucocorticoids only.\nMETHODS AND DESIGN: The study is designed as an open, randomised, controlled, multicentre trial. 340 children with a first episode of steroid-sensitive nephrotic syndrome and who achieved remission by a standard prednisone regimen will be enrolled in the trial and randomised to one of two treatment arms. The standard care group will be treated with prednisone for a total of 12 weeks; in the experimental group the treatment is switched to mycophenolate mofetil, also for a total of 12 weeks in treatment duration. The primary endpoint is the occurrence of a treated relapse within 24 months after completion of initial treatment.\nETHICS AND DISSEMINATION: Ethics approval for this trial was granted by the ethics committee of the Medical Faculty of the University of Heidelberg (AFmu-554/2014). The study results will be published in accordance with the Consolidated Standards of Reporting Trials statement and the Standard Protocol Items: Recommendations for Interventional Trials guidelines. Our findings will be submitted to major international paediatric nephrology and general paediatric conferences and submitted for publication in a peer-reviewed, open-access journal.\nTRIAL REGISTRATION NUMBER: DRKS0006547; EudraCT2014-001991-76; Pre-result.\nDATE OF REGISTRATION: 30 October 2014; 24 February 2017.","container-title":"BMJ open","DOI":"10.1136/bmjopen-2018-024882","ISSN":"2044-6055","issue":"10","journalAbbreviation":"BMJ Open","language":"eng","note":"PMID: 30309995\nPMCID: PMC6252704","page":"e024882","source":"PubMed","title":"Initial treatment of steroid-sensitive idiopathic nephrotic syndrome in children with mycophenolate mofetil versus prednisone: protocol for a randomised, controlled, multicentre trial (INTENT study)","title-short":"Initial treatment of steroid-sensitive idiopathic nephrotic syndrome in children with mycophenolate mofetil versus prednisone","volume":"8","author":[{"family":"Ehren","given":"Rasmus"},{"family":"Benz","given":"Marcus R."},{"family":"Doetsch","given":"Jorg"},{"family":"Fichtner","given":"Alexander"},{"family":"Gellermann","given":"Jutta"},{"family":"Haffner","given":"Dieter"},{"family":"Höcker","given":"Britta"},{"family":"Hoyer","given":"Peter F."},{"family":"Kästner","given":"Bärbel"},{"family":"Kemper","given":"Markus J."},{"family":"Konrad","given":"Martin"},{"family":"Luntz","given":"Steffen"},{"family":"Querfeld","given":"Uwe"},{"family":"Sander","given":"Anja"},{"family":"Toenshoff","given":"Burkhard"},{"family":"Weber","given":"Lutz T."},{"literal":"Gesellschaft für Pädiatrische Nephrologie (GPN)"}],"issued":{"date-parts":[["2018",10,10]]}}}],"schema":"https://github.com/citation-style-language/schema/raw/master/csl-citation.json"} </w:instrText>
      </w:r>
      <w:r w:rsidR="0013090F" w:rsidRPr="0013090F">
        <w:rPr>
          <w:rFonts w:eastAsia="Arial" w:cstheme="minorHAnsi"/>
          <w:sz w:val="22"/>
          <w:szCs w:val="22"/>
          <w:lang w:val="en" w:eastAsia="en-GB"/>
        </w:rPr>
        <w:fldChar w:fldCharType="separate"/>
      </w:r>
      <w:r w:rsidR="00642970">
        <w:rPr>
          <w:rFonts w:eastAsia="Arial" w:cstheme="minorHAnsi"/>
          <w:noProof/>
          <w:sz w:val="22"/>
          <w:szCs w:val="22"/>
          <w:lang w:val="en" w:eastAsia="en-GB"/>
        </w:rPr>
        <w:t>(130,131)</w:t>
      </w:r>
      <w:r w:rsidR="0013090F" w:rsidRPr="0013090F">
        <w:rPr>
          <w:rFonts w:eastAsia="Arial" w:cstheme="minorHAnsi"/>
          <w:sz w:val="22"/>
          <w:szCs w:val="22"/>
          <w:lang w:val="en" w:eastAsia="en-GB"/>
        </w:rPr>
        <w:fldChar w:fldCharType="end"/>
      </w:r>
      <w:r w:rsidR="001D1F02" w:rsidRPr="0013090F">
        <w:rPr>
          <w:rFonts w:eastAsia="Arial" w:cstheme="minorHAnsi"/>
          <w:sz w:val="22"/>
          <w:szCs w:val="22"/>
          <w:lang w:val="en" w:eastAsia="en-GB"/>
        </w:rPr>
        <w:t>.</w:t>
      </w:r>
      <w:r w:rsidRPr="0013090F">
        <w:rPr>
          <w:rFonts w:eastAsia="Arial" w:cstheme="minorHAnsi"/>
          <w:sz w:val="22"/>
          <w:szCs w:val="22"/>
          <w:lang w:val="en" w:eastAsia="en-GB"/>
        </w:rPr>
        <w:t xml:space="preserve"> </w:t>
      </w:r>
      <w:r w:rsidR="001D1F02" w:rsidRPr="0013090F">
        <w:rPr>
          <w:sz w:val="22"/>
          <w:szCs w:val="22"/>
          <w:lang w:val="en" w:eastAsia="en-GB"/>
        </w:rPr>
        <w:t>Children</w:t>
      </w:r>
      <w:r w:rsidR="001D1F02" w:rsidRPr="00EE5437">
        <w:rPr>
          <w:sz w:val="22"/>
          <w:szCs w:val="22"/>
          <w:lang w:val="en" w:eastAsia="en-GB"/>
        </w:rPr>
        <w:t xml:space="preserve"> who are late </w:t>
      </w:r>
      <w:r>
        <w:rPr>
          <w:sz w:val="22"/>
          <w:szCs w:val="22"/>
          <w:lang w:val="en" w:eastAsia="en-GB"/>
        </w:rPr>
        <w:t xml:space="preserve">to </w:t>
      </w:r>
      <w:r w:rsidR="001D1F02" w:rsidRPr="00EE5437">
        <w:rPr>
          <w:sz w:val="22"/>
          <w:szCs w:val="22"/>
          <w:lang w:val="en" w:eastAsia="en-GB"/>
        </w:rPr>
        <w:t>respond</w:t>
      </w:r>
      <w:r>
        <w:rPr>
          <w:sz w:val="22"/>
          <w:szCs w:val="22"/>
          <w:lang w:val="en" w:eastAsia="en-GB"/>
        </w:rPr>
        <w:t xml:space="preserve"> to treatment (&gt;2 weeks)</w:t>
      </w:r>
      <w:r w:rsidR="001D1F02" w:rsidRPr="00EE5437">
        <w:rPr>
          <w:sz w:val="22"/>
          <w:szCs w:val="22"/>
          <w:lang w:val="en" w:eastAsia="en-GB"/>
        </w:rPr>
        <w:t xml:space="preserve"> or who relapse whilst taking the </w:t>
      </w:r>
      <w:r>
        <w:rPr>
          <w:sz w:val="22"/>
          <w:szCs w:val="22"/>
          <w:lang w:val="en" w:eastAsia="en-GB"/>
        </w:rPr>
        <w:t>initial course</w:t>
      </w:r>
      <w:r w:rsidR="001D1F02" w:rsidRPr="00EE5437">
        <w:rPr>
          <w:sz w:val="22"/>
          <w:szCs w:val="22"/>
          <w:lang w:val="en" w:eastAsia="en-GB"/>
        </w:rPr>
        <w:t xml:space="preserve"> are highly likely to develop early steroid dependent disease</w:t>
      </w:r>
      <w:r w:rsidR="0013090F">
        <w:rPr>
          <w:sz w:val="22"/>
          <w:szCs w:val="22"/>
          <w:lang w:val="en" w:eastAsia="en-GB"/>
        </w:rPr>
        <w:t xml:space="preserve"> </w:t>
      </w:r>
      <w:r w:rsidR="0013090F">
        <w:rPr>
          <w:sz w:val="22"/>
          <w:szCs w:val="22"/>
          <w:lang w:val="en" w:eastAsia="en-GB"/>
        </w:rPr>
        <w:fldChar w:fldCharType="begin"/>
      </w:r>
      <w:r w:rsidR="00642970">
        <w:rPr>
          <w:sz w:val="22"/>
          <w:szCs w:val="22"/>
          <w:lang w:val="en" w:eastAsia="en-GB"/>
        </w:rPr>
        <w:instrText xml:space="preserve"> ADDIN ZOTERO_ITEM CSL_CITATION {"citationID":"Yn8bt3Mg","properties":{"formattedCitation":"(132)","plainCitation":"(132)","noteIndex":0},"citationItems":[{"id":312,"uris":["http://zotero.org/users/local/lvPLY4Gu/items/ZIRDH8AU"],"itemData":{"id":312,"type":"article-journal","abstract":"The aim of our study was to determine the clinical course of children with idiopathic childhood nephrotic syndrome (ICNS) who received intravenous methylprednisolone (ivMP) following failure to achieve remission with standard oral prednisolone therapy. This study was designed as a retrospective case record review from 1993 to 2007. Sixteen children received ivMP over the 15-year study period, of whom ten responded, achieving clinical remission. The remaining six children with steroid resistant nephrotic syndrome (SRNS) underwent biopsy [four focal segmental glomerulosclerosis (FSGS), two minimal change disease (MCD)]. Three responders developed late secondary steroid resistance (two FSGS, one MCD). At the latest follow-up (mean 6.7 years), three of the ten ivMP responders and none (0/6) of the children with SRNS had heavy proteinuria and chronic kidney disease (CKD) stage 3-5. The remaining 13 children demonstrated significant steroid dependency but had achieved stable remission following cyclophosphamide and/or ciclosporin therapy. The majority of children with ICNS who do not respond to 4 weeks of daily prednisolone therapy will enter remission following three to five doses of ivMP, thus avoiding a renal biopsy at initial presentation. These children are likely to develop steroid dependency, and the majority will require treatment with alkylating agents and/or ciclosporin to maintain remission. The requirement for ivMP in this setting appears to be associated with a risk of developing CKD in the longer term.","container-title":"Pediatric Nephrology (Berlin, Germany)","DOI":"10.1007/s00467-009-1417-1","ISSN":"1432-198X","issue":"5","journalAbbreviation":"Pediatr Nephrol","language":"eng","note":"PMID: 20108003\nPMCID: PMC7614379","page":"899-903","source":"PubMed","title":"Intravenous methylprednisolone in idiopathic childhood nephrotic syndrome","volume":"25","author":[{"family":"Shenoy","given":"Mohan"},{"family":"Plant","given":"Nicholas D."},{"family":"Lewis","given":"Malcolm A."},{"family":"Bradbury","given":"Mark G."},{"family":"Lennon","given":"Rachel"},{"family":"Webb","given":"Nicholas J. A."}],"issued":{"date-parts":[["2010",5]]}}}],"schema":"https://github.com/citation-style-language/schema/raw/master/csl-citation.json"} </w:instrText>
      </w:r>
      <w:r w:rsidR="0013090F">
        <w:rPr>
          <w:sz w:val="22"/>
          <w:szCs w:val="22"/>
          <w:lang w:val="en" w:eastAsia="en-GB"/>
        </w:rPr>
        <w:fldChar w:fldCharType="separate"/>
      </w:r>
      <w:r w:rsidR="00642970">
        <w:rPr>
          <w:noProof/>
          <w:sz w:val="22"/>
          <w:szCs w:val="22"/>
          <w:lang w:val="en" w:eastAsia="en-GB"/>
        </w:rPr>
        <w:t>(132)</w:t>
      </w:r>
      <w:r w:rsidR="0013090F">
        <w:rPr>
          <w:sz w:val="22"/>
          <w:szCs w:val="22"/>
          <w:lang w:val="en" w:eastAsia="en-GB"/>
        </w:rPr>
        <w:fldChar w:fldCharType="end"/>
      </w:r>
      <w:r w:rsidR="00D20CBA">
        <w:rPr>
          <w:color w:val="000000"/>
          <w:sz w:val="22"/>
          <w:szCs w:val="22"/>
          <w:lang w:val="en" w:eastAsia="en-GB"/>
        </w:rPr>
        <w:t xml:space="preserve"> and considering how best to stratify th</w:t>
      </w:r>
      <w:r w:rsidR="00AF2775">
        <w:rPr>
          <w:color w:val="000000"/>
          <w:sz w:val="22"/>
          <w:szCs w:val="22"/>
          <w:lang w:val="en" w:eastAsia="en-GB"/>
        </w:rPr>
        <w:t>is</w:t>
      </w:r>
      <w:r w:rsidR="00D20CBA">
        <w:rPr>
          <w:color w:val="000000"/>
          <w:sz w:val="22"/>
          <w:szCs w:val="22"/>
          <w:lang w:val="en" w:eastAsia="en-GB"/>
        </w:rPr>
        <w:t xml:space="preserve"> higher risk population is a</w:t>
      </w:r>
      <w:r w:rsidR="00AF2775">
        <w:rPr>
          <w:color w:val="000000"/>
          <w:sz w:val="22"/>
          <w:szCs w:val="22"/>
          <w:lang w:val="en" w:eastAsia="en-GB"/>
        </w:rPr>
        <w:t xml:space="preserve"> much needed</w:t>
      </w:r>
      <w:r w:rsidR="00D20CBA">
        <w:rPr>
          <w:color w:val="000000"/>
          <w:sz w:val="22"/>
          <w:szCs w:val="22"/>
          <w:lang w:val="en" w:eastAsia="en-GB"/>
        </w:rPr>
        <w:t xml:space="preserve"> area for future development. </w:t>
      </w:r>
      <w:r w:rsidR="001D1F02" w:rsidRPr="00EE5437">
        <w:rPr>
          <w:color w:val="000000"/>
          <w:sz w:val="22"/>
          <w:szCs w:val="22"/>
          <w:lang w:val="en" w:eastAsia="en-GB"/>
        </w:rPr>
        <w:t xml:space="preserve"> </w:t>
      </w:r>
    </w:p>
    <w:p w14:paraId="1B9CA542" w14:textId="6630B256" w:rsidR="001D1F02" w:rsidRDefault="001630D4" w:rsidP="003F494F">
      <w:pPr>
        <w:spacing w:line="360" w:lineRule="auto"/>
        <w:jc w:val="both"/>
        <w:rPr>
          <w:b/>
          <w:bCs/>
          <w:sz w:val="22"/>
          <w:szCs w:val="22"/>
          <w:lang w:val="en" w:eastAsia="en-GB"/>
        </w:rPr>
      </w:pPr>
      <w:r w:rsidRPr="00EE5437">
        <w:rPr>
          <w:b/>
          <w:bCs/>
          <w:sz w:val="22"/>
          <w:szCs w:val="22"/>
          <w:lang w:val="en" w:eastAsia="en-GB"/>
        </w:rPr>
        <w:t xml:space="preserve">Management of </w:t>
      </w:r>
      <w:proofErr w:type="spellStart"/>
      <w:r w:rsidR="004256C8">
        <w:rPr>
          <w:b/>
          <w:bCs/>
          <w:sz w:val="22"/>
          <w:szCs w:val="22"/>
          <w:lang w:val="en" w:eastAsia="en-GB"/>
        </w:rPr>
        <w:t>iNS</w:t>
      </w:r>
      <w:proofErr w:type="spellEnd"/>
      <w:r w:rsidR="004256C8">
        <w:rPr>
          <w:b/>
          <w:bCs/>
          <w:sz w:val="22"/>
          <w:szCs w:val="22"/>
          <w:lang w:val="en" w:eastAsia="en-GB"/>
        </w:rPr>
        <w:t xml:space="preserve"> that responds to steroids (SSNS) and has a </w:t>
      </w:r>
      <w:r w:rsidRPr="00EE5437">
        <w:rPr>
          <w:b/>
          <w:bCs/>
          <w:sz w:val="22"/>
          <w:szCs w:val="22"/>
          <w:lang w:val="en" w:eastAsia="en-GB"/>
        </w:rPr>
        <w:t>first relapse</w:t>
      </w:r>
    </w:p>
    <w:p w14:paraId="5545CDAB" w14:textId="77777777" w:rsidR="00865D85" w:rsidRPr="00EE5437" w:rsidRDefault="00865D85" w:rsidP="003F494F">
      <w:pPr>
        <w:spacing w:line="360" w:lineRule="auto"/>
        <w:jc w:val="both"/>
        <w:rPr>
          <w:b/>
          <w:bCs/>
          <w:sz w:val="22"/>
          <w:szCs w:val="22"/>
          <w:lang w:val="en" w:eastAsia="en-GB"/>
        </w:rPr>
      </w:pPr>
    </w:p>
    <w:tbl>
      <w:tblPr>
        <w:tblW w:w="10484" w:type="dxa"/>
        <w:tblBorders>
          <w:top w:val="nil"/>
          <w:left w:val="nil"/>
          <w:bottom w:val="nil"/>
          <w:right w:val="nil"/>
          <w:insideH w:val="nil"/>
          <w:insideV w:val="nil"/>
        </w:tblBorders>
        <w:tblLayout w:type="fixed"/>
        <w:tblLook w:val="0600" w:firstRow="0" w:lastRow="0" w:firstColumn="0" w:lastColumn="0" w:noHBand="1" w:noVBand="1"/>
      </w:tblPr>
      <w:tblGrid>
        <w:gridCol w:w="1155"/>
        <w:gridCol w:w="8195"/>
        <w:gridCol w:w="1134"/>
      </w:tblGrid>
      <w:tr w:rsidR="00837E18" w14:paraId="541F6B28" w14:textId="77777777" w:rsidTr="00C00DD6">
        <w:trPr>
          <w:trHeight w:val="300"/>
        </w:trPr>
        <w:tc>
          <w:tcPr>
            <w:tcW w:w="11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37C9051" w14:textId="77777777" w:rsidR="001D1F02" w:rsidRPr="00117750" w:rsidRDefault="001630D4" w:rsidP="003F494F">
            <w:pPr>
              <w:spacing w:before="240" w:line="360" w:lineRule="auto"/>
              <w:rPr>
                <w:rFonts w:eastAsia="Arial" w:cstheme="minorHAnsi"/>
                <w:b/>
                <w:sz w:val="22"/>
                <w:szCs w:val="22"/>
                <w:lang w:val="en" w:eastAsia="en-GB"/>
              </w:rPr>
            </w:pPr>
            <w:r w:rsidRPr="00117750">
              <w:rPr>
                <w:rFonts w:eastAsia="Arial" w:cstheme="minorHAnsi"/>
                <w:b/>
                <w:sz w:val="22"/>
                <w:szCs w:val="22"/>
                <w:lang w:val="en" w:eastAsia="en-GB"/>
              </w:rPr>
              <w:t>Number</w:t>
            </w:r>
          </w:p>
        </w:tc>
        <w:tc>
          <w:tcPr>
            <w:tcW w:w="8195"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3CB96E3C" w14:textId="77777777" w:rsidR="001D1F02" w:rsidRPr="00117750" w:rsidRDefault="001630D4" w:rsidP="003F494F">
            <w:pPr>
              <w:spacing w:before="240" w:line="360" w:lineRule="auto"/>
              <w:rPr>
                <w:rFonts w:eastAsia="Arial" w:cstheme="minorHAnsi"/>
                <w:b/>
                <w:sz w:val="22"/>
                <w:szCs w:val="22"/>
                <w:lang w:val="en" w:eastAsia="en-GB"/>
              </w:rPr>
            </w:pPr>
            <w:r w:rsidRPr="00117750">
              <w:rPr>
                <w:rFonts w:eastAsia="Arial" w:cstheme="minorHAnsi"/>
                <w:b/>
                <w:sz w:val="22"/>
                <w:szCs w:val="22"/>
                <w:lang w:val="en" w:eastAsia="en-GB"/>
              </w:rPr>
              <w:t>RECOMMENDATION</w:t>
            </w:r>
          </w:p>
        </w:tc>
        <w:tc>
          <w:tcPr>
            <w:tcW w:w="1134"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30C6C279" w14:textId="77777777" w:rsidR="001D1F02" w:rsidRPr="00117750" w:rsidRDefault="001630D4" w:rsidP="003F494F">
            <w:pPr>
              <w:spacing w:before="240" w:line="360" w:lineRule="auto"/>
              <w:jc w:val="center"/>
              <w:rPr>
                <w:rFonts w:eastAsia="Arial" w:cstheme="minorHAnsi"/>
                <w:b/>
                <w:sz w:val="22"/>
                <w:szCs w:val="22"/>
                <w:lang w:val="en" w:eastAsia="en-GB"/>
              </w:rPr>
            </w:pPr>
            <w:r w:rsidRPr="00117750">
              <w:rPr>
                <w:rFonts w:eastAsia="Arial" w:cstheme="minorHAnsi"/>
                <w:b/>
                <w:sz w:val="22"/>
                <w:szCs w:val="22"/>
                <w:lang w:val="en" w:eastAsia="en-GB"/>
              </w:rPr>
              <w:t>Grade</w:t>
            </w:r>
          </w:p>
        </w:tc>
      </w:tr>
      <w:tr w:rsidR="00837E18" w14:paraId="08B117DA" w14:textId="77777777" w:rsidTr="00C00DD6">
        <w:trPr>
          <w:trHeight w:val="697"/>
        </w:trPr>
        <w:tc>
          <w:tcPr>
            <w:tcW w:w="115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45EB725" w14:textId="15B7318F" w:rsidR="001D1F02" w:rsidRPr="00117750" w:rsidRDefault="001630D4" w:rsidP="003F494F">
            <w:pPr>
              <w:spacing w:before="240" w:line="360" w:lineRule="auto"/>
              <w:rPr>
                <w:rFonts w:eastAsia="Arial" w:cstheme="minorHAnsi"/>
                <w:sz w:val="22"/>
                <w:szCs w:val="22"/>
                <w:lang w:val="en" w:eastAsia="en-GB"/>
              </w:rPr>
            </w:pPr>
            <w:r>
              <w:rPr>
                <w:rFonts w:eastAsia="Arial" w:cstheme="minorHAnsi"/>
                <w:sz w:val="22"/>
                <w:szCs w:val="22"/>
                <w:lang w:val="en" w:eastAsia="en-GB"/>
              </w:rPr>
              <w:t xml:space="preserve">INS </w:t>
            </w:r>
            <w:r w:rsidR="006645DC">
              <w:rPr>
                <w:rFonts w:eastAsia="Arial" w:cstheme="minorHAnsi"/>
                <w:sz w:val="22"/>
                <w:szCs w:val="22"/>
                <w:lang w:val="en" w:eastAsia="en-GB"/>
              </w:rPr>
              <w:t>1.1</w:t>
            </w:r>
            <w:r>
              <w:rPr>
                <w:rFonts w:eastAsia="Arial" w:cstheme="minorHAnsi"/>
                <w:sz w:val="22"/>
                <w:szCs w:val="22"/>
                <w:lang w:val="en" w:eastAsia="en-GB"/>
              </w:rPr>
              <w:t>1</w:t>
            </w:r>
          </w:p>
        </w:tc>
        <w:tc>
          <w:tcPr>
            <w:tcW w:w="81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0A4E992" w14:textId="77777777" w:rsidR="001D1F02" w:rsidRPr="00117750" w:rsidRDefault="001630D4" w:rsidP="003F494F">
            <w:pPr>
              <w:spacing w:before="240" w:line="360" w:lineRule="auto"/>
              <w:rPr>
                <w:rFonts w:eastAsia="Arial" w:cstheme="minorHAnsi"/>
                <w:sz w:val="22"/>
                <w:szCs w:val="22"/>
                <w:lang w:val="en" w:eastAsia="en-GB"/>
              </w:rPr>
            </w:pPr>
            <w:r w:rsidRPr="00D20CBA">
              <w:rPr>
                <w:rFonts w:eastAsia="Arial" w:cstheme="minorHAnsi"/>
                <w:sz w:val="22"/>
                <w:szCs w:val="22"/>
                <w:u w:val="single"/>
                <w:lang w:val="en" w:eastAsia="en-GB"/>
              </w:rPr>
              <w:t>We recommend</w:t>
            </w:r>
            <w:r w:rsidRPr="00117750">
              <w:rPr>
                <w:rFonts w:eastAsia="Arial" w:cstheme="minorHAnsi"/>
                <w:sz w:val="22"/>
                <w:szCs w:val="22"/>
                <w:lang w:val="en" w:eastAsia="en-GB"/>
              </w:rPr>
              <w:t xml:space="preserve"> that children who experience a first relapse of nephrotic syndrome more than 2 weeks after stopping prednisolone receive prednisolone 60 mg/m</w:t>
            </w:r>
            <w:r w:rsidRPr="00117750">
              <w:rPr>
                <w:rFonts w:eastAsia="Arial" w:cstheme="minorHAnsi"/>
                <w:sz w:val="22"/>
                <w:szCs w:val="22"/>
                <w:vertAlign w:val="superscript"/>
                <w:lang w:val="en" w:eastAsia="en-GB"/>
              </w:rPr>
              <w:t>2</w:t>
            </w:r>
            <w:r w:rsidRPr="00117750">
              <w:rPr>
                <w:rFonts w:eastAsia="Arial" w:cstheme="minorHAnsi"/>
                <w:sz w:val="22"/>
                <w:szCs w:val="22"/>
                <w:lang w:val="en" w:eastAsia="en-GB"/>
              </w:rPr>
              <w:t>/day (maximum dose 60 mg once daily) until remission followed by 40 mg/m</w:t>
            </w:r>
            <w:r w:rsidRPr="00117750">
              <w:rPr>
                <w:rFonts w:eastAsia="Arial" w:cstheme="minorHAnsi"/>
                <w:sz w:val="22"/>
                <w:szCs w:val="22"/>
                <w:vertAlign w:val="superscript"/>
                <w:lang w:val="en" w:eastAsia="en-GB"/>
              </w:rPr>
              <w:t>2</w:t>
            </w:r>
            <w:r w:rsidRPr="00117750">
              <w:rPr>
                <w:rFonts w:eastAsia="Arial" w:cstheme="minorHAnsi"/>
                <w:sz w:val="22"/>
                <w:szCs w:val="22"/>
                <w:lang w:val="en" w:eastAsia="en-GB"/>
              </w:rPr>
              <w:t xml:space="preserve"> (maximum dose 40 mg) on alternate days for 4 weeks and then stopped.</w:t>
            </w:r>
          </w:p>
        </w:tc>
        <w:tc>
          <w:tcPr>
            <w:tcW w:w="113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1A16BCA" w14:textId="77777777" w:rsidR="001D1F02" w:rsidRPr="00117750" w:rsidRDefault="001630D4" w:rsidP="003F494F">
            <w:pPr>
              <w:spacing w:before="240" w:line="360" w:lineRule="auto"/>
              <w:jc w:val="center"/>
              <w:rPr>
                <w:rFonts w:eastAsia="Arial" w:cstheme="minorHAnsi"/>
                <w:b/>
                <w:sz w:val="22"/>
                <w:szCs w:val="22"/>
                <w:lang w:val="en" w:eastAsia="en-GB"/>
              </w:rPr>
            </w:pPr>
            <w:r w:rsidRPr="00117750">
              <w:rPr>
                <w:rFonts w:eastAsia="Arial" w:cstheme="minorHAnsi"/>
                <w:b/>
                <w:sz w:val="22"/>
                <w:szCs w:val="22"/>
                <w:lang w:val="en" w:eastAsia="en-GB"/>
              </w:rPr>
              <w:t>1B</w:t>
            </w:r>
          </w:p>
        </w:tc>
      </w:tr>
      <w:tr w:rsidR="00837E18" w14:paraId="059C8295" w14:textId="77777777" w:rsidTr="00406F4D">
        <w:trPr>
          <w:trHeight w:val="982"/>
        </w:trPr>
        <w:tc>
          <w:tcPr>
            <w:tcW w:w="115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CECB627" w14:textId="0863DE54" w:rsidR="001D1F02" w:rsidRPr="00117750" w:rsidRDefault="001630D4" w:rsidP="003F494F">
            <w:pPr>
              <w:spacing w:before="240" w:line="360" w:lineRule="auto"/>
              <w:rPr>
                <w:rFonts w:eastAsia="Arial" w:cstheme="minorHAnsi"/>
                <w:sz w:val="22"/>
                <w:szCs w:val="22"/>
                <w:lang w:val="en" w:eastAsia="en-GB"/>
              </w:rPr>
            </w:pPr>
            <w:r>
              <w:rPr>
                <w:rFonts w:eastAsia="Arial" w:cstheme="minorHAnsi"/>
                <w:sz w:val="22"/>
                <w:szCs w:val="22"/>
                <w:lang w:val="en" w:eastAsia="en-GB"/>
              </w:rPr>
              <w:t xml:space="preserve">INS </w:t>
            </w:r>
            <w:r w:rsidR="006645DC">
              <w:rPr>
                <w:rFonts w:eastAsia="Arial" w:cstheme="minorHAnsi"/>
                <w:sz w:val="22"/>
                <w:szCs w:val="22"/>
                <w:lang w:val="en" w:eastAsia="en-GB"/>
              </w:rPr>
              <w:t>1.1</w:t>
            </w:r>
            <w:r>
              <w:rPr>
                <w:rFonts w:eastAsia="Arial" w:cstheme="minorHAnsi"/>
                <w:sz w:val="22"/>
                <w:szCs w:val="22"/>
                <w:lang w:val="en" w:eastAsia="en-GB"/>
              </w:rPr>
              <w:t>2</w:t>
            </w:r>
          </w:p>
        </w:tc>
        <w:tc>
          <w:tcPr>
            <w:tcW w:w="81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014B33B" w14:textId="62B28FF9" w:rsidR="001D1F02" w:rsidRPr="00117750" w:rsidRDefault="001630D4" w:rsidP="003F494F">
            <w:pPr>
              <w:spacing w:before="240" w:line="360" w:lineRule="auto"/>
              <w:rPr>
                <w:rFonts w:eastAsia="Arial" w:cstheme="minorHAnsi"/>
                <w:sz w:val="22"/>
                <w:szCs w:val="22"/>
                <w:lang w:val="en" w:eastAsia="en-GB"/>
              </w:rPr>
            </w:pPr>
            <w:r w:rsidRPr="00D20CBA">
              <w:rPr>
                <w:rFonts w:eastAsia="Arial" w:cstheme="minorHAnsi"/>
                <w:sz w:val="22"/>
                <w:szCs w:val="22"/>
                <w:u w:val="single"/>
                <w:lang w:val="en" w:eastAsia="en-GB"/>
              </w:rPr>
              <w:t>We suggest</w:t>
            </w:r>
            <w:r w:rsidRPr="00117750">
              <w:rPr>
                <w:rFonts w:eastAsia="Arial" w:cstheme="minorHAnsi"/>
                <w:sz w:val="22"/>
                <w:szCs w:val="22"/>
                <w:lang w:val="en" w:eastAsia="en-GB"/>
              </w:rPr>
              <w:t xml:space="preserve"> that children who experience a first relapse of nephrotic syndrome </w:t>
            </w:r>
            <w:r w:rsidR="009B43F9">
              <w:rPr>
                <w:rFonts w:eastAsia="Arial" w:cstheme="minorHAnsi"/>
                <w:sz w:val="22"/>
                <w:szCs w:val="22"/>
                <w:lang w:val="en" w:eastAsia="en-GB"/>
              </w:rPr>
              <w:t xml:space="preserve">whilst taking </w:t>
            </w:r>
            <w:r w:rsidRPr="00117750">
              <w:rPr>
                <w:rFonts w:eastAsia="Arial" w:cstheme="minorHAnsi"/>
                <w:sz w:val="22"/>
                <w:szCs w:val="22"/>
                <w:lang w:val="en" w:eastAsia="en-GB"/>
              </w:rPr>
              <w:t xml:space="preserve">the initial </w:t>
            </w:r>
            <w:r w:rsidR="009B43F9">
              <w:rPr>
                <w:rFonts w:eastAsia="Arial" w:cstheme="minorHAnsi"/>
                <w:sz w:val="22"/>
                <w:szCs w:val="22"/>
                <w:lang w:val="en" w:eastAsia="en-GB"/>
              </w:rPr>
              <w:t>corticosteroid</w:t>
            </w:r>
            <w:r w:rsidRPr="00117750">
              <w:rPr>
                <w:rFonts w:eastAsia="Arial" w:cstheme="minorHAnsi"/>
                <w:sz w:val="22"/>
                <w:szCs w:val="22"/>
                <w:lang w:val="en" w:eastAsia="en-GB"/>
              </w:rPr>
              <w:t xml:space="preserve"> course or within 2 weeks of stopping </w:t>
            </w:r>
            <w:r w:rsidR="00856ED7">
              <w:rPr>
                <w:rFonts w:eastAsia="Arial" w:cstheme="minorHAnsi"/>
                <w:sz w:val="22"/>
                <w:szCs w:val="22"/>
                <w:lang w:val="en" w:eastAsia="en-GB"/>
              </w:rPr>
              <w:t>could</w:t>
            </w:r>
            <w:r w:rsidR="00856ED7" w:rsidRPr="00117750">
              <w:rPr>
                <w:rFonts w:eastAsia="Arial" w:cstheme="minorHAnsi"/>
                <w:sz w:val="22"/>
                <w:szCs w:val="22"/>
                <w:lang w:val="en" w:eastAsia="en-GB"/>
              </w:rPr>
              <w:t xml:space="preserve"> </w:t>
            </w:r>
            <w:r w:rsidR="009B43F9">
              <w:rPr>
                <w:rFonts w:eastAsia="Arial" w:cstheme="minorHAnsi"/>
                <w:sz w:val="22"/>
                <w:szCs w:val="22"/>
                <w:lang w:val="en" w:eastAsia="en-GB"/>
              </w:rPr>
              <w:t>be treated with</w:t>
            </w:r>
            <w:r w:rsidRPr="00117750">
              <w:rPr>
                <w:rFonts w:eastAsia="Arial" w:cstheme="minorHAnsi"/>
                <w:sz w:val="22"/>
                <w:szCs w:val="22"/>
                <w:lang w:val="en" w:eastAsia="en-GB"/>
              </w:rPr>
              <w:t xml:space="preserve"> prednisolone 60 mg/m</w:t>
            </w:r>
            <w:r w:rsidRPr="00117750">
              <w:rPr>
                <w:rFonts w:eastAsia="Arial" w:cstheme="minorHAnsi"/>
                <w:sz w:val="22"/>
                <w:szCs w:val="22"/>
                <w:vertAlign w:val="superscript"/>
                <w:lang w:val="en" w:eastAsia="en-GB"/>
              </w:rPr>
              <w:t>2</w:t>
            </w:r>
            <w:r w:rsidR="00375CA8">
              <w:rPr>
                <w:rFonts w:eastAsia="Arial" w:cstheme="minorHAnsi"/>
                <w:sz w:val="22"/>
                <w:szCs w:val="22"/>
                <w:lang w:val="en" w:eastAsia="en-GB"/>
              </w:rPr>
              <w:t xml:space="preserve"> per </w:t>
            </w:r>
            <w:r w:rsidRPr="00117750">
              <w:rPr>
                <w:rFonts w:eastAsia="Arial" w:cstheme="minorHAnsi"/>
                <w:sz w:val="22"/>
                <w:szCs w:val="22"/>
                <w:lang w:val="en" w:eastAsia="en-GB"/>
              </w:rPr>
              <w:t>day (maximum dose 60 mg) once daily until remission followed by 40 mg/m</w:t>
            </w:r>
            <w:r w:rsidRPr="00117750">
              <w:rPr>
                <w:rFonts w:eastAsia="Arial" w:cstheme="minorHAnsi"/>
                <w:sz w:val="22"/>
                <w:szCs w:val="22"/>
                <w:vertAlign w:val="superscript"/>
                <w:lang w:val="en" w:eastAsia="en-GB"/>
              </w:rPr>
              <w:t>2</w:t>
            </w:r>
            <w:r w:rsidRPr="00117750">
              <w:rPr>
                <w:rFonts w:eastAsia="Arial" w:cstheme="minorHAnsi"/>
                <w:sz w:val="22"/>
                <w:szCs w:val="22"/>
                <w:lang w:val="en" w:eastAsia="en-GB"/>
              </w:rPr>
              <w:t xml:space="preserve"> (maximum dose 40 mg) on alternate days for 4 weeks and then tapered over at least a further 8 weeks, and commence </w:t>
            </w:r>
            <w:r w:rsidR="00375CA8">
              <w:rPr>
                <w:rFonts w:eastAsia="Arial" w:cstheme="minorHAnsi"/>
                <w:sz w:val="22"/>
                <w:szCs w:val="22"/>
                <w:lang w:val="en" w:eastAsia="en-GB"/>
              </w:rPr>
              <w:t xml:space="preserve">on </w:t>
            </w:r>
            <w:r w:rsidRPr="00117750">
              <w:rPr>
                <w:rFonts w:eastAsia="Arial" w:cstheme="minorHAnsi"/>
                <w:sz w:val="22"/>
                <w:szCs w:val="22"/>
                <w:lang w:val="en" w:eastAsia="en-GB"/>
              </w:rPr>
              <w:t>either tacrolimus or mycophenolate mofetil as a steroid-sparing agent.</w:t>
            </w:r>
          </w:p>
        </w:tc>
        <w:tc>
          <w:tcPr>
            <w:tcW w:w="113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52CE00F" w14:textId="357B2384" w:rsidR="001D1F02" w:rsidRPr="00117750" w:rsidRDefault="001630D4" w:rsidP="003F494F">
            <w:pPr>
              <w:spacing w:before="240" w:line="360" w:lineRule="auto"/>
              <w:jc w:val="center"/>
              <w:rPr>
                <w:rFonts w:eastAsia="Arial" w:cstheme="minorHAnsi"/>
                <w:b/>
                <w:sz w:val="22"/>
                <w:szCs w:val="22"/>
                <w:lang w:val="en" w:eastAsia="en-GB"/>
              </w:rPr>
            </w:pPr>
            <w:r w:rsidRPr="00117750">
              <w:rPr>
                <w:rFonts w:eastAsia="Arial" w:cstheme="minorHAnsi"/>
                <w:b/>
                <w:sz w:val="22"/>
                <w:szCs w:val="22"/>
                <w:lang w:val="en" w:eastAsia="en-GB"/>
              </w:rPr>
              <w:t>2D</w:t>
            </w:r>
          </w:p>
        </w:tc>
      </w:tr>
    </w:tbl>
    <w:p w14:paraId="604A4D84" w14:textId="77777777" w:rsidR="001D1F02" w:rsidRPr="00117750" w:rsidRDefault="001630D4" w:rsidP="003F494F">
      <w:pPr>
        <w:pStyle w:val="Heading3"/>
        <w:spacing w:line="360" w:lineRule="auto"/>
        <w:rPr>
          <w:rFonts w:asciiTheme="minorHAnsi" w:eastAsia="Arial" w:hAnsiTheme="minorHAnsi" w:cstheme="minorHAnsi"/>
          <w:sz w:val="22"/>
          <w:szCs w:val="22"/>
          <w:lang w:val="en" w:eastAsia="en-GB"/>
        </w:rPr>
      </w:pPr>
      <w:r w:rsidRPr="00117750">
        <w:rPr>
          <w:rFonts w:asciiTheme="minorHAnsi" w:eastAsia="Arial" w:hAnsiTheme="minorHAnsi" w:cstheme="minorHAnsi"/>
          <w:sz w:val="22"/>
          <w:szCs w:val="22"/>
          <w:lang w:val="en" w:eastAsia="en-GB"/>
        </w:rPr>
        <w:t xml:space="preserve"> </w:t>
      </w:r>
      <w:bookmarkStart w:id="15" w:name="_xnwqdp2v5gv4" w:colFirst="0" w:colLast="0"/>
      <w:bookmarkEnd w:id="15"/>
    </w:p>
    <w:p w14:paraId="1D8CB46C" w14:textId="77777777" w:rsidR="001D1F02" w:rsidRPr="00EE5437" w:rsidRDefault="001630D4" w:rsidP="003F494F">
      <w:pPr>
        <w:spacing w:line="360" w:lineRule="auto"/>
        <w:rPr>
          <w:b/>
          <w:bCs/>
          <w:sz w:val="22"/>
          <w:szCs w:val="22"/>
          <w:lang w:val="en" w:eastAsia="en-GB"/>
        </w:rPr>
      </w:pPr>
      <w:r w:rsidRPr="00EE5437">
        <w:rPr>
          <w:b/>
          <w:bCs/>
          <w:sz w:val="22"/>
          <w:szCs w:val="22"/>
          <w:lang w:val="en" w:eastAsia="en-GB"/>
        </w:rPr>
        <w:t>Rationale</w:t>
      </w:r>
    </w:p>
    <w:p w14:paraId="7426139F" w14:textId="21CBEFBC" w:rsidR="001D1F02" w:rsidRPr="00117750" w:rsidRDefault="001630D4" w:rsidP="003F494F">
      <w:pPr>
        <w:spacing w:before="240" w:after="240" w:line="360" w:lineRule="auto"/>
        <w:jc w:val="both"/>
        <w:rPr>
          <w:rFonts w:eastAsia="Arial" w:cstheme="minorHAnsi"/>
          <w:sz w:val="22"/>
          <w:szCs w:val="22"/>
          <w:lang w:val="en" w:eastAsia="en-GB"/>
        </w:rPr>
      </w:pPr>
      <w:r w:rsidRPr="00117750">
        <w:rPr>
          <w:rFonts w:eastAsia="Arial" w:cstheme="minorHAnsi"/>
          <w:sz w:val="22"/>
          <w:szCs w:val="22"/>
          <w:lang w:val="en" w:eastAsia="en-GB"/>
        </w:rPr>
        <w:t xml:space="preserve">In recent years, there have been small RCTs </w:t>
      </w:r>
      <w:r w:rsidR="00D20CBA">
        <w:rPr>
          <w:rFonts w:eastAsia="Arial" w:cstheme="minorHAnsi"/>
          <w:sz w:val="22"/>
          <w:szCs w:val="22"/>
          <w:lang w:val="en" w:eastAsia="en-GB"/>
        </w:rPr>
        <w:t>suggesting</w:t>
      </w:r>
      <w:r w:rsidRPr="00117750">
        <w:rPr>
          <w:rFonts w:eastAsia="Arial" w:cstheme="minorHAnsi"/>
          <w:sz w:val="22"/>
          <w:szCs w:val="22"/>
          <w:lang w:val="en" w:eastAsia="en-GB"/>
        </w:rPr>
        <w:t xml:space="preserve"> equivalent efficacy using smaller doses of prednisolone</w:t>
      </w:r>
      <w:r w:rsidR="004256C8">
        <w:rPr>
          <w:rFonts w:eastAsia="Arial" w:cstheme="minorHAnsi"/>
          <w:sz w:val="22"/>
          <w:szCs w:val="22"/>
          <w:lang w:val="en" w:eastAsia="en-GB"/>
        </w:rPr>
        <w:t xml:space="preserve"> and t</w:t>
      </w:r>
      <w:r w:rsidRPr="00117750">
        <w:rPr>
          <w:rFonts w:eastAsia="Arial" w:cstheme="minorHAnsi"/>
          <w:sz w:val="22"/>
          <w:szCs w:val="22"/>
          <w:lang w:val="en" w:eastAsia="en-GB"/>
        </w:rPr>
        <w:t xml:space="preserve">he duration has been challenged </w:t>
      </w:r>
      <w:r w:rsidR="00D20CBA">
        <w:rPr>
          <w:rFonts w:eastAsia="Arial" w:cstheme="minorHAnsi"/>
          <w:sz w:val="22"/>
          <w:szCs w:val="22"/>
          <w:lang w:val="en" w:eastAsia="en-GB"/>
        </w:rPr>
        <w:t>too</w:t>
      </w:r>
      <w:r w:rsidRPr="00117750">
        <w:rPr>
          <w:rFonts w:eastAsia="Arial" w:cstheme="minorHAnsi"/>
          <w:sz w:val="22"/>
          <w:szCs w:val="22"/>
          <w:lang w:val="en" w:eastAsia="en-GB"/>
        </w:rPr>
        <w:t xml:space="preserve">.  Kainth </w:t>
      </w:r>
      <w:r w:rsidR="0022737A">
        <w:rPr>
          <w:rFonts w:eastAsia="Arial" w:cstheme="minorHAnsi"/>
          <w:color w:val="000000"/>
          <w:sz w:val="22"/>
          <w:szCs w:val="22"/>
          <w:lang w:val="en" w:eastAsia="en-GB"/>
        </w:rPr>
        <w:t xml:space="preserve">et al </w:t>
      </w:r>
      <w:r w:rsidRPr="00117750">
        <w:rPr>
          <w:rFonts w:eastAsia="Arial" w:cstheme="minorHAnsi"/>
          <w:sz w:val="22"/>
          <w:szCs w:val="22"/>
          <w:lang w:val="en" w:eastAsia="en-GB"/>
        </w:rPr>
        <w:t xml:space="preserve">showed </w:t>
      </w:r>
      <w:r w:rsidR="004256C8">
        <w:rPr>
          <w:rFonts w:eastAsia="Arial" w:cstheme="minorHAnsi"/>
          <w:sz w:val="22"/>
          <w:szCs w:val="22"/>
          <w:lang w:val="en" w:eastAsia="en-GB"/>
        </w:rPr>
        <w:t xml:space="preserve">potential </w:t>
      </w:r>
      <w:r w:rsidRPr="00117750">
        <w:rPr>
          <w:rFonts w:eastAsia="Arial" w:cstheme="minorHAnsi"/>
          <w:sz w:val="22"/>
          <w:szCs w:val="22"/>
          <w:lang w:val="en" w:eastAsia="en-GB"/>
        </w:rPr>
        <w:t>efficacy from a 2-week duration compared to standard 4-week</w:t>
      </w:r>
      <w:r w:rsidR="00D20CBA">
        <w:rPr>
          <w:rFonts w:eastAsia="Arial" w:cstheme="minorHAnsi"/>
          <w:sz w:val="22"/>
          <w:szCs w:val="22"/>
          <w:lang w:val="en" w:eastAsia="en-GB"/>
        </w:rPr>
        <w:t>s,</w:t>
      </w:r>
      <w:r w:rsidRPr="00117750">
        <w:rPr>
          <w:rFonts w:eastAsia="Arial" w:cstheme="minorHAnsi"/>
          <w:sz w:val="22"/>
          <w:szCs w:val="22"/>
          <w:lang w:val="en" w:eastAsia="en-GB"/>
        </w:rPr>
        <w:t xml:space="preserve"> </w:t>
      </w:r>
      <w:r w:rsidR="00D20CBA">
        <w:rPr>
          <w:rFonts w:eastAsia="Arial" w:cstheme="minorHAnsi"/>
          <w:sz w:val="22"/>
          <w:szCs w:val="22"/>
          <w:lang w:val="en" w:eastAsia="en-GB"/>
        </w:rPr>
        <w:t>however,</w:t>
      </w:r>
      <w:r w:rsidRPr="00117750">
        <w:rPr>
          <w:rFonts w:eastAsia="Arial" w:cstheme="minorHAnsi"/>
          <w:sz w:val="22"/>
          <w:szCs w:val="22"/>
          <w:lang w:val="en" w:eastAsia="en-GB"/>
        </w:rPr>
        <w:t xml:space="preserve"> </w:t>
      </w:r>
      <w:r w:rsidR="00D20CBA">
        <w:rPr>
          <w:rFonts w:eastAsia="Arial" w:cstheme="minorHAnsi"/>
          <w:sz w:val="22"/>
          <w:szCs w:val="22"/>
          <w:lang w:val="en" w:eastAsia="en-GB"/>
        </w:rPr>
        <w:t xml:space="preserve">unfortunately, </w:t>
      </w:r>
      <w:r w:rsidRPr="00117750">
        <w:rPr>
          <w:rFonts w:eastAsia="Arial" w:cstheme="minorHAnsi"/>
          <w:sz w:val="22"/>
          <w:szCs w:val="22"/>
          <w:lang w:val="en" w:eastAsia="en-GB"/>
        </w:rPr>
        <w:t>the study was underpowered</w:t>
      </w:r>
      <w:r w:rsidR="0022737A">
        <w:rPr>
          <w:rFonts w:eastAsia="Arial" w:cstheme="minorHAnsi"/>
          <w:sz w:val="22"/>
          <w:szCs w:val="22"/>
          <w:lang w:val="en" w:eastAsia="en-GB"/>
        </w:rPr>
        <w:t xml:space="preserve"> </w:t>
      </w:r>
      <w:r w:rsidR="0022737A">
        <w:rPr>
          <w:rFonts w:eastAsia="Arial" w:cstheme="minorHAnsi"/>
          <w:sz w:val="22"/>
          <w:szCs w:val="22"/>
          <w:lang w:val="en" w:eastAsia="en-GB"/>
        </w:rPr>
        <w:fldChar w:fldCharType="begin"/>
      </w:r>
      <w:r w:rsidR="00642970">
        <w:rPr>
          <w:rFonts w:eastAsia="Arial" w:cstheme="minorHAnsi"/>
          <w:sz w:val="22"/>
          <w:szCs w:val="22"/>
          <w:lang w:val="en" w:eastAsia="en-GB"/>
        </w:rPr>
        <w:instrText xml:space="preserve"> ADDIN ZOTERO_ITEM CSL_CITATION {"citationID":"zNAL3oyg","properties":{"formattedCitation":"(133)","plainCitation":"(133)","noteIndex":0},"citationItems":[{"id":323,"uris":["http://zotero.org/users/local/lvPLY4Gu/items/22PH3RU3"],"itemData":{"id":323,"type":"article-journal","abstract":"BACKGROUND AND OBJECTIVES: In children with nephrotic syndrome, steroids are the cornerstone of therapy for relapse. The adequate duration and dosage of steroids, however, have not been an active area of research, especially in children with infrequently relapsing nephrotic syndrome. This study investigated the efficacy of an abbreviated regimen for treatment of a relapse in this population.\nDESIGN, SETTING, PARTICIPANTS, &amp; MEASUREMENTS: In a single-center, open-label, randomized controlled trial, we evaluated the efficacy of prednisolone as a \"short regimen\" (40 mg/m2 on alternate days for 2 weeks) compared with \"standard regimen\" (40 mg/m2 on alternate days for 4 weeks) for children aged 1-16 years who achieved remission of a relapse. The primary outcome was the proportion of children developing frequent relapses or steroid dependence at 12 months.\nRESULTS: A total of 117 patients were enrolled and randomized to short (55) or standard (62) regimen. Fourteen (24%) patients in standard regimen and 12 (23%) in short regimen developed frequent relapses or steroid dependence over a period of 1 year (risk difference, -1%; 95% confidence interval, -15 to 16; P=0.90). A large 95% confidence interval crossed the proposed noninferiority margin. In a time to event analysis, there was no significant difference in the proportion of children developing frequent relapses or steroid dependence and time to outcome between the two groups (hazard ratio, 1.01; 95% confidence interval, 0.83 to 1.23; P=0.98). Time to relapse, relapse rate, and steroid-related adverse events were similar in both groups. Cumulative steroid exposure was significantly lower in the short regimen (risk difference, -541 mg/m2; 95% confidence interval, -917 to -164 mg/m2; P&lt;0.001).\nCONCLUSIONS: In children with infrequently relapsing nephrotic syndrome, a short steroid treatment for relapse resulted in a similar proportion of patients developing frequent relapses or steroid dependence; however, noninferiority of a short regimen was not established.\nCLINICAL TRIAL REGISTRY NAME AND REGISTRATION NUMBER: CTRI/2015/11/006345.","container-title":"Clinical journal of the American Society of Nephrology: CJASN","DOI":"10.2215/CJN.06140420","ISSN":"1555-905X","issue":"2","journalAbbreviation":"Clin J Am Soc Nephrol","language":"eng","note":"PMID: 33478976\nPMCID: PMC7863637","page":"225-232","source":"PubMed","title":"Short-Duration Prednisolone in Children with Nephrotic Syndrome Relapse: A Noninferiority Randomized Controlled Trial","title-short":"Short-Duration Prednisolone in Children with Nephrotic Syndrome Relapse","volume":"16","author":[{"family":"Kainth","given":"Deepika"},{"family":"Hari","given":"Pankaj"},{"family":"Sinha","given":"Aditi"},{"family":"Pandey","given":"Shivam"},{"family":"Bagga","given":"Arvind"}],"issued":{"date-parts":[["2021",2,8]]}}}],"schema":"https://github.com/citation-style-language/schema/raw/master/csl-citation.json"} </w:instrText>
      </w:r>
      <w:r w:rsidR="0022737A">
        <w:rPr>
          <w:rFonts w:eastAsia="Arial" w:cstheme="minorHAnsi"/>
          <w:sz w:val="22"/>
          <w:szCs w:val="22"/>
          <w:lang w:val="en" w:eastAsia="en-GB"/>
        </w:rPr>
        <w:fldChar w:fldCharType="separate"/>
      </w:r>
      <w:r w:rsidR="00642970">
        <w:rPr>
          <w:rFonts w:eastAsia="Arial" w:cstheme="minorHAnsi"/>
          <w:noProof/>
          <w:sz w:val="22"/>
          <w:szCs w:val="22"/>
          <w:lang w:val="en" w:eastAsia="en-GB"/>
        </w:rPr>
        <w:t>(133)</w:t>
      </w:r>
      <w:r w:rsidR="0022737A">
        <w:rPr>
          <w:rFonts w:eastAsia="Arial" w:cstheme="minorHAnsi"/>
          <w:sz w:val="22"/>
          <w:szCs w:val="22"/>
          <w:lang w:val="en" w:eastAsia="en-GB"/>
        </w:rPr>
        <w:fldChar w:fldCharType="end"/>
      </w:r>
      <w:r w:rsidRPr="00117750">
        <w:rPr>
          <w:rFonts w:eastAsia="Arial" w:cstheme="minorHAnsi"/>
          <w:sz w:val="22"/>
          <w:szCs w:val="22"/>
          <w:lang w:val="en" w:eastAsia="en-GB"/>
        </w:rPr>
        <w:t>.  The Italian PROPINE study showed no benefit from longer durations</w:t>
      </w:r>
      <w:r w:rsidR="0022737A">
        <w:rPr>
          <w:rFonts w:eastAsia="Arial" w:cstheme="minorHAnsi"/>
          <w:sz w:val="22"/>
          <w:szCs w:val="22"/>
          <w:lang w:val="en" w:eastAsia="en-GB"/>
        </w:rPr>
        <w:t xml:space="preserve"> </w:t>
      </w:r>
      <w:r w:rsidR="0022737A">
        <w:rPr>
          <w:rFonts w:eastAsia="Arial" w:cstheme="minorHAnsi"/>
          <w:sz w:val="22"/>
          <w:szCs w:val="22"/>
          <w:lang w:val="en" w:eastAsia="en-GB"/>
        </w:rPr>
        <w:fldChar w:fldCharType="begin"/>
      </w:r>
      <w:r w:rsidR="00642970">
        <w:rPr>
          <w:rFonts w:eastAsia="Arial" w:cstheme="minorHAnsi"/>
          <w:sz w:val="22"/>
          <w:szCs w:val="22"/>
          <w:lang w:val="en" w:eastAsia="en-GB"/>
        </w:rPr>
        <w:instrText xml:space="preserve"> ADDIN ZOTERO_ITEM CSL_CITATION {"citationID":"IPoPWnbh","properties":{"formattedCitation":"(134)","plainCitation":"(134)","noteIndex":0},"citationItems":[{"id":321,"uris":["http://zotero.org/users/local/lvPLY4Gu/items/Y3QX75JP"],"itemData":{"id":321,"type":"article-journal","abstract":"Corticosteroid-related toxicity in children with steroid-sensitive nephrotic syndrome is primarily related to the cumulative dose of prednisone. To optimize treatment of relapses, we conducted the PROPINE study, a multicentric, open-label, randomized, superiority trial. Seventy-eight relapsing children aged 3-17 years who had not received steroid-sparing medications during the previous 12 months were randomized to receive, from day five after remission, either 18 doses of 40 mg/m2 of prednisone on alternate days (short arm), or the same cumulative dose tapered over double the time (long arm). Patients were monitored with an ad-hoc smartphone application, allowing daily reporting. The primary outcome was the six-month relapse rate at which time, 23/40 and 16/38 patients had relapsed in the long and short arms, respectively (no significant difference). Additionally, 40/78 patients were also enrolled in a secondary crossover study and were allocated to the opposite arm. Altogether, at six months, the relapse rate was 32/40 and 28/40 in the long and short arms, respectively (no significant difference). A post-hoc analysis excluding 30 patients treated with low-dose prednisone maintenance therapy failed to show significant differences between the two arms. No differences in adverse events, blood pressure and weight gain were observed. Thus, our data do not support the prescription of prolonged tapering schedules for relapses of steroid-sensitive nephrotic syndrome in children.","container-title":"Kidney International","DOI":"10.1016/j.kint.2020.09.024","ISSN":"1523-1755","issue":"2","journalAbbreviation":"Kidney Int","language":"eng","note":"PMID: 33152448","page":"475-483","source":"PubMed","title":"Results of the PROPINE randomized controlled study suggest tapering of prednisone treatment for relapses of steroid sensitive nephrotic syndrome is not necessary in children","volume":"99","author":[{"family":"Gargiulo","given":"Antonio"},{"family":"Massella","given":"Laura"},{"family":"Ruggiero","given":"Barbara"},{"family":"Ravà","given":"Lucilla"},{"family":"Ciofi Degli Atti","given":"Marta"},{"family":"Materassi","given":"Marco"},{"family":"Lugani","given":"Francesca"},{"family":"Benetti","given":"Elisa"},{"family":"Morello","given":"William"},{"family":"Molino","given":"Daniela"},{"family":"Mattozzi","given":"Francesca"},{"family":"Pennesi","given":"Marco"},{"family":"Maringhini","given":"Silvio"},{"family":"Pasini","given":"Andrea"},{"family":"Gianoglio","given":"Bruno"},{"family":"Pecoraro","given":"Carmine"},{"family":"Montini","given":"Giovanni"},{"family":"Murer","given":"Luisa"},{"family":"Ghiggeri","given":"Gian Marco"},{"family":"Romagnani","given":"Paola"},{"family":"Vivarelli","given":"Marina"},{"family":"Emma","given":"Francesco"}],"issued":{"date-parts":[["2021",2]]}}}],"schema":"https://github.com/citation-style-language/schema/raw/master/csl-citation.json"} </w:instrText>
      </w:r>
      <w:r w:rsidR="0022737A">
        <w:rPr>
          <w:rFonts w:eastAsia="Arial" w:cstheme="minorHAnsi"/>
          <w:sz w:val="22"/>
          <w:szCs w:val="22"/>
          <w:lang w:val="en" w:eastAsia="en-GB"/>
        </w:rPr>
        <w:fldChar w:fldCharType="separate"/>
      </w:r>
      <w:r w:rsidR="00642970">
        <w:rPr>
          <w:rFonts w:eastAsia="Arial" w:cstheme="minorHAnsi"/>
          <w:noProof/>
          <w:sz w:val="22"/>
          <w:szCs w:val="22"/>
          <w:lang w:val="en" w:eastAsia="en-GB"/>
        </w:rPr>
        <w:t>(134)</w:t>
      </w:r>
      <w:r w:rsidR="0022737A">
        <w:rPr>
          <w:rFonts w:eastAsia="Arial" w:cstheme="minorHAnsi"/>
          <w:sz w:val="22"/>
          <w:szCs w:val="22"/>
          <w:lang w:val="en" w:eastAsia="en-GB"/>
        </w:rPr>
        <w:fldChar w:fldCharType="end"/>
      </w:r>
      <w:r w:rsidRPr="00117750">
        <w:rPr>
          <w:rFonts w:eastAsia="Arial" w:cstheme="minorHAnsi"/>
          <w:sz w:val="22"/>
          <w:szCs w:val="22"/>
          <w:lang w:val="en" w:eastAsia="en-GB"/>
        </w:rPr>
        <w:t>.</w:t>
      </w:r>
      <w:r w:rsidR="00EE5437">
        <w:rPr>
          <w:rFonts w:eastAsia="Arial" w:cstheme="minorHAnsi"/>
          <w:sz w:val="22"/>
          <w:szCs w:val="22"/>
          <w:lang w:val="en" w:eastAsia="en-GB"/>
        </w:rPr>
        <w:t xml:space="preserve"> </w:t>
      </w:r>
      <w:r w:rsidRPr="00117750">
        <w:rPr>
          <w:rFonts w:eastAsia="Arial" w:cstheme="minorHAnsi"/>
          <w:sz w:val="22"/>
          <w:szCs w:val="22"/>
          <w:lang w:val="en" w:eastAsia="en-GB"/>
        </w:rPr>
        <w:t xml:space="preserve">Children who experience frequent relapses are often prescribed </w:t>
      </w:r>
      <w:proofErr w:type="spellStart"/>
      <w:r w:rsidR="00D20CBA">
        <w:rPr>
          <w:rFonts w:eastAsia="Arial" w:cstheme="minorHAnsi"/>
          <w:sz w:val="22"/>
          <w:szCs w:val="22"/>
          <w:lang w:val="en" w:eastAsia="en-GB"/>
        </w:rPr>
        <w:t>individualised</w:t>
      </w:r>
      <w:proofErr w:type="spellEnd"/>
      <w:r w:rsidR="00D20CBA">
        <w:rPr>
          <w:rFonts w:eastAsia="Arial" w:cstheme="minorHAnsi"/>
          <w:sz w:val="22"/>
          <w:szCs w:val="22"/>
          <w:lang w:val="en" w:eastAsia="en-GB"/>
        </w:rPr>
        <w:t xml:space="preserve"> </w:t>
      </w:r>
      <w:r w:rsidRPr="00117750">
        <w:rPr>
          <w:rFonts w:eastAsia="Arial" w:cstheme="minorHAnsi"/>
          <w:sz w:val="22"/>
          <w:szCs w:val="22"/>
          <w:lang w:val="en" w:eastAsia="en-GB"/>
        </w:rPr>
        <w:t xml:space="preserve">tapering courses of corticosteroid though the evidence for this is </w:t>
      </w:r>
      <w:r w:rsidR="00D20CBA">
        <w:rPr>
          <w:rFonts w:eastAsia="Arial" w:cstheme="minorHAnsi"/>
          <w:sz w:val="22"/>
          <w:szCs w:val="22"/>
          <w:lang w:val="en" w:eastAsia="en-GB"/>
        </w:rPr>
        <w:t xml:space="preserve">also </w:t>
      </w:r>
      <w:r w:rsidRPr="00117750">
        <w:rPr>
          <w:rFonts w:eastAsia="Arial" w:cstheme="minorHAnsi"/>
          <w:sz w:val="22"/>
          <w:szCs w:val="22"/>
          <w:lang w:val="en" w:eastAsia="en-GB"/>
        </w:rPr>
        <w:t>lacking. The clinical course of children who relapse early</w:t>
      </w:r>
      <w:r w:rsidR="004256C8">
        <w:rPr>
          <w:rFonts w:eastAsia="Arial" w:cstheme="minorHAnsi"/>
          <w:sz w:val="22"/>
          <w:szCs w:val="22"/>
          <w:lang w:val="en" w:eastAsia="en-GB"/>
        </w:rPr>
        <w:t xml:space="preserve"> (</w:t>
      </w:r>
      <w:r w:rsidRPr="00117750">
        <w:rPr>
          <w:rFonts w:eastAsia="Arial" w:cstheme="minorHAnsi"/>
          <w:sz w:val="22"/>
          <w:szCs w:val="22"/>
          <w:lang w:val="en" w:eastAsia="en-GB"/>
        </w:rPr>
        <w:t>within 2 weeks</w:t>
      </w:r>
      <w:r w:rsidR="004256C8">
        <w:rPr>
          <w:rFonts w:eastAsia="Arial" w:cstheme="minorHAnsi"/>
          <w:sz w:val="22"/>
          <w:szCs w:val="22"/>
          <w:lang w:val="en" w:eastAsia="en-GB"/>
        </w:rPr>
        <w:t xml:space="preserve"> of stopping steroids)</w:t>
      </w:r>
      <w:r w:rsidRPr="00117750">
        <w:rPr>
          <w:rFonts w:eastAsia="Arial" w:cstheme="minorHAnsi"/>
          <w:sz w:val="22"/>
          <w:szCs w:val="22"/>
          <w:lang w:val="en" w:eastAsia="en-GB"/>
        </w:rPr>
        <w:t>, is usually frequently relapsing disease</w:t>
      </w:r>
      <w:r w:rsidR="0022737A">
        <w:rPr>
          <w:rFonts w:eastAsia="Arial" w:cstheme="minorHAnsi"/>
          <w:sz w:val="22"/>
          <w:szCs w:val="22"/>
          <w:lang w:val="en" w:eastAsia="en-GB"/>
        </w:rPr>
        <w:t xml:space="preserve"> </w:t>
      </w:r>
      <w:r w:rsidR="0022737A">
        <w:rPr>
          <w:rFonts w:eastAsia="Arial" w:cstheme="minorHAnsi"/>
          <w:sz w:val="22"/>
          <w:szCs w:val="22"/>
          <w:lang w:val="en" w:eastAsia="en-GB"/>
        </w:rPr>
        <w:fldChar w:fldCharType="begin"/>
      </w:r>
      <w:r w:rsidR="00642970">
        <w:rPr>
          <w:rFonts w:eastAsia="Arial" w:cstheme="minorHAnsi"/>
          <w:sz w:val="22"/>
          <w:szCs w:val="22"/>
          <w:lang w:val="en" w:eastAsia="en-GB"/>
        </w:rPr>
        <w:instrText xml:space="preserve"> ADDIN ZOTERO_ITEM CSL_CITATION {"citationID":"76du1Vqa","properties":{"formattedCitation":"(4)","plainCitation":"(4)","noteIndex":0},"citationItems":[{"id":8,"uris":["http://zotero.org/users/local/lvPLY4Gu/items/LPZFJLIB"],"itemData":{"id":8,"type":"article-journal","abstract":"Idiopathic nephrotic syndrome is the most frequent pediatric glomerular disease, affecting from 1.15 to 16.9 per 100,000 children per year globally. It is characterized by massive proteinuria, hypoalbuminemia, and/or concomitant edema. Approximately 85-90% of patients attain complete remission of proteinuria within 4-6 weeks of treatment with glucocorticoids, and therefore, have steroid-sensitive nephrotic syndrome (SSNS). Among those patients who are steroid sensitive, 70-80% will have at least one relapse during follow-up, and up to 50% of these patients will experience frequent relapses or become dependent on glucocorticoids to maintain remission. The dose and duration of steroid treatment to prolong time between relapses remains a subject of much debate, and patients continue to experience a high prevalence of steroid-related morbidity. Various steroid-sparing immunosuppressive drugs have been used in clinical practice; however, there is marked practice variation in the selection of these drugs and timing of their introduction during the course of the disease. Therefore, international evidence-based clinical practice recommendations (CPRs) are needed to guide clinical practice and reduce practice variation. The International Pediatric Nephrology Association (IPNA) convened a team of experts including pediatric nephrologists, an adult nephrologist, and a patient representative to develop comprehensive CPRs on the diagnosis and management of SSNS in children. After performing a systematic literature review on 12 clinically relevant PICO (Patient or Population covered, Intervention, Comparator, Outcome) questions, recommendations were formulated and formally graded at several virtual consensus meetings. New definitions for treatment outcomes to help guide change of therapy and recommendations for important research questions are given.","container-title":"Pediatric Nephrology (Berlin, Germany)","DOI":"10.1007/s00467-022-05739-3","ISSN":"1432-198X","issue":"3","journalAbbreviation":"Pediatr Nephrol","language":"eng","note":"PMID: 36269406\nPMCID: PMC9589698","page":"877-919","source":"PubMed","title":"IPNA clinical practice recommendations for the diagnosis and management of children with steroid-sensitive nephrotic syndrome","volume":"38","author":[{"family":"Trautmann","given":"Agnes"},{"family":"Boyer","given":"Olivia"},{"family":"Hodson","given":"Elisabeth"},{"family":"Bagga","given":"Arvind"},{"family":"Gipson","given":"Debbie S."},{"family":"Samuel","given":"Susan"},{"family":"Wetzels","given":"Jack"},{"family":"Alhasan","given":"Khalid"},{"family":"Banerjee","given":"Sushmita"},{"family":"Bhimma","given":"Rajendra"},{"family":"Bonilla-Felix","given":"Melvin"},{"family":"Cano","given":"Francisco"},{"family":"Christian","given":"Martin"},{"family":"Hahn","given":"Deirdre"},{"family":"Kang","given":"Hee Gyung"},{"family":"Nakanishi","given":"Koichi"},{"family":"Safouh","given":"Hesham"},{"family":"Trachtman","given":"Howard"},{"family":"Xu","given":"Hong"},{"family":"Cook","given":"Wendy"},{"family":"Vivarelli","given":"Marina"},{"family":"Haffner","given":"Dieter"},{"literal":"International Pediatric Nephrology Association"}],"issued":{"date-parts":[["2023",3]]}}}],"schema":"https://github.com/citation-style-language/schema/raw/master/csl-citation.json"} </w:instrText>
      </w:r>
      <w:r w:rsidR="0022737A">
        <w:rPr>
          <w:rFonts w:eastAsia="Arial" w:cstheme="minorHAnsi"/>
          <w:sz w:val="22"/>
          <w:szCs w:val="22"/>
          <w:lang w:val="en" w:eastAsia="en-GB"/>
        </w:rPr>
        <w:fldChar w:fldCharType="separate"/>
      </w:r>
      <w:r w:rsidR="00642970">
        <w:rPr>
          <w:rFonts w:eastAsia="Arial" w:cstheme="minorHAnsi"/>
          <w:noProof/>
          <w:sz w:val="22"/>
          <w:szCs w:val="22"/>
          <w:lang w:val="en" w:eastAsia="en-GB"/>
        </w:rPr>
        <w:t>(4)</w:t>
      </w:r>
      <w:r w:rsidR="0022737A">
        <w:rPr>
          <w:rFonts w:eastAsia="Arial" w:cstheme="minorHAnsi"/>
          <w:sz w:val="22"/>
          <w:szCs w:val="22"/>
          <w:lang w:val="en" w:eastAsia="en-GB"/>
        </w:rPr>
        <w:fldChar w:fldCharType="end"/>
      </w:r>
      <w:r w:rsidR="0022737A">
        <w:rPr>
          <w:rFonts w:eastAsia="Arial" w:cstheme="minorHAnsi"/>
          <w:sz w:val="22"/>
          <w:szCs w:val="22"/>
          <w:lang w:val="en" w:eastAsia="en-GB"/>
        </w:rPr>
        <w:t>.</w:t>
      </w:r>
      <w:r w:rsidRPr="00117750">
        <w:rPr>
          <w:rFonts w:eastAsia="Arial" w:cstheme="minorHAnsi"/>
          <w:sz w:val="22"/>
          <w:szCs w:val="22"/>
          <w:lang w:val="en" w:eastAsia="en-GB"/>
        </w:rPr>
        <w:t xml:space="preserve">  </w:t>
      </w:r>
    </w:p>
    <w:p w14:paraId="73CBB8F0" w14:textId="72F0257E" w:rsidR="001D1F02" w:rsidRDefault="001630D4" w:rsidP="003F494F">
      <w:pPr>
        <w:spacing w:line="360" w:lineRule="auto"/>
        <w:rPr>
          <w:b/>
          <w:bCs/>
          <w:sz w:val="22"/>
          <w:szCs w:val="22"/>
          <w:lang w:val="en" w:eastAsia="en-GB"/>
        </w:rPr>
      </w:pPr>
      <w:r w:rsidRPr="00EE5437">
        <w:rPr>
          <w:b/>
          <w:bCs/>
          <w:sz w:val="22"/>
          <w:szCs w:val="22"/>
          <w:lang w:val="en" w:eastAsia="en-GB"/>
        </w:rPr>
        <w:t xml:space="preserve">Management of </w:t>
      </w:r>
      <w:proofErr w:type="spellStart"/>
      <w:r w:rsidR="004256C8">
        <w:rPr>
          <w:b/>
          <w:bCs/>
          <w:sz w:val="22"/>
          <w:szCs w:val="22"/>
          <w:lang w:val="en" w:eastAsia="en-GB"/>
        </w:rPr>
        <w:t>iNS</w:t>
      </w:r>
      <w:proofErr w:type="spellEnd"/>
      <w:r w:rsidR="004256C8">
        <w:rPr>
          <w:b/>
          <w:bCs/>
          <w:sz w:val="22"/>
          <w:szCs w:val="22"/>
          <w:lang w:val="en" w:eastAsia="en-GB"/>
        </w:rPr>
        <w:t xml:space="preserve"> that responds to steroids (SSNS) and has </w:t>
      </w:r>
      <w:r w:rsidRPr="00EE5437">
        <w:rPr>
          <w:b/>
          <w:bCs/>
          <w:sz w:val="22"/>
          <w:szCs w:val="22"/>
          <w:lang w:val="en" w:eastAsia="en-GB"/>
        </w:rPr>
        <w:t>subsequent relapses</w:t>
      </w:r>
    </w:p>
    <w:p w14:paraId="1C1DA67E" w14:textId="77777777" w:rsidR="00865D85" w:rsidRPr="00EE5437" w:rsidRDefault="00865D85" w:rsidP="003F494F">
      <w:pPr>
        <w:spacing w:line="360" w:lineRule="auto"/>
        <w:rPr>
          <w:b/>
          <w:bCs/>
          <w:sz w:val="22"/>
          <w:szCs w:val="22"/>
          <w:lang w:val="en" w:eastAsia="en-GB"/>
        </w:rPr>
      </w:pPr>
    </w:p>
    <w:tbl>
      <w:tblPr>
        <w:tblW w:w="10484" w:type="dxa"/>
        <w:tblBorders>
          <w:top w:val="nil"/>
          <w:left w:val="nil"/>
          <w:bottom w:val="nil"/>
          <w:right w:val="nil"/>
          <w:insideH w:val="nil"/>
          <w:insideV w:val="nil"/>
        </w:tblBorders>
        <w:tblLayout w:type="fixed"/>
        <w:tblLook w:val="0600" w:firstRow="0" w:lastRow="0" w:firstColumn="0" w:lastColumn="0" w:noHBand="1" w:noVBand="1"/>
      </w:tblPr>
      <w:tblGrid>
        <w:gridCol w:w="1155"/>
        <w:gridCol w:w="7911"/>
        <w:gridCol w:w="1418"/>
      </w:tblGrid>
      <w:tr w:rsidR="00837E18" w14:paraId="5F910647" w14:textId="77777777" w:rsidTr="00C00DD6">
        <w:trPr>
          <w:trHeight w:val="300"/>
        </w:trPr>
        <w:tc>
          <w:tcPr>
            <w:tcW w:w="115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982CAE4" w14:textId="77777777" w:rsidR="001D1F02" w:rsidRPr="00117750" w:rsidRDefault="001630D4" w:rsidP="003F494F">
            <w:pPr>
              <w:spacing w:before="240" w:line="360" w:lineRule="auto"/>
              <w:jc w:val="center"/>
              <w:rPr>
                <w:rFonts w:eastAsia="Arial" w:cstheme="minorHAnsi"/>
                <w:b/>
                <w:sz w:val="22"/>
                <w:szCs w:val="22"/>
                <w:lang w:val="en" w:eastAsia="en-GB"/>
              </w:rPr>
            </w:pPr>
            <w:r w:rsidRPr="00117750">
              <w:rPr>
                <w:rFonts w:eastAsia="Arial" w:cstheme="minorHAnsi"/>
                <w:b/>
                <w:sz w:val="22"/>
                <w:szCs w:val="22"/>
                <w:lang w:val="en" w:eastAsia="en-GB"/>
              </w:rPr>
              <w:t>Number</w:t>
            </w:r>
          </w:p>
        </w:tc>
        <w:tc>
          <w:tcPr>
            <w:tcW w:w="7911"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59AE88D5" w14:textId="77777777" w:rsidR="001D1F02" w:rsidRPr="00117750" w:rsidRDefault="001630D4" w:rsidP="003F494F">
            <w:pPr>
              <w:spacing w:before="240" w:line="360" w:lineRule="auto"/>
              <w:rPr>
                <w:rFonts w:eastAsia="Arial" w:cstheme="minorHAnsi"/>
                <w:b/>
                <w:sz w:val="22"/>
                <w:szCs w:val="22"/>
                <w:lang w:val="en" w:eastAsia="en-GB"/>
              </w:rPr>
            </w:pPr>
            <w:r w:rsidRPr="00117750">
              <w:rPr>
                <w:rFonts w:eastAsia="Arial" w:cstheme="minorHAnsi"/>
                <w:b/>
                <w:sz w:val="22"/>
                <w:szCs w:val="22"/>
                <w:lang w:val="en" w:eastAsia="en-GB"/>
              </w:rPr>
              <w:t>RECOMMENDATION</w:t>
            </w:r>
          </w:p>
        </w:tc>
        <w:tc>
          <w:tcPr>
            <w:tcW w:w="1418"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17C444D3" w14:textId="77777777" w:rsidR="001D1F02" w:rsidRPr="00117750" w:rsidRDefault="001630D4" w:rsidP="003F494F">
            <w:pPr>
              <w:spacing w:before="240" w:line="360" w:lineRule="auto"/>
              <w:jc w:val="center"/>
              <w:rPr>
                <w:rFonts w:eastAsia="Arial" w:cstheme="minorHAnsi"/>
                <w:b/>
                <w:sz w:val="22"/>
                <w:szCs w:val="22"/>
                <w:lang w:val="en" w:eastAsia="en-GB"/>
              </w:rPr>
            </w:pPr>
            <w:r w:rsidRPr="00117750">
              <w:rPr>
                <w:rFonts w:eastAsia="Arial" w:cstheme="minorHAnsi"/>
                <w:b/>
                <w:sz w:val="22"/>
                <w:szCs w:val="22"/>
                <w:lang w:val="en" w:eastAsia="en-GB"/>
              </w:rPr>
              <w:t>Grade</w:t>
            </w:r>
          </w:p>
        </w:tc>
      </w:tr>
      <w:tr w:rsidR="00837E18" w14:paraId="79134560" w14:textId="77777777" w:rsidTr="00C00DD6">
        <w:trPr>
          <w:trHeight w:val="870"/>
        </w:trPr>
        <w:tc>
          <w:tcPr>
            <w:tcW w:w="115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9AAB166" w14:textId="3C540D00" w:rsidR="001D1F02" w:rsidRPr="00117750" w:rsidRDefault="001630D4" w:rsidP="003F494F">
            <w:pPr>
              <w:spacing w:before="240" w:line="360" w:lineRule="auto"/>
              <w:jc w:val="center"/>
              <w:rPr>
                <w:rFonts w:eastAsia="Arial" w:cstheme="minorHAnsi"/>
                <w:sz w:val="22"/>
                <w:szCs w:val="22"/>
                <w:lang w:val="en" w:eastAsia="en-GB"/>
              </w:rPr>
            </w:pPr>
            <w:r>
              <w:rPr>
                <w:rFonts w:eastAsia="Arial" w:cstheme="minorHAnsi"/>
                <w:sz w:val="22"/>
                <w:szCs w:val="22"/>
                <w:lang w:val="en" w:eastAsia="en-GB"/>
              </w:rPr>
              <w:t xml:space="preserve">INS </w:t>
            </w:r>
            <w:r w:rsidR="006645DC">
              <w:rPr>
                <w:rFonts w:eastAsia="Arial" w:cstheme="minorHAnsi"/>
                <w:sz w:val="22"/>
                <w:szCs w:val="22"/>
                <w:lang w:val="en" w:eastAsia="en-GB"/>
              </w:rPr>
              <w:t>1.1</w:t>
            </w:r>
            <w:r>
              <w:rPr>
                <w:rFonts w:eastAsia="Arial" w:cstheme="minorHAnsi"/>
                <w:sz w:val="22"/>
                <w:szCs w:val="22"/>
                <w:lang w:val="en" w:eastAsia="en-GB"/>
              </w:rPr>
              <w:t>3</w:t>
            </w:r>
          </w:p>
        </w:tc>
        <w:tc>
          <w:tcPr>
            <w:tcW w:w="791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4648D92" w14:textId="77777777" w:rsidR="001D1F02" w:rsidRPr="00117750" w:rsidRDefault="001630D4" w:rsidP="003F494F">
            <w:pPr>
              <w:spacing w:before="240" w:line="360" w:lineRule="auto"/>
              <w:rPr>
                <w:rFonts w:eastAsia="Arial" w:cstheme="minorHAnsi"/>
                <w:sz w:val="22"/>
                <w:szCs w:val="22"/>
                <w:lang w:val="en" w:eastAsia="en-GB"/>
              </w:rPr>
            </w:pPr>
            <w:r w:rsidRPr="00D20CBA">
              <w:rPr>
                <w:rFonts w:eastAsia="Arial" w:cstheme="minorHAnsi"/>
                <w:sz w:val="22"/>
                <w:szCs w:val="22"/>
                <w:u w:val="single"/>
                <w:lang w:val="en" w:eastAsia="en-GB"/>
              </w:rPr>
              <w:t>We recommend</w:t>
            </w:r>
            <w:r w:rsidRPr="00117750">
              <w:rPr>
                <w:rFonts w:eastAsia="Arial" w:cstheme="minorHAnsi"/>
                <w:sz w:val="22"/>
                <w:szCs w:val="22"/>
                <w:lang w:val="en" w:eastAsia="en-GB"/>
              </w:rPr>
              <w:t xml:space="preserve"> that children with frequently relapsing or steroid dependent nephrotic syndrome commence a maintenance drug to prevent further relapses.</w:t>
            </w:r>
          </w:p>
        </w:tc>
        <w:tc>
          <w:tcPr>
            <w:tcW w:w="141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097C2A7" w14:textId="78A8FCE7" w:rsidR="001D1F02" w:rsidRPr="00117750" w:rsidRDefault="001630D4" w:rsidP="003F494F">
            <w:pPr>
              <w:spacing w:before="240" w:line="360" w:lineRule="auto"/>
              <w:jc w:val="center"/>
              <w:rPr>
                <w:rFonts w:eastAsia="Arial" w:cstheme="minorHAnsi"/>
                <w:b/>
                <w:sz w:val="22"/>
                <w:szCs w:val="22"/>
                <w:lang w:val="en" w:eastAsia="en-GB"/>
              </w:rPr>
            </w:pPr>
            <w:r w:rsidRPr="00117750">
              <w:rPr>
                <w:rFonts w:eastAsia="Arial" w:cstheme="minorHAnsi"/>
                <w:b/>
                <w:sz w:val="22"/>
                <w:szCs w:val="22"/>
                <w:lang w:val="en" w:eastAsia="en-GB"/>
              </w:rPr>
              <w:t>1</w:t>
            </w:r>
            <w:r w:rsidR="00D20CBA">
              <w:rPr>
                <w:rFonts w:eastAsia="Arial" w:cstheme="minorHAnsi"/>
                <w:b/>
                <w:sz w:val="22"/>
                <w:szCs w:val="22"/>
                <w:lang w:val="en" w:eastAsia="en-GB"/>
              </w:rPr>
              <w:t>D</w:t>
            </w:r>
          </w:p>
        </w:tc>
      </w:tr>
      <w:tr w:rsidR="00837E18" w14:paraId="36A122A5" w14:textId="77777777" w:rsidTr="00C00DD6">
        <w:trPr>
          <w:trHeight w:val="915"/>
        </w:trPr>
        <w:tc>
          <w:tcPr>
            <w:tcW w:w="115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359635E" w14:textId="6E35B9C0" w:rsidR="001D1F02" w:rsidRPr="00117750" w:rsidRDefault="001630D4" w:rsidP="003F494F">
            <w:pPr>
              <w:spacing w:before="240" w:line="360" w:lineRule="auto"/>
              <w:jc w:val="center"/>
              <w:rPr>
                <w:rFonts w:eastAsia="Arial" w:cstheme="minorHAnsi"/>
                <w:sz w:val="22"/>
                <w:szCs w:val="22"/>
                <w:lang w:val="en" w:eastAsia="en-GB"/>
              </w:rPr>
            </w:pPr>
            <w:r>
              <w:rPr>
                <w:rFonts w:eastAsia="Arial" w:cstheme="minorHAnsi"/>
                <w:sz w:val="22"/>
                <w:szCs w:val="22"/>
                <w:lang w:val="en" w:eastAsia="en-GB"/>
              </w:rPr>
              <w:t xml:space="preserve">INS </w:t>
            </w:r>
            <w:r w:rsidR="006645DC">
              <w:rPr>
                <w:rFonts w:eastAsia="Arial" w:cstheme="minorHAnsi"/>
                <w:sz w:val="22"/>
                <w:szCs w:val="22"/>
                <w:lang w:val="en" w:eastAsia="en-GB"/>
              </w:rPr>
              <w:t>1.1</w:t>
            </w:r>
            <w:r>
              <w:rPr>
                <w:rFonts w:eastAsia="Arial" w:cstheme="minorHAnsi"/>
                <w:sz w:val="22"/>
                <w:szCs w:val="22"/>
                <w:lang w:val="en" w:eastAsia="en-GB"/>
              </w:rPr>
              <w:t>4</w:t>
            </w:r>
          </w:p>
        </w:tc>
        <w:tc>
          <w:tcPr>
            <w:tcW w:w="791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745F1C7" w14:textId="2CDEFF61" w:rsidR="001D1F02" w:rsidRPr="00117750" w:rsidRDefault="001630D4" w:rsidP="003F494F">
            <w:pPr>
              <w:spacing w:before="240" w:line="360" w:lineRule="auto"/>
              <w:rPr>
                <w:rFonts w:eastAsia="Arial" w:cstheme="minorHAnsi"/>
                <w:sz w:val="22"/>
                <w:szCs w:val="22"/>
                <w:lang w:val="en" w:eastAsia="en-GB"/>
              </w:rPr>
            </w:pPr>
            <w:r w:rsidRPr="00D20CBA">
              <w:rPr>
                <w:rFonts w:eastAsia="Arial" w:cstheme="minorHAnsi"/>
                <w:sz w:val="22"/>
                <w:szCs w:val="22"/>
                <w:u w:val="single"/>
                <w:lang w:val="en" w:eastAsia="en-GB"/>
              </w:rPr>
              <w:t>We suggest</w:t>
            </w:r>
            <w:r>
              <w:rPr>
                <w:rFonts w:eastAsia="Arial" w:cstheme="minorHAnsi"/>
                <w:sz w:val="22"/>
                <w:szCs w:val="22"/>
                <w:lang w:val="en" w:eastAsia="en-GB"/>
              </w:rPr>
              <w:t xml:space="preserve"> review of maintenance treatment i</w:t>
            </w:r>
            <w:r w:rsidRPr="00117750">
              <w:rPr>
                <w:rFonts w:eastAsia="Arial" w:cstheme="minorHAnsi"/>
                <w:sz w:val="22"/>
                <w:szCs w:val="22"/>
                <w:lang w:val="en" w:eastAsia="en-GB"/>
              </w:rPr>
              <w:t>f there is more than one relapse in the 6 months following commencement.</w:t>
            </w:r>
          </w:p>
        </w:tc>
        <w:tc>
          <w:tcPr>
            <w:tcW w:w="141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1593708" w14:textId="3E992FFF" w:rsidR="001D1F02" w:rsidRPr="00117750" w:rsidRDefault="001630D4" w:rsidP="003F494F">
            <w:pPr>
              <w:spacing w:before="240" w:line="360" w:lineRule="auto"/>
              <w:jc w:val="center"/>
              <w:rPr>
                <w:rFonts w:eastAsia="Arial" w:cstheme="minorHAnsi"/>
                <w:b/>
                <w:sz w:val="22"/>
                <w:szCs w:val="22"/>
                <w:lang w:val="en" w:eastAsia="en-GB"/>
              </w:rPr>
            </w:pPr>
            <w:r>
              <w:rPr>
                <w:rFonts w:eastAsia="Arial" w:cstheme="minorHAnsi"/>
                <w:b/>
                <w:sz w:val="22"/>
                <w:szCs w:val="22"/>
                <w:lang w:val="en" w:eastAsia="en-GB"/>
              </w:rPr>
              <w:t>2D</w:t>
            </w:r>
          </w:p>
        </w:tc>
      </w:tr>
      <w:tr w:rsidR="00837E18" w14:paraId="2C2C7159" w14:textId="77777777" w:rsidTr="00C00DD6">
        <w:trPr>
          <w:trHeight w:val="2003"/>
        </w:trPr>
        <w:tc>
          <w:tcPr>
            <w:tcW w:w="115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EBAEDA1" w14:textId="0DCD99DC" w:rsidR="001D1F02" w:rsidRPr="00117750" w:rsidRDefault="001630D4" w:rsidP="003F494F">
            <w:pPr>
              <w:spacing w:before="240" w:line="360" w:lineRule="auto"/>
              <w:jc w:val="center"/>
              <w:rPr>
                <w:rFonts w:eastAsia="Arial" w:cstheme="minorHAnsi"/>
                <w:sz w:val="22"/>
                <w:szCs w:val="22"/>
                <w:lang w:val="en" w:eastAsia="en-GB"/>
              </w:rPr>
            </w:pPr>
            <w:r>
              <w:rPr>
                <w:rFonts w:eastAsia="Arial" w:cstheme="minorHAnsi"/>
                <w:sz w:val="22"/>
                <w:szCs w:val="22"/>
                <w:lang w:val="en" w:eastAsia="en-GB"/>
              </w:rPr>
              <w:t xml:space="preserve">INS </w:t>
            </w:r>
            <w:r w:rsidR="006645DC">
              <w:rPr>
                <w:rFonts w:eastAsia="Arial" w:cstheme="minorHAnsi"/>
                <w:sz w:val="22"/>
                <w:szCs w:val="22"/>
                <w:lang w:val="en" w:eastAsia="en-GB"/>
              </w:rPr>
              <w:t>1.1</w:t>
            </w:r>
            <w:r>
              <w:rPr>
                <w:rFonts w:eastAsia="Arial" w:cstheme="minorHAnsi"/>
                <w:sz w:val="22"/>
                <w:szCs w:val="22"/>
                <w:lang w:val="en" w:eastAsia="en-GB"/>
              </w:rPr>
              <w:t>5</w:t>
            </w:r>
          </w:p>
        </w:tc>
        <w:tc>
          <w:tcPr>
            <w:tcW w:w="791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43B2396" w14:textId="1D9DD335" w:rsidR="001D1F02" w:rsidRPr="00117750" w:rsidRDefault="001630D4" w:rsidP="003F494F">
            <w:pPr>
              <w:spacing w:before="240" w:line="360" w:lineRule="auto"/>
              <w:rPr>
                <w:rFonts w:eastAsia="Arial" w:cstheme="minorHAnsi"/>
                <w:sz w:val="22"/>
                <w:szCs w:val="22"/>
                <w:lang w:val="en" w:eastAsia="en-GB"/>
              </w:rPr>
            </w:pPr>
            <w:r w:rsidRPr="00D20CBA">
              <w:rPr>
                <w:rFonts w:eastAsia="Arial" w:cstheme="minorHAnsi"/>
                <w:sz w:val="22"/>
                <w:szCs w:val="22"/>
                <w:u w:val="single"/>
                <w:lang w:val="en" w:eastAsia="en-GB"/>
              </w:rPr>
              <w:t>We suggest</w:t>
            </w:r>
            <w:r w:rsidRPr="00117750">
              <w:rPr>
                <w:rFonts w:eastAsia="Arial" w:cstheme="minorHAnsi"/>
                <w:sz w:val="22"/>
                <w:szCs w:val="22"/>
                <w:lang w:val="en" w:eastAsia="en-GB"/>
              </w:rPr>
              <w:t xml:space="preserve"> </w:t>
            </w:r>
            <w:r>
              <w:rPr>
                <w:rFonts w:eastAsia="Arial" w:cstheme="minorHAnsi"/>
                <w:sz w:val="22"/>
                <w:szCs w:val="22"/>
                <w:lang w:val="en" w:eastAsia="en-GB"/>
              </w:rPr>
              <w:t>that f</w:t>
            </w:r>
            <w:r w:rsidRPr="00117750">
              <w:rPr>
                <w:rFonts w:eastAsia="Arial" w:cstheme="minorHAnsi"/>
                <w:sz w:val="22"/>
                <w:szCs w:val="22"/>
                <w:lang w:val="en" w:eastAsia="en-GB"/>
              </w:rPr>
              <w:t>or children with frequently relapsing</w:t>
            </w:r>
            <w:r>
              <w:rPr>
                <w:rFonts w:eastAsia="Arial" w:cstheme="minorHAnsi"/>
                <w:sz w:val="22"/>
                <w:szCs w:val="22"/>
                <w:lang w:val="en" w:eastAsia="en-GB"/>
              </w:rPr>
              <w:t>,</w:t>
            </w:r>
            <w:r w:rsidRPr="00117750">
              <w:rPr>
                <w:rFonts w:eastAsia="Arial" w:cstheme="minorHAnsi"/>
                <w:sz w:val="22"/>
                <w:szCs w:val="22"/>
                <w:lang w:val="en" w:eastAsia="en-GB"/>
              </w:rPr>
              <w:t xml:space="preserve"> but not steroid dependent nephrotic syndrome, </w:t>
            </w:r>
            <w:r w:rsidR="00F907FD">
              <w:rPr>
                <w:rFonts w:eastAsia="Arial" w:cstheme="minorHAnsi"/>
                <w:sz w:val="22"/>
                <w:szCs w:val="22"/>
                <w:lang w:val="en" w:eastAsia="en-GB"/>
              </w:rPr>
              <w:t>the</w:t>
            </w:r>
            <w:r w:rsidRPr="00117750">
              <w:rPr>
                <w:rFonts w:eastAsia="Arial" w:cstheme="minorHAnsi"/>
                <w:sz w:val="22"/>
                <w:szCs w:val="22"/>
                <w:lang w:val="en" w:eastAsia="en-GB"/>
              </w:rPr>
              <w:t xml:space="preserve"> maintenance treatment </w:t>
            </w:r>
            <w:r w:rsidR="00CB166B">
              <w:rPr>
                <w:rFonts w:eastAsia="Arial" w:cstheme="minorHAnsi"/>
                <w:sz w:val="22"/>
                <w:szCs w:val="22"/>
                <w:lang w:val="en" w:eastAsia="en-GB"/>
              </w:rPr>
              <w:t xml:space="preserve">should </w:t>
            </w:r>
            <w:r w:rsidR="00F907FD">
              <w:rPr>
                <w:rFonts w:eastAsia="Arial" w:cstheme="minorHAnsi"/>
                <w:sz w:val="22"/>
                <w:szCs w:val="22"/>
                <w:lang w:val="en" w:eastAsia="en-GB"/>
              </w:rPr>
              <w:t xml:space="preserve">use a </w:t>
            </w:r>
            <w:proofErr w:type="spellStart"/>
            <w:r w:rsidR="00F907FD">
              <w:rPr>
                <w:rFonts w:eastAsia="Arial" w:cstheme="minorHAnsi"/>
                <w:sz w:val="22"/>
                <w:szCs w:val="22"/>
                <w:lang w:val="en" w:eastAsia="en-GB"/>
              </w:rPr>
              <w:t>personalised</w:t>
            </w:r>
            <w:proofErr w:type="spellEnd"/>
            <w:r w:rsidR="00F907FD">
              <w:rPr>
                <w:rFonts w:eastAsia="Arial" w:cstheme="minorHAnsi"/>
                <w:sz w:val="22"/>
                <w:szCs w:val="22"/>
                <w:lang w:val="en" w:eastAsia="en-GB"/>
              </w:rPr>
              <w:t xml:space="preserve"> approach to </w:t>
            </w:r>
            <w:proofErr w:type="spellStart"/>
            <w:r>
              <w:rPr>
                <w:rFonts w:eastAsia="Arial" w:cstheme="minorHAnsi"/>
                <w:sz w:val="22"/>
                <w:szCs w:val="22"/>
                <w:lang w:val="en" w:eastAsia="en-GB"/>
              </w:rPr>
              <w:t>conside</w:t>
            </w:r>
            <w:proofErr w:type="spellEnd"/>
            <w:r w:rsidR="00F907FD">
              <w:rPr>
                <w:rFonts w:eastAsia="Arial" w:cstheme="minorHAnsi"/>
                <w:sz w:val="22"/>
                <w:szCs w:val="22"/>
                <w:lang w:val="en" w:eastAsia="en-GB"/>
              </w:rPr>
              <w:t xml:space="preserve"> one of the following treatments</w:t>
            </w:r>
            <w:r w:rsidRPr="00117750">
              <w:rPr>
                <w:rFonts w:eastAsia="Arial" w:cstheme="minorHAnsi"/>
                <w:sz w:val="22"/>
                <w:szCs w:val="22"/>
                <w:lang w:val="en" w:eastAsia="en-GB"/>
              </w:rPr>
              <w:t>:</w:t>
            </w:r>
          </w:p>
          <w:p w14:paraId="2BD11320" w14:textId="77777777" w:rsidR="001D1F02" w:rsidRPr="00117750" w:rsidRDefault="001630D4" w:rsidP="003F494F">
            <w:pPr>
              <w:spacing w:line="360" w:lineRule="auto"/>
              <w:ind w:left="357"/>
              <w:rPr>
                <w:rFonts w:eastAsia="Arial" w:cstheme="minorHAnsi"/>
                <w:sz w:val="22"/>
                <w:szCs w:val="22"/>
                <w:lang w:val="en" w:eastAsia="en-GB"/>
              </w:rPr>
            </w:pPr>
            <w:r w:rsidRPr="00117750">
              <w:rPr>
                <w:rFonts w:eastAsia="Arial" w:cstheme="minorHAnsi"/>
                <w:sz w:val="22"/>
                <w:szCs w:val="22"/>
                <w:lang w:val="en" w:eastAsia="en-GB"/>
              </w:rPr>
              <w:t>1.</w:t>
            </w:r>
            <w:r w:rsidRPr="00117750">
              <w:rPr>
                <w:rFonts w:eastAsia="Times New Roman" w:cstheme="minorHAnsi"/>
                <w:sz w:val="22"/>
                <w:szCs w:val="22"/>
                <w:lang w:val="en" w:eastAsia="en-GB"/>
              </w:rPr>
              <w:t xml:space="preserve">       </w:t>
            </w:r>
            <w:r w:rsidRPr="00117750">
              <w:rPr>
                <w:rFonts w:eastAsia="Arial" w:cstheme="minorHAnsi"/>
                <w:sz w:val="22"/>
                <w:szCs w:val="22"/>
                <w:lang w:val="en" w:eastAsia="en-GB"/>
              </w:rPr>
              <w:t>Levamisole</w:t>
            </w:r>
          </w:p>
          <w:p w14:paraId="009FBAC8" w14:textId="77777777" w:rsidR="001D1F02" w:rsidRDefault="001630D4" w:rsidP="003F494F">
            <w:pPr>
              <w:spacing w:line="360" w:lineRule="auto"/>
              <w:ind w:left="357"/>
              <w:rPr>
                <w:rFonts w:eastAsia="Arial" w:cstheme="minorHAnsi"/>
                <w:sz w:val="22"/>
                <w:szCs w:val="22"/>
                <w:lang w:val="en" w:eastAsia="en-GB"/>
              </w:rPr>
            </w:pPr>
            <w:r w:rsidRPr="00117750">
              <w:rPr>
                <w:rFonts w:eastAsia="Arial" w:cstheme="minorHAnsi"/>
                <w:sz w:val="22"/>
                <w:szCs w:val="22"/>
                <w:lang w:val="en" w:eastAsia="en-GB"/>
              </w:rPr>
              <w:t>2.</w:t>
            </w:r>
            <w:r w:rsidRPr="00117750">
              <w:rPr>
                <w:rFonts w:eastAsia="Times New Roman" w:cstheme="minorHAnsi"/>
                <w:sz w:val="22"/>
                <w:szCs w:val="22"/>
                <w:lang w:val="en" w:eastAsia="en-GB"/>
              </w:rPr>
              <w:t xml:space="preserve">       </w:t>
            </w:r>
            <w:r w:rsidRPr="00117750">
              <w:rPr>
                <w:rFonts w:eastAsia="Arial" w:cstheme="minorHAnsi"/>
                <w:sz w:val="22"/>
                <w:szCs w:val="22"/>
                <w:lang w:val="en" w:eastAsia="en-GB"/>
              </w:rPr>
              <w:t>Mycophenolate mofetil</w:t>
            </w:r>
          </w:p>
          <w:p w14:paraId="0ED7801B" w14:textId="2CE58E59" w:rsidR="00D20CBA" w:rsidRPr="00117750" w:rsidRDefault="001630D4" w:rsidP="003F494F">
            <w:pPr>
              <w:spacing w:line="360" w:lineRule="auto"/>
              <w:ind w:left="357"/>
              <w:rPr>
                <w:rFonts w:eastAsia="Arial" w:cstheme="minorHAnsi"/>
                <w:sz w:val="22"/>
                <w:szCs w:val="22"/>
                <w:lang w:val="en" w:eastAsia="en-GB"/>
              </w:rPr>
            </w:pPr>
            <w:r>
              <w:rPr>
                <w:rFonts w:eastAsia="Arial" w:cstheme="minorHAnsi"/>
                <w:sz w:val="22"/>
                <w:szCs w:val="22"/>
                <w:lang w:val="en" w:eastAsia="en-GB"/>
              </w:rPr>
              <w:t xml:space="preserve">3.       </w:t>
            </w:r>
            <w:r w:rsidR="00CB166B">
              <w:rPr>
                <w:rFonts w:eastAsia="Arial" w:cstheme="minorHAnsi"/>
                <w:sz w:val="22"/>
                <w:szCs w:val="22"/>
                <w:lang w:val="en" w:eastAsia="en-GB"/>
              </w:rPr>
              <w:t xml:space="preserve">Tacrolimus </w:t>
            </w:r>
            <w:r w:rsidRPr="00F907FD">
              <w:rPr>
                <w:rFonts w:eastAsia="Arial" w:cstheme="minorHAnsi"/>
                <w:sz w:val="22"/>
                <w:szCs w:val="22"/>
                <w:lang w:val="en" w:eastAsia="en-GB"/>
              </w:rPr>
              <w:t>(</w:t>
            </w:r>
            <w:r w:rsidR="00836352" w:rsidRPr="00F907FD">
              <w:rPr>
                <w:rFonts w:eastAsia="Arial" w:cstheme="minorHAnsi"/>
                <w:sz w:val="22"/>
                <w:szCs w:val="22"/>
                <w:lang w:val="en" w:eastAsia="en-GB"/>
              </w:rPr>
              <w:t>prefer</w:t>
            </w:r>
            <w:r w:rsidR="00CB166B" w:rsidRPr="003F494F">
              <w:rPr>
                <w:rFonts w:eastAsia="Arial" w:cstheme="minorHAnsi"/>
                <w:sz w:val="22"/>
                <w:szCs w:val="22"/>
                <w:lang w:val="en" w:eastAsia="en-GB"/>
              </w:rPr>
              <w:t>r</w:t>
            </w:r>
            <w:r w:rsidR="00836352" w:rsidRPr="00F907FD">
              <w:rPr>
                <w:rFonts w:eastAsia="Arial" w:cstheme="minorHAnsi"/>
                <w:sz w:val="22"/>
                <w:szCs w:val="22"/>
                <w:lang w:val="en" w:eastAsia="en-GB"/>
              </w:rPr>
              <w:t>e</w:t>
            </w:r>
            <w:r w:rsidR="00CB166B" w:rsidRPr="003F494F">
              <w:rPr>
                <w:rFonts w:eastAsia="Arial" w:cstheme="minorHAnsi"/>
                <w:sz w:val="22"/>
                <w:szCs w:val="22"/>
                <w:lang w:val="en" w:eastAsia="en-GB"/>
              </w:rPr>
              <w:t>d calcineurin inhibitor)</w:t>
            </w:r>
          </w:p>
        </w:tc>
        <w:tc>
          <w:tcPr>
            <w:tcW w:w="141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C5A383D" w14:textId="15D32FEB" w:rsidR="001D1F02" w:rsidRPr="00117750" w:rsidRDefault="001630D4" w:rsidP="003F494F">
            <w:pPr>
              <w:spacing w:before="240" w:line="360" w:lineRule="auto"/>
              <w:jc w:val="center"/>
              <w:rPr>
                <w:rFonts w:eastAsia="Arial" w:cstheme="minorHAnsi"/>
                <w:b/>
                <w:sz w:val="22"/>
                <w:szCs w:val="22"/>
                <w:lang w:val="en" w:eastAsia="en-GB"/>
              </w:rPr>
            </w:pPr>
            <w:r w:rsidRPr="00117750">
              <w:rPr>
                <w:rFonts w:eastAsia="Arial" w:cstheme="minorHAnsi"/>
                <w:b/>
                <w:sz w:val="22"/>
                <w:szCs w:val="22"/>
                <w:lang w:val="en" w:eastAsia="en-GB"/>
              </w:rPr>
              <w:t>2C</w:t>
            </w:r>
          </w:p>
        </w:tc>
      </w:tr>
      <w:tr w:rsidR="00837E18" w14:paraId="3A739662" w14:textId="77777777" w:rsidTr="00D20CBA">
        <w:trPr>
          <w:trHeight w:val="1341"/>
        </w:trPr>
        <w:tc>
          <w:tcPr>
            <w:tcW w:w="1155" w:type="dxa"/>
            <w:tcBorders>
              <w:top w:val="nil"/>
              <w:left w:val="single" w:sz="5" w:space="0" w:color="000000"/>
              <w:bottom w:val="single" w:sz="4" w:space="0" w:color="auto"/>
              <w:right w:val="single" w:sz="5" w:space="0" w:color="000000"/>
            </w:tcBorders>
            <w:shd w:val="clear" w:color="auto" w:fill="auto"/>
            <w:tcMar>
              <w:top w:w="0" w:type="dxa"/>
              <w:left w:w="100" w:type="dxa"/>
              <w:bottom w:w="0" w:type="dxa"/>
              <w:right w:w="100" w:type="dxa"/>
            </w:tcMar>
          </w:tcPr>
          <w:p w14:paraId="40054078" w14:textId="4E1CC651" w:rsidR="001D1F02" w:rsidRPr="00117750" w:rsidRDefault="001630D4" w:rsidP="003F494F">
            <w:pPr>
              <w:spacing w:before="240" w:line="360" w:lineRule="auto"/>
              <w:jc w:val="center"/>
              <w:rPr>
                <w:rFonts w:eastAsia="Arial" w:cstheme="minorHAnsi"/>
                <w:sz w:val="22"/>
                <w:szCs w:val="22"/>
                <w:lang w:val="en" w:eastAsia="en-GB"/>
              </w:rPr>
            </w:pPr>
            <w:r>
              <w:rPr>
                <w:rFonts w:eastAsia="Arial" w:cstheme="minorHAnsi"/>
                <w:sz w:val="22"/>
                <w:szCs w:val="22"/>
                <w:lang w:val="en" w:eastAsia="en-GB"/>
              </w:rPr>
              <w:t xml:space="preserve">INS </w:t>
            </w:r>
            <w:r w:rsidR="006645DC">
              <w:rPr>
                <w:rFonts w:eastAsia="Arial" w:cstheme="minorHAnsi"/>
                <w:sz w:val="22"/>
                <w:szCs w:val="22"/>
                <w:lang w:val="en" w:eastAsia="en-GB"/>
              </w:rPr>
              <w:t>1.1</w:t>
            </w:r>
            <w:r>
              <w:rPr>
                <w:rFonts w:eastAsia="Arial" w:cstheme="minorHAnsi"/>
                <w:sz w:val="22"/>
                <w:szCs w:val="22"/>
                <w:lang w:val="en" w:eastAsia="en-GB"/>
              </w:rPr>
              <w:t>6</w:t>
            </w:r>
          </w:p>
        </w:tc>
        <w:tc>
          <w:tcPr>
            <w:tcW w:w="7911" w:type="dxa"/>
            <w:tcBorders>
              <w:top w:val="nil"/>
              <w:left w:val="nil"/>
              <w:bottom w:val="single" w:sz="4" w:space="0" w:color="auto"/>
              <w:right w:val="single" w:sz="5" w:space="0" w:color="000000"/>
            </w:tcBorders>
            <w:shd w:val="clear" w:color="auto" w:fill="auto"/>
            <w:tcMar>
              <w:top w:w="0" w:type="dxa"/>
              <w:left w:w="100" w:type="dxa"/>
              <w:bottom w:w="0" w:type="dxa"/>
              <w:right w:w="100" w:type="dxa"/>
            </w:tcMar>
          </w:tcPr>
          <w:p w14:paraId="24870CF8" w14:textId="3873C951" w:rsidR="001D1F02" w:rsidRPr="00117750" w:rsidRDefault="001630D4" w:rsidP="003F494F">
            <w:pPr>
              <w:spacing w:before="240" w:line="360" w:lineRule="auto"/>
              <w:rPr>
                <w:rFonts w:eastAsia="Arial" w:cstheme="minorHAnsi"/>
                <w:sz w:val="22"/>
                <w:szCs w:val="22"/>
                <w:lang w:val="en" w:eastAsia="en-GB"/>
              </w:rPr>
            </w:pPr>
            <w:r w:rsidRPr="00D20CBA">
              <w:rPr>
                <w:rFonts w:eastAsia="Arial" w:cstheme="minorHAnsi"/>
                <w:sz w:val="22"/>
                <w:szCs w:val="22"/>
                <w:u w:val="single"/>
                <w:lang w:val="en" w:eastAsia="en-GB"/>
              </w:rPr>
              <w:t>We suggest</w:t>
            </w:r>
            <w:r w:rsidRPr="00117750">
              <w:rPr>
                <w:rFonts w:eastAsia="Arial" w:cstheme="minorHAnsi"/>
                <w:sz w:val="22"/>
                <w:szCs w:val="22"/>
                <w:lang w:val="en" w:eastAsia="en-GB"/>
              </w:rPr>
              <w:t xml:space="preserve"> </w:t>
            </w:r>
            <w:r>
              <w:rPr>
                <w:rFonts w:eastAsia="Arial" w:cstheme="minorHAnsi"/>
                <w:sz w:val="22"/>
                <w:szCs w:val="22"/>
                <w:lang w:val="en" w:eastAsia="en-GB"/>
              </w:rPr>
              <w:t>that f</w:t>
            </w:r>
            <w:r w:rsidRPr="00117750">
              <w:rPr>
                <w:rFonts w:eastAsia="Arial" w:cstheme="minorHAnsi"/>
                <w:sz w:val="22"/>
                <w:szCs w:val="22"/>
                <w:lang w:val="en" w:eastAsia="en-GB"/>
              </w:rPr>
              <w:t xml:space="preserve">or children with steroid dependent nephrotic syndrome, where there are no contra-indications, the first choice of </w:t>
            </w:r>
            <w:r>
              <w:rPr>
                <w:rFonts w:eastAsia="Arial" w:cstheme="minorHAnsi"/>
                <w:sz w:val="22"/>
                <w:szCs w:val="22"/>
                <w:lang w:val="en" w:eastAsia="en-GB"/>
              </w:rPr>
              <w:t xml:space="preserve">a </w:t>
            </w:r>
            <w:r w:rsidRPr="00117750">
              <w:rPr>
                <w:rFonts w:eastAsia="Arial" w:cstheme="minorHAnsi"/>
                <w:sz w:val="22"/>
                <w:szCs w:val="22"/>
                <w:lang w:val="en" w:eastAsia="en-GB"/>
              </w:rPr>
              <w:t xml:space="preserve">steroid-sparing agent should </w:t>
            </w:r>
            <w:r>
              <w:rPr>
                <w:rFonts w:eastAsia="Arial" w:cstheme="minorHAnsi"/>
                <w:sz w:val="22"/>
                <w:szCs w:val="22"/>
                <w:lang w:val="en" w:eastAsia="en-GB"/>
              </w:rPr>
              <w:t xml:space="preserve">either </w:t>
            </w:r>
            <w:r w:rsidRPr="00117750">
              <w:rPr>
                <w:rFonts w:eastAsia="Arial" w:cstheme="minorHAnsi"/>
                <w:sz w:val="22"/>
                <w:szCs w:val="22"/>
                <w:lang w:val="en" w:eastAsia="en-GB"/>
              </w:rPr>
              <w:t>be mycophenolate mofetil or tacrolimus.</w:t>
            </w:r>
          </w:p>
        </w:tc>
        <w:tc>
          <w:tcPr>
            <w:tcW w:w="1418" w:type="dxa"/>
            <w:tcBorders>
              <w:top w:val="nil"/>
              <w:left w:val="nil"/>
              <w:bottom w:val="single" w:sz="4" w:space="0" w:color="auto"/>
              <w:right w:val="single" w:sz="5" w:space="0" w:color="000000"/>
            </w:tcBorders>
            <w:shd w:val="clear" w:color="auto" w:fill="auto"/>
            <w:tcMar>
              <w:top w:w="0" w:type="dxa"/>
              <w:left w:w="100" w:type="dxa"/>
              <w:bottom w:w="0" w:type="dxa"/>
              <w:right w:w="100" w:type="dxa"/>
            </w:tcMar>
          </w:tcPr>
          <w:p w14:paraId="6C09439C" w14:textId="61E1FB86" w:rsidR="001D1F02" w:rsidRPr="00117750" w:rsidRDefault="001630D4" w:rsidP="003F494F">
            <w:pPr>
              <w:spacing w:before="240" w:line="360" w:lineRule="auto"/>
              <w:jc w:val="center"/>
              <w:rPr>
                <w:rFonts w:eastAsia="Arial" w:cstheme="minorHAnsi"/>
                <w:b/>
                <w:sz w:val="22"/>
                <w:szCs w:val="22"/>
                <w:lang w:val="en" w:eastAsia="en-GB"/>
              </w:rPr>
            </w:pPr>
            <w:r w:rsidRPr="00117750">
              <w:rPr>
                <w:rFonts w:eastAsia="Arial" w:cstheme="minorHAnsi"/>
                <w:b/>
                <w:sz w:val="22"/>
                <w:szCs w:val="22"/>
                <w:lang w:val="en" w:eastAsia="en-GB"/>
              </w:rPr>
              <w:t>2D</w:t>
            </w:r>
          </w:p>
        </w:tc>
      </w:tr>
      <w:tr w:rsidR="00837E18" w14:paraId="19D265A0" w14:textId="77777777" w:rsidTr="00D20CBA">
        <w:trPr>
          <w:trHeight w:val="1341"/>
        </w:trPr>
        <w:tc>
          <w:tcPr>
            <w:tcW w:w="1155" w:type="dxa"/>
            <w:tcBorders>
              <w:top w:val="single" w:sz="4" w:space="0" w:color="auto"/>
              <w:left w:val="single" w:sz="4" w:space="0" w:color="auto"/>
              <w:bottom w:val="single" w:sz="4" w:space="0" w:color="auto"/>
              <w:right w:val="single" w:sz="6" w:space="0" w:color="000000"/>
            </w:tcBorders>
            <w:shd w:val="clear" w:color="auto" w:fill="auto"/>
            <w:tcMar>
              <w:top w:w="0" w:type="dxa"/>
              <w:left w:w="100" w:type="dxa"/>
              <w:bottom w:w="0" w:type="dxa"/>
              <w:right w:w="100" w:type="dxa"/>
            </w:tcMar>
          </w:tcPr>
          <w:p w14:paraId="4FFFCEE7" w14:textId="0274139B" w:rsidR="00D20CBA" w:rsidRDefault="001630D4" w:rsidP="003F494F">
            <w:pPr>
              <w:spacing w:before="240" w:line="360" w:lineRule="auto"/>
              <w:jc w:val="center"/>
              <w:rPr>
                <w:rFonts w:eastAsia="Arial" w:cstheme="minorHAnsi"/>
                <w:sz w:val="22"/>
                <w:szCs w:val="22"/>
                <w:lang w:val="en" w:eastAsia="en-GB"/>
              </w:rPr>
            </w:pPr>
            <w:r>
              <w:rPr>
                <w:rFonts w:eastAsia="Arial" w:cstheme="minorHAnsi"/>
                <w:sz w:val="22"/>
                <w:szCs w:val="22"/>
                <w:lang w:val="en" w:eastAsia="en-GB"/>
              </w:rPr>
              <w:t>INS 1.17</w:t>
            </w:r>
          </w:p>
        </w:tc>
        <w:tc>
          <w:tcPr>
            <w:tcW w:w="7911" w:type="dxa"/>
            <w:tcBorders>
              <w:top w:val="single" w:sz="4" w:space="0" w:color="auto"/>
              <w:left w:val="single" w:sz="6" w:space="0" w:color="000000"/>
              <w:bottom w:val="single" w:sz="4" w:space="0" w:color="auto"/>
              <w:right w:val="single" w:sz="6" w:space="0" w:color="000000"/>
            </w:tcBorders>
            <w:shd w:val="clear" w:color="auto" w:fill="auto"/>
            <w:tcMar>
              <w:top w:w="0" w:type="dxa"/>
              <w:left w:w="100" w:type="dxa"/>
              <w:bottom w:w="0" w:type="dxa"/>
              <w:right w:w="100" w:type="dxa"/>
            </w:tcMar>
          </w:tcPr>
          <w:p w14:paraId="23B15660" w14:textId="69F05888" w:rsidR="00D20CBA" w:rsidRPr="00D20CBA" w:rsidRDefault="001630D4" w:rsidP="003F494F">
            <w:pPr>
              <w:spacing w:before="240" w:line="360" w:lineRule="auto"/>
              <w:jc w:val="both"/>
              <w:rPr>
                <w:rFonts w:eastAsia="Arial" w:cstheme="minorHAnsi"/>
                <w:sz w:val="22"/>
                <w:szCs w:val="22"/>
                <w:lang w:val="en" w:eastAsia="en-GB"/>
              </w:rPr>
            </w:pPr>
            <w:r>
              <w:rPr>
                <w:rFonts w:eastAsia="Arial" w:cstheme="minorHAnsi"/>
                <w:sz w:val="22"/>
                <w:szCs w:val="22"/>
                <w:u w:val="single"/>
                <w:lang w:val="en" w:eastAsia="en-GB"/>
              </w:rPr>
              <w:t>We suggest</w:t>
            </w:r>
            <w:r w:rsidRPr="00D20CBA">
              <w:rPr>
                <w:rFonts w:eastAsia="Arial" w:cstheme="minorHAnsi"/>
                <w:sz w:val="22"/>
                <w:szCs w:val="22"/>
                <w:lang w:val="en" w:eastAsia="en-GB"/>
              </w:rPr>
              <w:t xml:space="preserve"> that for children with frequently relapsing INS or steroid dependent disease, </w:t>
            </w:r>
            <w:r w:rsidR="00F907FD">
              <w:rPr>
                <w:rFonts w:eastAsia="Arial" w:cstheme="minorHAnsi"/>
                <w:sz w:val="22"/>
                <w:szCs w:val="22"/>
                <w:lang w:val="en" w:eastAsia="en-GB"/>
              </w:rPr>
              <w:t>a course</w:t>
            </w:r>
            <w:r w:rsidRPr="00D20CBA">
              <w:rPr>
                <w:rFonts w:eastAsia="Arial" w:cstheme="minorHAnsi"/>
                <w:sz w:val="22"/>
                <w:szCs w:val="22"/>
                <w:lang w:val="en" w:eastAsia="en-GB"/>
              </w:rPr>
              <w:t xml:space="preserve"> of </w:t>
            </w:r>
            <w:r w:rsidR="00F907FD">
              <w:rPr>
                <w:rFonts w:eastAsia="Arial" w:cstheme="minorHAnsi"/>
                <w:sz w:val="22"/>
                <w:szCs w:val="22"/>
                <w:lang w:val="en" w:eastAsia="en-GB"/>
              </w:rPr>
              <w:t xml:space="preserve">oral </w:t>
            </w:r>
            <w:r w:rsidRPr="00D20CBA">
              <w:rPr>
                <w:rFonts w:eastAsia="Arial" w:cstheme="minorHAnsi"/>
                <w:sz w:val="22"/>
                <w:szCs w:val="22"/>
                <w:lang w:val="en" w:eastAsia="en-GB"/>
              </w:rPr>
              <w:t xml:space="preserve">cyclophosphamide may be another therapeutic option with consideration of its side effect profile including </w:t>
            </w:r>
            <w:r>
              <w:rPr>
                <w:rFonts w:eastAsia="Arial" w:cstheme="minorHAnsi"/>
                <w:sz w:val="22"/>
                <w:szCs w:val="22"/>
                <w:lang w:val="en" w:eastAsia="en-GB"/>
              </w:rPr>
              <w:t xml:space="preserve">the </w:t>
            </w:r>
            <w:r w:rsidRPr="00D20CBA">
              <w:rPr>
                <w:rFonts w:eastAsia="Arial" w:cstheme="minorHAnsi"/>
                <w:sz w:val="22"/>
                <w:szCs w:val="22"/>
                <w:lang w:val="en" w:eastAsia="en-GB"/>
              </w:rPr>
              <w:t>risk of infertility.</w:t>
            </w:r>
            <w:r>
              <w:rPr>
                <w:rFonts w:eastAsia="Arial" w:cstheme="minorHAnsi"/>
                <w:sz w:val="22"/>
                <w:szCs w:val="22"/>
                <w:u w:val="single"/>
                <w:lang w:val="en" w:eastAsia="en-GB"/>
              </w:rPr>
              <w:t xml:space="preserve"> </w:t>
            </w:r>
          </w:p>
        </w:tc>
        <w:tc>
          <w:tcPr>
            <w:tcW w:w="1418" w:type="dxa"/>
            <w:tcBorders>
              <w:top w:val="single" w:sz="4" w:space="0" w:color="auto"/>
              <w:left w:val="single" w:sz="6" w:space="0" w:color="000000"/>
              <w:bottom w:val="single" w:sz="4" w:space="0" w:color="auto"/>
              <w:right w:val="single" w:sz="4" w:space="0" w:color="auto"/>
            </w:tcBorders>
            <w:shd w:val="clear" w:color="auto" w:fill="auto"/>
            <w:tcMar>
              <w:top w:w="0" w:type="dxa"/>
              <w:left w:w="100" w:type="dxa"/>
              <w:bottom w:w="0" w:type="dxa"/>
              <w:right w:w="100" w:type="dxa"/>
            </w:tcMar>
          </w:tcPr>
          <w:p w14:paraId="654B6E46" w14:textId="0AD3CD54" w:rsidR="00D20CBA" w:rsidRPr="00117750" w:rsidRDefault="001630D4" w:rsidP="003F494F">
            <w:pPr>
              <w:spacing w:before="240" w:line="360" w:lineRule="auto"/>
              <w:jc w:val="center"/>
              <w:rPr>
                <w:rFonts w:eastAsia="Arial" w:cstheme="minorHAnsi"/>
                <w:b/>
                <w:sz w:val="22"/>
                <w:szCs w:val="22"/>
                <w:lang w:val="en" w:eastAsia="en-GB"/>
              </w:rPr>
            </w:pPr>
            <w:r>
              <w:rPr>
                <w:rFonts w:eastAsia="Arial" w:cstheme="minorHAnsi"/>
                <w:b/>
                <w:sz w:val="22"/>
                <w:szCs w:val="22"/>
                <w:lang w:val="en" w:eastAsia="en-GB"/>
              </w:rPr>
              <w:t>2D</w:t>
            </w:r>
          </w:p>
        </w:tc>
      </w:tr>
    </w:tbl>
    <w:p w14:paraId="7F5CF7DA" w14:textId="77777777" w:rsidR="001D1F02" w:rsidRPr="00117750" w:rsidRDefault="001D1F02" w:rsidP="003F494F">
      <w:pPr>
        <w:pStyle w:val="Heading3"/>
        <w:spacing w:line="360" w:lineRule="auto"/>
        <w:rPr>
          <w:rFonts w:asciiTheme="minorHAnsi" w:eastAsia="Arial" w:hAnsiTheme="minorHAnsi" w:cstheme="minorHAnsi"/>
          <w:sz w:val="22"/>
          <w:szCs w:val="22"/>
          <w:lang w:val="en" w:eastAsia="en-GB"/>
        </w:rPr>
      </w:pPr>
      <w:bookmarkStart w:id="16" w:name="_tn18rvx3er3w" w:colFirst="0" w:colLast="0"/>
      <w:bookmarkEnd w:id="16"/>
    </w:p>
    <w:p w14:paraId="2C9D66A0" w14:textId="77777777" w:rsidR="001D1F02" w:rsidRPr="00EE5437" w:rsidRDefault="001630D4" w:rsidP="003F494F">
      <w:pPr>
        <w:spacing w:line="360" w:lineRule="auto"/>
        <w:rPr>
          <w:b/>
          <w:bCs/>
          <w:sz w:val="22"/>
          <w:szCs w:val="22"/>
          <w:lang w:val="en" w:eastAsia="en-GB"/>
        </w:rPr>
      </w:pPr>
      <w:r w:rsidRPr="00EE5437">
        <w:rPr>
          <w:b/>
          <w:bCs/>
          <w:sz w:val="22"/>
          <w:szCs w:val="22"/>
          <w:lang w:val="en" w:eastAsia="en-GB"/>
        </w:rPr>
        <w:t>Rationale</w:t>
      </w:r>
    </w:p>
    <w:p w14:paraId="41C3AFFB" w14:textId="4C41085F" w:rsidR="001D1F02" w:rsidRPr="00117750" w:rsidRDefault="001630D4" w:rsidP="003F494F">
      <w:pPr>
        <w:spacing w:before="240" w:after="240" w:line="360" w:lineRule="auto"/>
        <w:jc w:val="both"/>
        <w:rPr>
          <w:rFonts w:eastAsia="Arial" w:cstheme="minorHAnsi"/>
          <w:sz w:val="22"/>
          <w:szCs w:val="22"/>
          <w:lang w:val="en" w:eastAsia="en-GB"/>
        </w:rPr>
      </w:pPr>
      <w:r>
        <w:rPr>
          <w:rFonts w:eastAsia="Arial" w:cstheme="minorHAnsi"/>
          <w:sz w:val="22"/>
          <w:szCs w:val="22"/>
          <w:lang w:val="en" w:eastAsia="en-GB"/>
        </w:rPr>
        <w:t>T</w:t>
      </w:r>
      <w:r w:rsidRPr="00117750">
        <w:rPr>
          <w:rFonts w:eastAsia="Arial" w:cstheme="minorHAnsi"/>
          <w:sz w:val="22"/>
          <w:szCs w:val="22"/>
          <w:lang w:val="en" w:eastAsia="en-GB"/>
        </w:rPr>
        <w:t xml:space="preserve">he 2022 IPNA guidelines clearly stated that on-going frequently relapsing disease should signal the need for a review of </w:t>
      </w:r>
      <w:r>
        <w:rPr>
          <w:rFonts w:eastAsia="Arial" w:cstheme="minorHAnsi"/>
          <w:sz w:val="22"/>
          <w:szCs w:val="22"/>
          <w:lang w:val="en" w:eastAsia="en-GB"/>
        </w:rPr>
        <w:t xml:space="preserve">regular </w:t>
      </w:r>
      <w:r w:rsidRPr="00117750">
        <w:rPr>
          <w:rFonts w:eastAsia="Arial" w:cstheme="minorHAnsi"/>
          <w:sz w:val="22"/>
          <w:szCs w:val="22"/>
          <w:lang w:val="en" w:eastAsia="en-GB"/>
        </w:rPr>
        <w:t xml:space="preserve">maintenance treatment. There are few direct comparators of steroid-sparing agents. A trial </w:t>
      </w:r>
      <w:r w:rsidR="00F907FD">
        <w:rPr>
          <w:rFonts w:eastAsia="Arial" w:cstheme="minorHAnsi"/>
          <w:sz w:val="22"/>
          <w:szCs w:val="22"/>
          <w:lang w:val="en" w:eastAsia="en-GB"/>
        </w:rPr>
        <w:t xml:space="preserve">evaluating children in India, </w:t>
      </w:r>
      <w:r w:rsidRPr="00117750">
        <w:rPr>
          <w:rFonts w:eastAsia="Arial" w:cstheme="minorHAnsi"/>
          <w:sz w:val="22"/>
          <w:szCs w:val="22"/>
          <w:lang w:val="en" w:eastAsia="en-GB"/>
        </w:rPr>
        <w:t>compa</w:t>
      </w:r>
      <w:r w:rsidR="00F907FD">
        <w:rPr>
          <w:rFonts w:eastAsia="Arial" w:cstheme="minorHAnsi"/>
          <w:sz w:val="22"/>
          <w:szCs w:val="22"/>
          <w:lang w:val="en" w:eastAsia="en-GB"/>
        </w:rPr>
        <w:t>red</w:t>
      </w:r>
      <w:r w:rsidRPr="00117750">
        <w:rPr>
          <w:rFonts w:eastAsia="Arial" w:cstheme="minorHAnsi"/>
          <w:sz w:val="22"/>
          <w:szCs w:val="22"/>
          <w:lang w:val="en" w:eastAsia="en-GB"/>
        </w:rPr>
        <w:t xml:space="preserve"> levamisole with mycophenolate mofetil</w:t>
      </w:r>
      <w:r w:rsidR="00AF2D09">
        <w:rPr>
          <w:rFonts w:eastAsia="Arial" w:cstheme="minorHAnsi"/>
          <w:sz w:val="22"/>
          <w:szCs w:val="22"/>
          <w:lang w:val="en" w:eastAsia="en-GB"/>
        </w:rPr>
        <w:t xml:space="preserve"> </w:t>
      </w:r>
      <w:r w:rsidR="00AF2D09">
        <w:rPr>
          <w:rFonts w:eastAsia="Arial" w:cstheme="minorHAnsi"/>
          <w:sz w:val="22"/>
          <w:szCs w:val="22"/>
          <w:lang w:val="en" w:eastAsia="en-GB"/>
        </w:rPr>
        <w:fldChar w:fldCharType="begin"/>
      </w:r>
      <w:r w:rsidR="00642970">
        <w:rPr>
          <w:rFonts w:eastAsia="Arial" w:cstheme="minorHAnsi"/>
          <w:sz w:val="22"/>
          <w:szCs w:val="22"/>
          <w:lang w:val="en" w:eastAsia="en-GB"/>
        </w:rPr>
        <w:instrText xml:space="preserve"> ADDIN ZOTERO_ITEM CSL_CITATION {"citationID":"cGsBa3wW","properties":{"formattedCitation":"(135)","plainCitation":"(135)","noteIndex":0},"citationItems":[{"id":325,"uris":["http://zotero.org/users/local/lvPLY4Gu/items/EJQMC34H"],"itemData":{"id":325,"type":"article-journal","abstract":"Both levamisole and mycophenolate mofetil (MMF) prevent relapses in patients with frequently relapsing nephrotic syndrome; however, their efficacy has not been compared prospectively. This single-center, randomized, open-label trial enrolled 149 children ages 6-18 years with frequently relapsing or steroid-dependent nephrotic syndrome. Participants were randomized in a 1:1 ratio to receive therapy with MMF (750-1000 mg/m2 daily) or levamisole (2-2.5 mg/kg on alternate days) for 1 year; prednisolone was discontinued by 2-3 months. In intention-to-treat analyses, the frequency of relapse was similar between participants treated with MMF and levamisole (mean difference -0.29 relapses/patient-year; 95% confidence interval -0.65, 0.08). Relapse rates declined to almost one-third of baseline for both treatment groups. Therapy with MMF was not superior to levamisole in terms of the proportions of participants with sustained remission (40.8% vs. 34.2%), frequent relapses (14.5% vs. 16.4%), or treatment failure, a composite outcome of frequent relapses, steroid resistance, or significant steroid toxicity (15.8% vs. 20.6%). These outcomes were also similar in time to event analyses. Changes in anthropometry and blood pressure were similar between the groups, and the rates of adverse effects were low in both groups. Flow cytometry in 32 participants demonstrated similar proportions of B cells and CD4+, CD8+, T helper (Th)1, Th2, Th17, and T regulatory (Treg) cells during follow-up. Therapy with MMF was not superior to levamisole in the frequency of relapses, likelihood of sustained remission or corticosteroid sparing in children with frequently relapsing or steroid-dependent nephrotic syndrome. Registration CTRI/2012/02/002394.","container-title":"Kidney International","DOI":"10.1016/j.kint.2018.08.039","ISSN":"1523-1755","issue":"1","journalAbbreviation":"Kidney Int","language":"eng","note":"PMID: 30497684","page":"210-218","source":"PubMed","title":"Efficacy and safety of mycophenolate mofetil versus levamisole in frequently relapsing nephrotic syndrome: an open-label randomized controlled trial","title-short":"Efficacy and safety of mycophenolate mofetil versus levamisole in frequently relapsing nephrotic syndrome","volume":"95","author":[{"family":"Sinha","given":"Aditi"},{"family":"Puraswani","given":"Mamta"},{"family":"Kalaivani","given":"Mani"},{"family":"Goyal","given":"Pragya"},{"family":"Hari","given":"Pankaj"},{"family":"Bagga","given":"Arvind"}],"issued":{"date-parts":[["2019",1]]}}}],"schema":"https://github.com/citation-style-language/schema/raw/master/csl-citation.json"} </w:instrText>
      </w:r>
      <w:r w:rsidR="00AF2D09">
        <w:rPr>
          <w:rFonts w:eastAsia="Arial" w:cstheme="minorHAnsi"/>
          <w:sz w:val="22"/>
          <w:szCs w:val="22"/>
          <w:lang w:val="en" w:eastAsia="en-GB"/>
        </w:rPr>
        <w:fldChar w:fldCharType="separate"/>
      </w:r>
      <w:r w:rsidR="00642970">
        <w:rPr>
          <w:rFonts w:eastAsia="Arial" w:cstheme="minorHAnsi"/>
          <w:noProof/>
          <w:sz w:val="22"/>
          <w:szCs w:val="22"/>
          <w:lang w:val="en" w:eastAsia="en-GB"/>
        </w:rPr>
        <w:t>(135)</w:t>
      </w:r>
      <w:r w:rsidR="00AF2D09">
        <w:rPr>
          <w:rFonts w:eastAsia="Arial" w:cstheme="minorHAnsi"/>
          <w:sz w:val="22"/>
          <w:szCs w:val="22"/>
          <w:lang w:val="en" w:eastAsia="en-GB"/>
        </w:rPr>
        <w:fldChar w:fldCharType="end"/>
      </w:r>
      <w:r w:rsidRPr="00117750">
        <w:rPr>
          <w:rFonts w:eastAsia="Arial" w:cstheme="minorHAnsi"/>
          <w:sz w:val="22"/>
          <w:szCs w:val="22"/>
          <w:lang w:val="en" w:eastAsia="en-GB"/>
        </w:rPr>
        <w:t xml:space="preserve"> </w:t>
      </w:r>
      <w:r w:rsidR="00104C86">
        <w:rPr>
          <w:rFonts w:eastAsia="Arial" w:cstheme="minorHAnsi"/>
          <w:sz w:val="22"/>
          <w:szCs w:val="22"/>
          <w:lang w:val="en" w:eastAsia="en-GB"/>
        </w:rPr>
        <w:t xml:space="preserve">and </w:t>
      </w:r>
      <w:r w:rsidRPr="00117750">
        <w:rPr>
          <w:rFonts w:eastAsia="Arial" w:cstheme="minorHAnsi"/>
          <w:sz w:val="22"/>
          <w:szCs w:val="22"/>
          <w:lang w:val="en" w:eastAsia="en-GB"/>
        </w:rPr>
        <w:t>found no difference in relapse rates</w:t>
      </w:r>
      <w:r w:rsidR="00F907FD">
        <w:rPr>
          <w:rFonts w:eastAsia="Arial" w:cstheme="minorHAnsi"/>
          <w:sz w:val="22"/>
          <w:szCs w:val="22"/>
          <w:lang w:val="en" w:eastAsia="en-GB"/>
        </w:rPr>
        <w:t>,</w:t>
      </w:r>
      <w:r w:rsidRPr="00117750">
        <w:rPr>
          <w:rFonts w:eastAsia="Arial" w:cstheme="minorHAnsi"/>
          <w:sz w:val="22"/>
          <w:szCs w:val="22"/>
          <w:lang w:val="en" w:eastAsia="en-GB"/>
        </w:rPr>
        <w:t xml:space="preserve"> </w:t>
      </w:r>
      <w:r w:rsidR="00CB166B">
        <w:rPr>
          <w:rFonts w:eastAsia="Arial" w:cstheme="minorHAnsi"/>
          <w:sz w:val="22"/>
          <w:szCs w:val="22"/>
          <w:lang w:val="en" w:eastAsia="en-GB"/>
        </w:rPr>
        <w:t xml:space="preserve"> </w:t>
      </w:r>
      <w:r w:rsidR="00F907FD">
        <w:rPr>
          <w:rFonts w:eastAsia="Arial" w:cstheme="minorHAnsi"/>
          <w:sz w:val="22"/>
          <w:szCs w:val="22"/>
          <w:lang w:val="en" w:eastAsia="en-GB"/>
        </w:rPr>
        <w:t xml:space="preserve">suggesting </w:t>
      </w:r>
      <w:r w:rsidR="00CB166B">
        <w:rPr>
          <w:rFonts w:eastAsia="Arial" w:cstheme="minorHAnsi"/>
          <w:sz w:val="22"/>
          <w:szCs w:val="22"/>
          <w:lang w:val="en" w:eastAsia="en-GB"/>
        </w:rPr>
        <w:t>either may be a suitable</w:t>
      </w:r>
      <w:r w:rsidRPr="00117750">
        <w:rPr>
          <w:rFonts w:eastAsia="Arial" w:cstheme="minorHAnsi"/>
          <w:sz w:val="22"/>
          <w:szCs w:val="22"/>
          <w:lang w:val="en" w:eastAsia="en-GB"/>
        </w:rPr>
        <w:t xml:space="preserve"> first-choice </w:t>
      </w:r>
      <w:r w:rsidR="00CB166B">
        <w:rPr>
          <w:rFonts w:eastAsia="Arial" w:cstheme="minorHAnsi"/>
          <w:sz w:val="22"/>
          <w:szCs w:val="22"/>
          <w:lang w:val="en" w:eastAsia="en-GB"/>
        </w:rPr>
        <w:t xml:space="preserve">mild </w:t>
      </w:r>
      <w:r w:rsidRPr="00117750">
        <w:rPr>
          <w:rFonts w:eastAsia="Arial" w:cstheme="minorHAnsi"/>
          <w:sz w:val="22"/>
          <w:szCs w:val="22"/>
          <w:lang w:val="en" w:eastAsia="en-GB"/>
        </w:rPr>
        <w:t xml:space="preserve">steroid-sparing </w:t>
      </w:r>
      <w:r w:rsidR="00CB166B">
        <w:rPr>
          <w:rFonts w:eastAsia="Arial" w:cstheme="minorHAnsi"/>
          <w:sz w:val="22"/>
          <w:szCs w:val="22"/>
          <w:lang w:val="en" w:eastAsia="en-GB"/>
        </w:rPr>
        <w:t xml:space="preserve">immunosuppressive </w:t>
      </w:r>
      <w:r w:rsidRPr="00117750">
        <w:rPr>
          <w:rFonts w:eastAsia="Arial" w:cstheme="minorHAnsi"/>
          <w:sz w:val="22"/>
          <w:szCs w:val="22"/>
          <w:lang w:val="en" w:eastAsia="en-GB"/>
        </w:rPr>
        <w:t>agent</w:t>
      </w:r>
      <w:r w:rsidR="00CB166B">
        <w:rPr>
          <w:rFonts w:eastAsia="Arial" w:cstheme="minorHAnsi"/>
          <w:sz w:val="22"/>
          <w:szCs w:val="22"/>
          <w:lang w:val="en" w:eastAsia="en-GB"/>
        </w:rPr>
        <w:t xml:space="preserve">, </w:t>
      </w:r>
      <w:r w:rsidRPr="00117750">
        <w:rPr>
          <w:rFonts w:eastAsia="Arial" w:cstheme="minorHAnsi"/>
          <w:sz w:val="22"/>
          <w:szCs w:val="22"/>
          <w:lang w:val="en" w:eastAsia="en-GB"/>
        </w:rPr>
        <w:t xml:space="preserve">in </w:t>
      </w:r>
      <w:r w:rsidR="00D20CBA">
        <w:rPr>
          <w:rFonts w:eastAsia="Arial" w:cstheme="minorHAnsi"/>
          <w:sz w:val="22"/>
          <w:szCs w:val="22"/>
          <w:lang w:val="en" w:eastAsia="en-GB"/>
        </w:rPr>
        <w:t>uncomplicated</w:t>
      </w:r>
      <w:r w:rsidR="00D20CBA" w:rsidRPr="00117750">
        <w:rPr>
          <w:rFonts w:eastAsia="Arial" w:cstheme="minorHAnsi"/>
          <w:sz w:val="22"/>
          <w:szCs w:val="22"/>
          <w:lang w:val="en" w:eastAsia="en-GB"/>
        </w:rPr>
        <w:t xml:space="preserve"> </w:t>
      </w:r>
      <w:r w:rsidRPr="00117750">
        <w:rPr>
          <w:rFonts w:eastAsia="Arial" w:cstheme="minorHAnsi"/>
          <w:sz w:val="22"/>
          <w:szCs w:val="22"/>
          <w:lang w:val="en" w:eastAsia="en-GB"/>
        </w:rPr>
        <w:t xml:space="preserve">frequently relapsing disease. For children with </w:t>
      </w:r>
      <w:r w:rsidR="00F907FD">
        <w:rPr>
          <w:rFonts w:eastAsia="Arial" w:cstheme="minorHAnsi"/>
          <w:sz w:val="22"/>
          <w:szCs w:val="22"/>
          <w:lang w:val="en" w:eastAsia="en-GB"/>
        </w:rPr>
        <w:t xml:space="preserve">more complex relapsing or </w:t>
      </w:r>
      <w:r w:rsidRPr="00117750">
        <w:rPr>
          <w:rFonts w:eastAsia="Arial" w:cstheme="minorHAnsi"/>
          <w:sz w:val="22"/>
          <w:szCs w:val="22"/>
          <w:lang w:val="en" w:eastAsia="en-GB"/>
        </w:rPr>
        <w:t>steroid-dependent disease, there is insufficient evidence to suggest a single first-choice agent</w:t>
      </w:r>
      <w:r w:rsidR="00D20CBA">
        <w:rPr>
          <w:rFonts w:eastAsia="Arial" w:cstheme="minorHAnsi"/>
          <w:sz w:val="22"/>
          <w:szCs w:val="22"/>
          <w:lang w:val="en" w:eastAsia="en-GB"/>
        </w:rPr>
        <w:t xml:space="preserve">, </w:t>
      </w:r>
      <w:proofErr w:type="gramStart"/>
      <w:r w:rsidR="00F907FD">
        <w:rPr>
          <w:rFonts w:eastAsia="Arial" w:cstheme="minorHAnsi"/>
          <w:sz w:val="22"/>
          <w:szCs w:val="22"/>
          <w:lang w:val="en" w:eastAsia="en-GB"/>
        </w:rPr>
        <w:t>however</w:t>
      </w:r>
      <w:proofErr w:type="gramEnd"/>
      <w:r w:rsidR="00F907FD">
        <w:rPr>
          <w:rFonts w:eastAsia="Arial" w:cstheme="minorHAnsi"/>
          <w:sz w:val="22"/>
          <w:szCs w:val="22"/>
          <w:lang w:val="en" w:eastAsia="en-GB"/>
        </w:rPr>
        <w:t xml:space="preserve"> </w:t>
      </w:r>
      <w:r w:rsidR="00D20CBA">
        <w:rPr>
          <w:rFonts w:eastAsia="Arial" w:cstheme="minorHAnsi"/>
          <w:sz w:val="22"/>
          <w:szCs w:val="22"/>
          <w:lang w:val="en" w:eastAsia="en-GB"/>
        </w:rPr>
        <w:t>t</w:t>
      </w:r>
      <w:r w:rsidRPr="00117750">
        <w:rPr>
          <w:rFonts w:eastAsia="Arial" w:cstheme="minorHAnsi"/>
          <w:sz w:val="22"/>
          <w:szCs w:val="22"/>
          <w:lang w:val="en" w:eastAsia="en-GB"/>
        </w:rPr>
        <w:t xml:space="preserve">o align practice, we suggest the </w:t>
      </w:r>
      <w:r>
        <w:rPr>
          <w:rFonts w:eastAsia="Arial" w:cstheme="minorHAnsi"/>
          <w:sz w:val="22"/>
          <w:szCs w:val="22"/>
          <w:lang w:val="en" w:eastAsia="en-GB"/>
        </w:rPr>
        <w:t xml:space="preserve">first </w:t>
      </w:r>
      <w:r w:rsidRPr="00117750">
        <w:rPr>
          <w:rFonts w:eastAsia="Arial" w:cstheme="minorHAnsi"/>
          <w:sz w:val="22"/>
          <w:szCs w:val="22"/>
          <w:lang w:val="en" w:eastAsia="en-GB"/>
        </w:rPr>
        <w:t xml:space="preserve">choice is restricted to mycophenolate mofetil or tacrolimus. </w:t>
      </w:r>
    </w:p>
    <w:p w14:paraId="0B43187D" w14:textId="2406DC9B" w:rsidR="001D1F02" w:rsidRDefault="001630D4" w:rsidP="003F494F">
      <w:pPr>
        <w:spacing w:line="360" w:lineRule="auto"/>
        <w:rPr>
          <w:b/>
          <w:bCs/>
          <w:sz w:val="22"/>
          <w:szCs w:val="22"/>
          <w:lang w:val="en" w:eastAsia="en-GB"/>
        </w:rPr>
      </w:pPr>
      <w:r w:rsidRPr="00EE5437">
        <w:rPr>
          <w:b/>
          <w:bCs/>
          <w:sz w:val="22"/>
          <w:szCs w:val="22"/>
          <w:lang w:val="en" w:eastAsia="en-GB"/>
        </w:rPr>
        <w:t xml:space="preserve">Management of primary </w:t>
      </w:r>
      <w:r w:rsidR="005C03D8">
        <w:rPr>
          <w:b/>
          <w:bCs/>
          <w:sz w:val="22"/>
          <w:szCs w:val="22"/>
          <w:lang w:val="en" w:eastAsia="en-GB"/>
        </w:rPr>
        <w:t>I</w:t>
      </w:r>
      <w:r w:rsidR="004256C8">
        <w:rPr>
          <w:b/>
          <w:bCs/>
          <w:sz w:val="22"/>
          <w:szCs w:val="22"/>
          <w:lang w:val="en" w:eastAsia="en-GB"/>
        </w:rPr>
        <w:t>NS resistant to steroid (</w:t>
      </w:r>
      <w:r w:rsidRPr="00EE5437">
        <w:rPr>
          <w:b/>
          <w:bCs/>
          <w:sz w:val="22"/>
          <w:szCs w:val="22"/>
          <w:lang w:val="en" w:eastAsia="en-GB"/>
        </w:rPr>
        <w:t>SRNS</w:t>
      </w:r>
      <w:r w:rsidR="004256C8">
        <w:rPr>
          <w:b/>
          <w:bCs/>
          <w:sz w:val="22"/>
          <w:szCs w:val="22"/>
          <w:lang w:val="en" w:eastAsia="en-GB"/>
        </w:rPr>
        <w:t>)</w:t>
      </w:r>
    </w:p>
    <w:p w14:paraId="776E9550" w14:textId="77777777" w:rsidR="00865D85" w:rsidRPr="00EE5437" w:rsidRDefault="00865D85" w:rsidP="003F494F">
      <w:pPr>
        <w:spacing w:line="360" w:lineRule="auto"/>
        <w:rPr>
          <w:b/>
          <w:bCs/>
          <w:sz w:val="22"/>
          <w:szCs w:val="22"/>
          <w:lang w:val="en" w:eastAsia="en-GB"/>
        </w:rPr>
      </w:pPr>
    </w:p>
    <w:tbl>
      <w:tblPr>
        <w:tblW w:w="10485" w:type="dxa"/>
        <w:tblBorders>
          <w:top w:val="nil"/>
          <w:left w:val="nil"/>
          <w:bottom w:val="nil"/>
          <w:right w:val="nil"/>
          <w:insideH w:val="nil"/>
          <w:insideV w:val="nil"/>
        </w:tblBorders>
        <w:tblLayout w:type="fixed"/>
        <w:tblLook w:val="0600" w:firstRow="0" w:lastRow="0" w:firstColumn="0" w:lastColumn="0" w:noHBand="1" w:noVBand="1"/>
      </w:tblPr>
      <w:tblGrid>
        <w:gridCol w:w="1170"/>
        <w:gridCol w:w="7897"/>
        <w:gridCol w:w="1418"/>
      </w:tblGrid>
      <w:tr w:rsidR="00837E18" w14:paraId="25640017" w14:textId="77777777" w:rsidTr="102F4F22">
        <w:trPr>
          <w:trHeight w:val="915"/>
        </w:trPr>
        <w:tc>
          <w:tcPr>
            <w:tcW w:w="117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78583D62" w14:textId="3052E3C4" w:rsidR="00601B86" w:rsidRPr="00117750" w:rsidRDefault="001630D4" w:rsidP="003F494F">
            <w:pPr>
              <w:spacing w:before="240" w:line="360" w:lineRule="auto"/>
              <w:jc w:val="center"/>
              <w:rPr>
                <w:rFonts w:eastAsia="Arial" w:cstheme="minorHAnsi"/>
                <w:sz w:val="22"/>
                <w:szCs w:val="22"/>
                <w:lang w:val="en" w:eastAsia="en-GB"/>
              </w:rPr>
            </w:pPr>
            <w:r w:rsidRPr="00117750">
              <w:rPr>
                <w:rFonts w:eastAsia="Arial" w:cstheme="minorHAnsi"/>
                <w:b/>
                <w:sz w:val="22"/>
                <w:szCs w:val="22"/>
                <w:lang w:val="en" w:eastAsia="en-GB"/>
              </w:rPr>
              <w:lastRenderedPageBreak/>
              <w:t>Number</w:t>
            </w:r>
          </w:p>
        </w:tc>
        <w:tc>
          <w:tcPr>
            <w:tcW w:w="7897"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6C37CE29" w14:textId="76F8A88C" w:rsidR="00601B86" w:rsidRPr="00117750" w:rsidRDefault="001630D4" w:rsidP="003F494F">
            <w:pPr>
              <w:spacing w:before="240" w:line="360" w:lineRule="auto"/>
              <w:rPr>
                <w:rFonts w:eastAsia="Arial" w:cstheme="minorHAnsi"/>
                <w:sz w:val="22"/>
                <w:szCs w:val="22"/>
                <w:lang w:val="en" w:eastAsia="en-GB"/>
              </w:rPr>
            </w:pPr>
            <w:r w:rsidRPr="00117750">
              <w:rPr>
                <w:rFonts w:eastAsia="Arial" w:cstheme="minorHAnsi"/>
                <w:b/>
                <w:sz w:val="22"/>
                <w:szCs w:val="22"/>
                <w:lang w:val="en" w:eastAsia="en-GB"/>
              </w:rPr>
              <w:t>RECOMMENDATION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33ECFAF3" w14:textId="3C66F49A" w:rsidR="00601B86" w:rsidRPr="00117750" w:rsidRDefault="001630D4" w:rsidP="003F494F">
            <w:pPr>
              <w:spacing w:before="240" w:line="360" w:lineRule="auto"/>
              <w:jc w:val="center"/>
              <w:rPr>
                <w:rFonts w:eastAsia="Arial" w:cstheme="minorHAnsi"/>
                <w:sz w:val="22"/>
                <w:szCs w:val="22"/>
                <w:lang w:val="en" w:eastAsia="en-GB"/>
              </w:rPr>
            </w:pPr>
            <w:r w:rsidRPr="00117750">
              <w:rPr>
                <w:rFonts w:eastAsia="Arial" w:cstheme="minorHAnsi"/>
                <w:b/>
                <w:sz w:val="22"/>
                <w:szCs w:val="22"/>
                <w:lang w:val="en" w:eastAsia="en-GB"/>
              </w:rPr>
              <w:t>Grade</w:t>
            </w:r>
          </w:p>
        </w:tc>
      </w:tr>
      <w:tr w:rsidR="00837E18" w14:paraId="1E1A45D1" w14:textId="77777777" w:rsidTr="102F4F22">
        <w:trPr>
          <w:trHeight w:val="915"/>
        </w:trPr>
        <w:tc>
          <w:tcPr>
            <w:tcW w:w="117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280F20E5" w14:textId="4FD822C2" w:rsidR="00601B86" w:rsidRPr="00117750" w:rsidRDefault="001630D4" w:rsidP="003F494F">
            <w:pPr>
              <w:spacing w:before="240" w:line="360" w:lineRule="auto"/>
              <w:jc w:val="center"/>
              <w:rPr>
                <w:rFonts w:eastAsia="Arial" w:cstheme="minorHAnsi"/>
                <w:sz w:val="22"/>
                <w:szCs w:val="22"/>
                <w:lang w:val="en" w:eastAsia="en-GB"/>
              </w:rPr>
            </w:pPr>
            <w:r>
              <w:rPr>
                <w:rFonts w:eastAsia="Arial" w:cstheme="minorHAnsi"/>
                <w:sz w:val="22"/>
                <w:szCs w:val="22"/>
                <w:lang w:val="en" w:eastAsia="en-GB"/>
              </w:rPr>
              <w:t xml:space="preserve">INS </w:t>
            </w:r>
            <w:r w:rsidR="006645DC">
              <w:rPr>
                <w:rFonts w:eastAsia="Arial" w:cstheme="minorHAnsi"/>
                <w:sz w:val="22"/>
                <w:szCs w:val="22"/>
                <w:lang w:val="en" w:eastAsia="en-GB"/>
              </w:rPr>
              <w:t>1.1</w:t>
            </w:r>
            <w:r>
              <w:rPr>
                <w:rFonts w:eastAsia="Arial" w:cstheme="minorHAnsi"/>
                <w:sz w:val="22"/>
                <w:szCs w:val="22"/>
                <w:lang w:val="en" w:eastAsia="en-GB"/>
              </w:rPr>
              <w:t>8</w:t>
            </w:r>
          </w:p>
        </w:tc>
        <w:tc>
          <w:tcPr>
            <w:tcW w:w="7897"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676DAE7B" w14:textId="452511D8" w:rsidR="002B6C23" w:rsidRPr="00117750" w:rsidRDefault="00F907FD" w:rsidP="003F494F">
            <w:pPr>
              <w:spacing w:before="240" w:line="360" w:lineRule="auto"/>
              <w:jc w:val="both"/>
              <w:rPr>
                <w:rFonts w:eastAsia="Arial" w:cstheme="minorHAnsi"/>
                <w:sz w:val="22"/>
                <w:szCs w:val="22"/>
                <w:lang w:val="en" w:eastAsia="en-GB"/>
              </w:rPr>
            </w:pPr>
            <w:r w:rsidRPr="003F494F">
              <w:rPr>
                <w:rFonts w:ascii="Calibri" w:eastAsia="Arial" w:hAnsi="Calibri" w:cs="Calibri"/>
                <w:sz w:val="22"/>
                <w:szCs w:val="22"/>
                <w:u w:val="single"/>
                <w:lang w:val="en" w:eastAsia="en-GB"/>
              </w:rPr>
              <w:t>We suggest</w:t>
            </w:r>
            <w:r w:rsidRPr="00F907FD">
              <w:rPr>
                <w:rFonts w:ascii="Calibri" w:eastAsia="Arial" w:hAnsi="Calibri" w:cs="Calibri"/>
                <w:sz w:val="22"/>
                <w:szCs w:val="22"/>
                <w:lang w:val="en" w:eastAsia="en-GB"/>
              </w:rPr>
              <w:t xml:space="preserve"> that in </w:t>
            </w:r>
            <w:r w:rsidR="002B6C23" w:rsidRPr="003F494F">
              <w:rPr>
                <w:rFonts w:ascii="Calibri" w:hAnsi="Calibri" w:cs="Calibri"/>
                <w:color w:val="000000"/>
                <w:sz w:val="22"/>
                <w:szCs w:val="22"/>
              </w:rPr>
              <w:t>CYP with nephrotic syndrome that does not respond to standard dose corticosteroid by 6 weeks should undergo screening for genetic causes of nephrotic syndrome</w:t>
            </w:r>
            <w:r w:rsidR="000A3A89" w:rsidRPr="003F494F">
              <w:rPr>
                <w:rFonts w:ascii="Calibri" w:hAnsi="Calibri" w:cs="Calibri"/>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75CB94D9" w14:textId="07F05434" w:rsidR="00601B86" w:rsidRPr="00D20CBA" w:rsidRDefault="00F907FD" w:rsidP="003F494F">
            <w:pPr>
              <w:spacing w:before="240" w:line="360" w:lineRule="auto"/>
              <w:jc w:val="center"/>
              <w:rPr>
                <w:rFonts w:eastAsia="Arial" w:cstheme="minorHAnsi"/>
                <w:b/>
                <w:bCs/>
                <w:sz w:val="22"/>
                <w:szCs w:val="22"/>
                <w:lang w:val="en" w:eastAsia="en-GB"/>
              </w:rPr>
            </w:pPr>
            <w:r>
              <w:rPr>
                <w:rFonts w:eastAsia="Arial" w:cstheme="minorHAnsi"/>
                <w:b/>
                <w:bCs/>
                <w:sz w:val="22"/>
                <w:szCs w:val="22"/>
                <w:lang w:val="en" w:eastAsia="en-GB"/>
              </w:rPr>
              <w:t>2C</w:t>
            </w:r>
          </w:p>
        </w:tc>
      </w:tr>
      <w:tr w:rsidR="00837E18" w14:paraId="27CE20EC" w14:textId="77777777" w:rsidTr="102F4F22">
        <w:trPr>
          <w:trHeight w:val="915"/>
        </w:trPr>
        <w:tc>
          <w:tcPr>
            <w:tcW w:w="117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70F51580" w14:textId="452BF1A9" w:rsidR="00601B86" w:rsidRPr="00117750" w:rsidRDefault="001630D4" w:rsidP="003F494F">
            <w:pPr>
              <w:spacing w:before="240" w:line="360" w:lineRule="auto"/>
              <w:jc w:val="center"/>
              <w:rPr>
                <w:rFonts w:eastAsia="Arial" w:cstheme="minorHAnsi"/>
                <w:sz w:val="22"/>
                <w:szCs w:val="22"/>
                <w:lang w:val="en" w:eastAsia="en-GB"/>
              </w:rPr>
            </w:pPr>
            <w:r>
              <w:rPr>
                <w:rFonts w:eastAsia="Arial" w:cstheme="minorHAnsi"/>
                <w:sz w:val="22"/>
                <w:szCs w:val="22"/>
                <w:lang w:val="en" w:eastAsia="en-GB"/>
              </w:rPr>
              <w:t xml:space="preserve">INS </w:t>
            </w:r>
            <w:r w:rsidR="006645DC">
              <w:rPr>
                <w:rFonts w:eastAsia="Arial" w:cstheme="minorHAnsi"/>
                <w:sz w:val="22"/>
                <w:szCs w:val="22"/>
                <w:lang w:val="en" w:eastAsia="en-GB"/>
              </w:rPr>
              <w:t>1.</w:t>
            </w:r>
            <w:r>
              <w:rPr>
                <w:rFonts w:eastAsia="Arial" w:cstheme="minorHAnsi"/>
                <w:sz w:val="22"/>
                <w:szCs w:val="22"/>
                <w:lang w:val="en" w:eastAsia="en-GB"/>
              </w:rPr>
              <w:t>19</w:t>
            </w:r>
          </w:p>
        </w:tc>
        <w:tc>
          <w:tcPr>
            <w:tcW w:w="7897"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0546C0A5" w14:textId="29DAF688" w:rsidR="00601B86" w:rsidRPr="00117750" w:rsidRDefault="001630D4" w:rsidP="003F494F">
            <w:pPr>
              <w:spacing w:before="240" w:line="360" w:lineRule="auto"/>
              <w:jc w:val="both"/>
              <w:rPr>
                <w:rFonts w:eastAsia="Arial" w:cstheme="minorHAnsi"/>
                <w:sz w:val="22"/>
                <w:szCs w:val="22"/>
                <w:lang w:val="en" w:eastAsia="en-GB"/>
              </w:rPr>
            </w:pPr>
            <w:r w:rsidRPr="00D20CBA">
              <w:rPr>
                <w:rFonts w:eastAsia="Arial" w:cstheme="minorHAnsi"/>
                <w:sz w:val="22"/>
                <w:szCs w:val="22"/>
                <w:u w:val="single"/>
                <w:lang w:val="en" w:eastAsia="en-GB"/>
              </w:rPr>
              <w:t>We recommend</w:t>
            </w:r>
            <w:r w:rsidRPr="00117750">
              <w:rPr>
                <w:rFonts w:eastAsia="Arial" w:cstheme="minorHAnsi"/>
                <w:sz w:val="22"/>
                <w:szCs w:val="22"/>
                <w:lang w:val="en" w:eastAsia="en-GB"/>
              </w:rPr>
              <w:t xml:space="preserve"> that tacrolimus should be commenced as first line immunosuppressive therapy </w:t>
            </w:r>
            <w:r w:rsidR="00D20CBA">
              <w:rPr>
                <w:rFonts w:eastAsia="Arial" w:cstheme="minorHAnsi"/>
                <w:sz w:val="22"/>
                <w:szCs w:val="22"/>
                <w:lang w:val="en" w:eastAsia="en-GB"/>
              </w:rPr>
              <w:t>for</w:t>
            </w:r>
            <w:r w:rsidRPr="00117750">
              <w:rPr>
                <w:rFonts w:eastAsia="Arial" w:cstheme="minorHAnsi"/>
                <w:sz w:val="22"/>
                <w:szCs w:val="22"/>
                <w:lang w:val="en" w:eastAsia="en-GB"/>
              </w:rPr>
              <w:t xml:space="preserve"> SRNS.</w:t>
            </w:r>
            <w:r w:rsidRPr="00117750">
              <w:rPr>
                <w:rFonts w:eastAsia="Arial" w:cstheme="minorHAnsi"/>
                <w:sz w:val="22"/>
                <w:szCs w:val="22"/>
                <w:lang w:val="en" w:eastAsia="en-GB"/>
              </w:rPr>
              <w:tab/>
            </w:r>
            <w:r w:rsidR="009413D8">
              <w:rPr>
                <w:rFonts w:eastAsia="Arial" w:cstheme="minorHAnsi"/>
                <w:sz w:val="22"/>
                <w:szCs w:val="22"/>
                <w:lang w:val="en" w:eastAsia="en-GB"/>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06593836" w14:textId="77777777" w:rsidR="00601B86" w:rsidRPr="00D20CBA" w:rsidRDefault="001630D4" w:rsidP="003F494F">
            <w:pPr>
              <w:spacing w:before="240" w:line="360" w:lineRule="auto"/>
              <w:jc w:val="center"/>
              <w:rPr>
                <w:rFonts w:eastAsia="Arial" w:cstheme="minorHAnsi"/>
                <w:b/>
                <w:bCs/>
                <w:sz w:val="22"/>
                <w:szCs w:val="22"/>
                <w:lang w:val="en" w:eastAsia="en-GB"/>
              </w:rPr>
            </w:pPr>
            <w:r w:rsidRPr="00D20CBA">
              <w:rPr>
                <w:rFonts w:eastAsia="Arial" w:cstheme="minorHAnsi"/>
                <w:b/>
                <w:bCs/>
                <w:sz w:val="22"/>
                <w:szCs w:val="22"/>
                <w:lang w:val="en" w:eastAsia="en-GB"/>
              </w:rPr>
              <w:t>1B</w:t>
            </w:r>
          </w:p>
        </w:tc>
      </w:tr>
      <w:tr w:rsidR="00837E18" w14:paraId="7E8537AA" w14:textId="77777777" w:rsidTr="102F4F22">
        <w:trPr>
          <w:trHeight w:val="915"/>
        </w:trPr>
        <w:tc>
          <w:tcPr>
            <w:tcW w:w="117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29D1C525" w14:textId="3ACE2542" w:rsidR="00601B86" w:rsidRPr="00117750" w:rsidRDefault="001630D4" w:rsidP="003F494F">
            <w:pPr>
              <w:spacing w:before="240" w:line="360" w:lineRule="auto"/>
              <w:jc w:val="center"/>
              <w:rPr>
                <w:rFonts w:eastAsia="Arial" w:cstheme="minorHAnsi"/>
                <w:sz w:val="22"/>
                <w:szCs w:val="22"/>
                <w:lang w:val="en" w:eastAsia="en-GB"/>
              </w:rPr>
            </w:pPr>
            <w:r>
              <w:rPr>
                <w:rFonts w:eastAsia="Arial" w:cstheme="minorHAnsi"/>
                <w:sz w:val="22"/>
                <w:szCs w:val="22"/>
                <w:lang w:val="en" w:eastAsia="en-GB"/>
              </w:rPr>
              <w:t xml:space="preserve">INS </w:t>
            </w:r>
            <w:r w:rsidR="006645DC">
              <w:rPr>
                <w:rFonts w:eastAsia="Arial" w:cstheme="minorHAnsi"/>
                <w:sz w:val="22"/>
                <w:szCs w:val="22"/>
                <w:lang w:val="en" w:eastAsia="en-GB"/>
              </w:rPr>
              <w:t>1.2</w:t>
            </w:r>
            <w:r>
              <w:rPr>
                <w:rFonts w:eastAsia="Arial" w:cstheme="minorHAnsi"/>
                <w:sz w:val="22"/>
                <w:szCs w:val="22"/>
                <w:lang w:val="en" w:eastAsia="en-GB"/>
              </w:rPr>
              <w:t>0</w:t>
            </w:r>
          </w:p>
        </w:tc>
        <w:tc>
          <w:tcPr>
            <w:tcW w:w="7897"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6F84D3E3" w14:textId="433545CA" w:rsidR="00601B86" w:rsidRPr="00117750" w:rsidRDefault="001630D4" w:rsidP="003F494F">
            <w:pPr>
              <w:spacing w:before="240" w:line="360" w:lineRule="auto"/>
              <w:jc w:val="both"/>
              <w:rPr>
                <w:rFonts w:eastAsia="Arial" w:cstheme="minorHAnsi"/>
                <w:sz w:val="22"/>
                <w:szCs w:val="22"/>
                <w:lang w:val="en" w:eastAsia="en-GB"/>
              </w:rPr>
            </w:pPr>
            <w:r w:rsidRPr="00D20CBA">
              <w:rPr>
                <w:rFonts w:eastAsia="Arial" w:cstheme="minorHAnsi"/>
                <w:sz w:val="22"/>
                <w:szCs w:val="22"/>
                <w:u w:val="single"/>
                <w:lang w:val="en" w:eastAsia="en-GB"/>
              </w:rPr>
              <w:t>We recommend</w:t>
            </w:r>
            <w:r w:rsidRPr="00117750">
              <w:rPr>
                <w:rFonts w:eastAsia="Arial" w:cstheme="minorHAnsi"/>
                <w:sz w:val="22"/>
                <w:szCs w:val="22"/>
                <w:lang w:val="en" w:eastAsia="en-GB"/>
              </w:rPr>
              <w:t xml:space="preserve"> tapering prednisolone once a diagnosis of SRNS is established </w:t>
            </w:r>
            <w:r w:rsidR="00D20CBA">
              <w:rPr>
                <w:rFonts w:eastAsia="Arial" w:cstheme="minorHAnsi"/>
                <w:sz w:val="22"/>
                <w:szCs w:val="22"/>
                <w:lang w:val="en" w:eastAsia="en-GB"/>
              </w:rPr>
              <w:t xml:space="preserve">with the aim to </w:t>
            </w:r>
            <w:r w:rsidRPr="00117750">
              <w:rPr>
                <w:rFonts w:eastAsia="Arial" w:cstheme="minorHAnsi"/>
                <w:sz w:val="22"/>
                <w:szCs w:val="22"/>
                <w:lang w:val="en" w:eastAsia="en-GB"/>
              </w:rPr>
              <w:t>discontinu</w:t>
            </w:r>
            <w:r w:rsidR="00D20CBA">
              <w:rPr>
                <w:rFonts w:eastAsia="Arial" w:cstheme="minorHAnsi"/>
                <w:sz w:val="22"/>
                <w:szCs w:val="22"/>
                <w:lang w:val="en" w:eastAsia="en-GB"/>
              </w:rPr>
              <w:t>e</w:t>
            </w:r>
            <w:r w:rsidRPr="00117750">
              <w:rPr>
                <w:rFonts w:eastAsia="Arial" w:cstheme="minorHAnsi"/>
                <w:sz w:val="22"/>
                <w:szCs w:val="22"/>
                <w:lang w:val="en" w:eastAsia="en-GB"/>
              </w:rPr>
              <w:t xml:space="preserve"> after 6 months</w:t>
            </w:r>
            <w:r>
              <w:rPr>
                <w:rFonts w:eastAsia="Arial" w:cstheme="minorHAnsi"/>
                <w:sz w:val="22"/>
                <w:szCs w:val="22"/>
                <w:lang w:val="en" w:eastAsia="en-GB"/>
              </w:rPr>
              <w:t xml:space="preserve"> </w:t>
            </w:r>
            <w:r w:rsidR="00D20CBA">
              <w:rPr>
                <w:rFonts w:eastAsia="Arial" w:cstheme="minorHAnsi"/>
                <w:sz w:val="22"/>
                <w:szCs w:val="22"/>
                <w:lang w:val="en" w:eastAsia="en-GB"/>
              </w:rPr>
              <w:t xml:space="preserve">if they are not contributing to management </w:t>
            </w:r>
            <w:r>
              <w:rPr>
                <w:rFonts w:eastAsia="Arial" w:cstheme="minorHAnsi"/>
                <w:sz w:val="22"/>
                <w:szCs w:val="22"/>
                <w:lang w:val="en" w:eastAsia="en-GB"/>
              </w:rPr>
              <w:t>(see medication section for tapering guidance)</w:t>
            </w:r>
            <w:r w:rsidRPr="00117750">
              <w:rPr>
                <w:rFonts w:eastAsia="Arial" w:cstheme="minorHAnsi"/>
                <w:sz w:val="22"/>
                <w:szCs w:val="22"/>
                <w:lang w:val="en" w:eastAsia="en-GB"/>
              </w:rPr>
              <w: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55C19530" w14:textId="77777777" w:rsidR="00601B86" w:rsidRPr="00D20CBA" w:rsidRDefault="001630D4" w:rsidP="003F494F">
            <w:pPr>
              <w:spacing w:before="240" w:line="360" w:lineRule="auto"/>
              <w:jc w:val="center"/>
              <w:rPr>
                <w:rFonts w:eastAsia="Arial" w:cstheme="minorHAnsi"/>
                <w:b/>
                <w:bCs/>
                <w:sz w:val="22"/>
                <w:szCs w:val="22"/>
                <w:lang w:val="en" w:eastAsia="en-GB"/>
              </w:rPr>
            </w:pPr>
            <w:r w:rsidRPr="00D20CBA">
              <w:rPr>
                <w:rFonts w:eastAsia="Arial" w:cstheme="minorHAnsi"/>
                <w:b/>
                <w:bCs/>
                <w:sz w:val="22"/>
                <w:szCs w:val="22"/>
                <w:lang w:val="en" w:eastAsia="en-GB"/>
              </w:rPr>
              <w:t>2D</w:t>
            </w:r>
          </w:p>
        </w:tc>
      </w:tr>
      <w:tr w:rsidR="00837E18" w14:paraId="204AB989" w14:textId="77777777" w:rsidTr="102F4F22">
        <w:trPr>
          <w:trHeight w:val="915"/>
        </w:trPr>
        <w:tc>
          <w:tcPr>
            <w:tcW w:w="117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57B55DCE" w14:textId="6790C61C" w:rsidR="00601B86" w:rsidRPr="00117750" w:rsidRDefault="001630D4" w:rsidP="003F494F">
            <w:pPr>
              <w:spacing w:before="240" w:line="360" w:lineRule="auto"/>
              <w:jc w:val="center"/>
              <w:rPr>
                <w:rFonts w:eastAsia="Arial" w:cstheme="minorHAnsi"/>
                <w:sz w:val="22"/>
                <w:szCs w:val="22"/>
                <w:lang w:val="en" w:eastAsia="en-GB"/>
              </w:rPr>
            </w:pPr>
            <w:r>
              <w:rPr>
                <w:rFonts w:eastAsia="Arial" w:cstheme="minorHAnsi"/>
                <w:sz w:val="22"/>
                <w:szCs w:val="22"/>
                <w:lang w:val="en" w:eastAsia="en-GB"/>
              </w:rPr>
              <w:t xml:space="preserve">INS </w:t>
            </w:r>
            <w:r w:rsidR="006645DC">
              <w:rPr>
                <w:rFonts w:eastAsia="Arial" w:cstheme="minorHAnsi"/>
                <w:sz w:val="22"/>
                <w:szCs w:val="22"/>
                <w:lang w:val="en" w:eastAsia="en-GB"/>
              </w:rPr>
              <w:t>1.2</w:t>
            </w:r>
            <w:r>
              <w:rPr>
                <w:rFonts w:eastAsia="Arial" w:cstheme="minorHAnsi"/>
                <w:sz w:val="22"/>
                <w:szCs w:val="22"/>
                <w:lang w:val="en" w:eastAsia="en-GB"/>
              </w:rPr>
              <w:t>1</w:t>
            </w:r>
          </w:p>
        </w:tc>
        <w:tc>
          <w:tcPr>
            <w:tcW w:w="7897"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63DC9B26" w14:textId="77777777" w:rsidR="00601B86" w:rsidRPr="00117750" w:rsidRDefault="74A0DB8C" w:rsidP="003F494F">
            <w:pPr>
              <w:spacing w:before="240" w:line="360" w:lineRule="auto"/>
              <w:jc w:val="both"/>
              <w:rPr>
                <w:rFonts w:eastAsia="Arial"/>
                <w:sz w:val="22"/>
                <w:szCs w:val="22"/>
                <w:lang w:val="en-US" w:eastAsia="en-GB"/>
              </w:rPr>
            </w:pPr>
            <w:r w:rsidRPr="102F4F22">
              <w:rPr>
                <w:rFonts w:eastAsia="Arial"/>
                <w:sz w:val="22"/>
                <w:szCs w:val="22"/>
                <w:u w:val="single"/>
                <w:lang w:val="en-US" w:eastAsia="en-GB"/>
              </w:rPr>
              <w:t>We recommend</w:t>
            </w:r>
            <w:r w:rsidRPr="102F4F22">
              <w:rPr>
                <w:rFonts w:eastAsia="Arial"/>
                <w:sz w:val="22"/>
                <w:szCs w:val="22"/>
                <w:lang w:val="en-US" w:eastAsia="en-GB"/>
              </w:rPr>
              <w:t xml:space="preserve"> stopping immunosuppression in SRNS if a </w:t>
            </w:r>
            <w:proofErr w:type="spellStart"/>
            <w:r w:rsidRPr="102F4F22">
              <w:rPr>
                <w:rFonts w:eastAsia="Arial"/>
                <w:sz w:val="22"/>
                <w:szCs w:val="22"/>
                <w:lang w:val="en-US" w:eastAsia="en-GB"/>
              </w:rPr>
              <w:t>recognised</w:t>
            </w:r>
            <w:proofErr w:type="spellEnd"/>
            <w:r w:rsidRPr="102F4F22">
              <w:rPr>
                <w:rFonts w:eastAsia="Arial"/>
                <w:sz w:val="22"/>
                <w:szCs w:val="22"/>
                <w:lang w:val="en-US" w:eastAsia="en-GB"/>
              </w:rPr>
              <w:t xml:space="preserve"> genetic abnormality is detected.</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2138EF8D" w14:textId="34682671" w:rsidR="00601B86" w:rsidRPr="00D20CBA" w:rsidRDefault="001630D4" w:rsidP="003F494F">
            <w:pPr>
              <w:spacing w:before="240" w:line="360" w:lineRule="auto"/>
              <w:jc w:val="center"/>
              <w:rPr>
                <w:rFonts w:eastAsia="Arial" w:cstheme="minorHAnsi"/>
                <w:b/>
                <w:bCs/>
                <w:sz w:val="22"/>
                <w:szCs w:val="22"/>
                <w:lang w:val="en" w:eastAsia="en-GB"/>
              </w:rPr>
            </w:pPr>
            <w:r w:rsidRPr="00D20CBA">
              <w:rPr>
                <w:rFonts w:eastAsia="Arial" w:cstheme="minorHAnsi"/>
                <w:b/>
                <w:bCs/>
                <w:sz w:val="22"/>
                <w:szCs w:val="22"/>
                <w:lang w:val="en" w:eastAsia="en-GB"/>
              </w:rPr>
              <w:t>1</w:t>
            </w:r>
            <w:r w:rsidR="00D20CBA">
              <w:rPr>
                <w:rFonts w:eastAsia="Arial" w:cstheme="minorHAnsi"/>
                <w:b/>
                <w:bCs/>
                <w:sz w:val="22"/>
                <w:szCs w:val="22"/>
                <w:lang w:val="en" w:eastAsia="en-GB"/>
              </w:rPr>
              <w:t>D</w:t>
            </w:r>
          </w:p>
        </w:tc>
      </w:tr>
      <w:tr w:rsidR="00837E18" w14:paraId="2D69525D" w14:textId="77777777" w:rsidTr="102F4F22">
        <w:trPr>
          <w:trHeight w:val="915"/>
        </w:trPr>
        <w:tc>
          <w:tcPr>
            <w:tcW w:w="117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41A6274A" w14:textId="50307641" w:rsidR="00601B86" w:rsidRPr="00117750" w:rsidRDefault="001630D4" w:rsidP="003F494F">
            <w:pPr>
              <w:spacing w:before="240" w:line="360" w:lineRule="auto"/>
              <w:jc w:val="center"/>
              <w:rPr>
                <w:rFonts w:eastAsia="Arial" w:cstheme="minorHAnsi"/>
                <w:sz w:val="22"/>
                <w:szCs w:val="22"/>
                <w:lang w:val="en" w:eastAsia="en-GB"/>
              </w:rPr>
            </w:pPr>
            <w:r>
              <w:rPr>
                <w:rFonts w:eastAsia="Arial" w:cstheme="minorHAnsi"/>
                <w:sz w:val="22"/>
                <w:szCs w:val="22"/>
                <w:lang w:val="en" w:eastAsia="en-GB"/>
              </w:rPr>
              <w:t xml:space="preserve">INS </w:t>
            </w:r>
            <w:r w:rsidR="006645DC">
              <w:rPr>
                <w:rFonts w:eastAsia="Arial" w:cstheme="minorHAnsi"/>
                <w:sz w:val="22"/>
                <w:szCs w:val="22"/>
                <w:lang w:val="en" w:eastAsia="en-GB"/>
              </w:rPr>
              <w:t>1.2</w:t>
            </w:r>
            <w:r w:rsidR="00F907FD">
              <w:rPr>
                <w:rFonts w:eastAsia="Arial" w:cstheme="minorHAnsi"/>
                <w:sz w:val="22"/>
                <w:szCs w:val="22"/>
                <w:lang w:val="en" w:eastAsia="en-GB"/>
              </w:rPr>
              <w:t>2</w:t>
            </w:r>
          </w:p>
        </w:tc>
        <w:tc>
          <w:tcPr>
            <w:tcW w:w="7897"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1E3E1774" w14:textId="6E3573F4" w:rsidR="00601B86" w:rsidRPr="00117750" w:rsidRDefault="001630D4" w:rsidP="003F494F">
            <w:pPr>
              <w:spacing w:before="240" w:line="360" w:lineRule="auto"/>
              <w:jc w:val="both"/>
              <w:rPr>
                <w:rFonts w:eastAsia="Arial" w:cstheme="minorHAnsi"/>
                <w:sz w:val="22"/>
                <w:szCs w:val="22"/>
                <w:lang w:val="en" w:eastAsia="en-GB"/>
              </w:rPr>
            </w:pPr>
            <w:r w:rsidRPr="00D20CBA">
              <w:rPr>
                <w:rFonts w:eastAsia="Arial" w:cstheme="minorHAnsi"/>
                <w:sz w:val="22"/>
                <w:szCs w:val="22"/>
                <w:u w:val="single"/>
                <w:lang w:val="en" w:eastAsia="en-GB"/>
              </w:rPr>
              <w:t>We suggest</w:t>
            </w:r>
            <w:r w:rsidRPr="00117750">
              <w:rPr>
                <w:rFonts w:eastAsia="Arial" w:cstheme="minorHAnsi"/>
                <w:sz w:val="22"/>
                <w:szCs w:val="22"/>
                <w:lang w:val="en" w:eastAsia="en-GB"/>
              </w:rPr>
              <w:t xml:space="preserve"> </w:t>
            </w:r>
            <w:r>
              <w:rPr>
                <w:rFonts w:eastAsia="Arial" w:cstheme="minorHAnsi"/>
                <w:sz w:val="22"/>
                <w:szCs w:val="22"/>
                <w:lang w:val="en" w:eastAsia="en-GB"/>
              </w:rPr>
              <w:t>that i</w:t>
            </w:r>
            <w:r w:rsidRPr="00117750">
              <w:rPr>
                <w:rFonts w:eastAsia="Arial" w:cstheme="minorHAnsi"/>
                <w:sz w:val="22"/>
                <w:szCs w:val="22"/>
                <w:lang w:val="en" w:eastAsia="en-GB"/>
              </w:rPr>
              <w:t>f complete re</w:t>
            </w:r>
            <w:r w:rsidR="00F907FD">
              <w:rPr>
                <w:rFonts w:eastAsia="Arial" w:cstheme="minorHAnsi"/>
                <w:sz w:val="22"/>
                <w:szCs w:val="22"/>
                <w:lang w:val="en" w:eastAsia="en-GB"/>
              </w:rPr>
              <w:t>sponse</w:t>
            </w:r>
            <w:r w:rsidRPr="00117750">
              <w:rPr>
                <w:rFonts w:eastAsia="Arial" w:cstheme="minorHAnsi"/>
                <w:sz w:val="22"/>
                <w:szCs w:val="22"/>
                <w:lang w:val="en" w:eastAsia="en-GB"/>
              </w:rPr>
              <w:t xml:space="preserve"> is achieved</w:t>
            </w:r>
            <w:r>
              <w:rPr>
                <w:rFonts w:eastAsia="Arial" w:cstheme="minorHAnsi"/>
                <w:sz w:val="22"/>
                <w:szCs w:val="22"/>
                <w:lang w:val="en" w:eastAsia="en-GB"/>
              </w:rPr>
              <w:t xml:space="preserve"> in SRNS with tacrolimus it should be continued</w:t>
            </w:r>
            <w:r w:rsidRPr="00117750">
              <w:rPr>
                <w:rFonts w:eastAsia="Arial" w:cstheme="minorHAnsi"/>
                <w:sz w:val="22"/>
                <w:szCs w:val="22"/>
                <w:lang w:val="en" w:eastAsia="en-GB"/>
              </w:rPr>
              <w:t xml:space="preserve"> for at least 2 years.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4F168140" w14:textId="77777777" w:rsidR="00601B86" w:rsidRPr="00D20CBA" w:rsidRDefault="001630D4" w:rsidP="003F494F">
            <w:pPr>
              <w:spacing w:before="240" w:line="360" w:lineRule="auto"/>
              <w:jc w:val="center"/>
              <w:rPr>
                <w:rFonts w:eastAsia="Arial" w:cstheme="minorHAnsi"/>
                <w:b/>
                <w:bCs/>
                <w:sz w:val="22"/>
                <w:szCs w:val="22"/>
                <w:lang w:val="en" w:eastAsia="en-GB"/>
              </w:rPr>
            </w:pPr>
            <w:r w:rsidRPr="00D20CBA">
              <w:rPr>
                <w:rFonts w:eastAsia="Arial" w:cstheme="minorHAnsi"/>
                <w:b/>
                <w:bCs/>
                <w:sz w:val="22"/>
                <w:szCs w:val="22"/>
                <w:lang w:val="en" w:eastAsia="en-GB"/>
              </w:rPr>
              <w:t>2D</w:t>
            </w:r>
          </w:p>
        </w:tc>
      </w:tr>
      <w:tr w:rsidR="00837E18" w14:paraId="01E84483" w14:textId="77777777" w:rsidTr="102F4F22">
        <w:trPr>
          <w:trHeight w:val="915"/>
        </w:trPr>
        <w:tc>
          <w:tcPr>
            <w:tcW w:w="117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3C8972A8" w14:textId="13AE3767" w:rsidR="00601B86" w:rsidRPr="00117750" w:rsidRDefault="001630D4" w:rsidP="003F494F">
            <w:pPr>
              <w:spacing w:before="240" w:line="360" w:lineRule="auto"/>
              <w:jc w:val="center"/>
              <w:rPr>
                <w:rFonts w:eastAsia="Arial" w:cstheme="minorHAnsi"/>
                <w:sz w:val="22"/>
                <w:szCs w:val="22"/>
                <w:lang w:val="en" w:eastAsia="en-GB"/>
              </w:rPr>
            </w:pPr>
            <w:r>
              <w:rPr>
                <w:rFonts w:eastAsia="Arial" w:cstheme="minorHAnsi"/>
                <w:sz w:val="22"/>
                <w:szCs w:val="22"/>
                <w:lang w:val="en" w:eastAsia="en-GB"/>
              </w:rPr>
              <w:t xml:space="preserve">INS </w:t>
            </w:r>
            <w:r w:rsidR="006645DC">
              <w:rPr>
                <w:rFonts w:eastAsia="Arial" w:cstheme="minorHAnsi"/>
                <w:sz w:val="22"/>
                <w:szCs w:val="22"/>
                <w:lang w:val="en" w:eastAsia="en-GB"/>
              </w:rPr>
              <w:t>1.2</w:t>
            </w:r>
            <w:r w:rsidR="00F907FD">
              <w:rPr>
                <w:rFonts w:eastAsia="Arial" w:cstheme="minorHAnsi"/>
                <w:sz w:val="22"/>
                <w:szCs w:val="22"/>
                <w:lang w:val="en" w:eastAsia="en-GB"/>
              </w:rPr>
              <w:t>3</w:t>
            </w:r>
          </w:p>
        </w:tc>
        <w:tc>
          <w:tcPr>
            <w:tcW w:w="7897"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00006BB4" w14:textId="3330B9C0" w:rsidR="00601B86" w:rsidRPr="00117750" w:rsidRDefault="74A0DB8C" w:rsidP="003F494F">
            <w:pPr>
              <w:spacing w:before="240" w:line="360" w:lineRule="auto"/>
              <w:jc w:val="both"/>
              <w:rPr>
                <w:rFonts w:eastAsia="Arial"/>
                <w:sz w:val="22"/>
                <w:szCs w:val="22"/>
                <w:lang w:val="en-US" w:eastAsia="en-GB"/>
              </w:rPr>
            </w:pPr>
            <w:r w:rsidRPr="102F4F22">
              <w:rPr>
                <w:rFonts w:eastAsia="Arial"/>
                <w:sz w:val="22"/>
                <w:szCs w:val="22"/>
                <w:u w:val="single"/>
                <w:lang w:val="en-US" w:eastAsia="en-GB"/>
              </w:rPr>
              <w:t>We suggest</w:t>
            </w:r>
            <w:r w:rsidRPr="102F4F22">
              <w:rPr>
                <w:rFonts w:eastAsia="Arial"/>
                <w:sz w:val="22"/>
                <w:szCs w:val="22"/>
                <w:lang w:val="en-US" w:eastAsia="en-GB"/>
              </w:rPr>
              <w:t xml:space="preserve"> if there is a disease relapse following complete re</w:t>
            </w:r>
            <w:r w:rsidR="00F907FD">
              <w:rPr>
                <w:rFonts w:eastAsia="Arial"/>
                <w:sz w:val="22"/>
                <w:szCs w:val="22"/>
                <w:lang w:val="en-US" w:eastAsia="en-GB"/>
              </w:rPr>
              <w:t>sponse</w:t>
            </w:r>
            <w:r w:rsidRPr="102F4F22">
              <w:rPr>
                <w:rFonts w:eastAsia="Arial"/>
                <w:sz w:val="22"/>
                <w:szCs w:val="22"/>
                <w:lang w:val="en-US" w:eastAsia="en-GB"/>
              </w:rPr>
              <w:t xml:space="preserve"> with tacrolimus, the administration of prednisolone 60 mg/m</w:t>
            </w:r>
            <w:r w:rsidRPr="102F4F22">
              <w:rPr>
                <w:rFonts w:eastAsia="Arial"/>
                <w:sz w:val="22"/>
                <w:szCs w:val="22"/>
                <w:vertAlign w:val="superscript"/>
                <w:lang w:val="en-US" w:eastAsia="en-GB"/>
              </w:rPr>
              <w:t>2</w:t>
            </w:r>
            <w:r w:rsidRPr="102F4F22">
              <w:rPr>
                <w:rFonts w:eastAsia="Arial"/>
                <w:sz w:val="22"/>
                <w:szCs w:val="22"/>
                <w:lang w:val="en-US" w:eastAsia="en-GB"/>
              </w:rPr>
              <w:t xml:space="preserve"> </w:t>
            </w:r>
            <w:r w:rsidR="00F907FD">
              <w:rPr>
                <w:rFonts w:eastAsia="Arial"/>
                <w:sz w:val="22"/>
                <w:szCs w:val="22"/>
                <w:lang w:val="en-US" w:eastAsia="en-GB"/>
              </w:rPr>
              <w:t>per day</w:t>
            </w:r>
            <w:r w:rsidRPr="102F4F22">
              <w:rPr>
                <w:rFonts w:eastAsia="Arial"/>
                <w:sz w:val="22"/>
                <w:szCs w:val="22"/>
                <w:lang w:val="en-US" w:eastAsia="en-GB"/>
              </w:rPr>
              <w:t xml:space="preserve"> should be attempted until re</w:t>
            </w:r>
            <w:r w:rsidR="00F907FD">
              <w:rPr>
                <w:rFonts w:eastAsia="Arial"/>
                <w:sz w:val="22"/>
                <w:szCs w:val="22"/>
                <w:lang w:val="en-US" w:eastAsia="en-GB"/>
              </w:rPr>
              <w:t>sponse</w:t>
            </w:r>
            <w:r w:rsidRPr="102F4F22">
              <w:rPr>
                <w:rFonts w:eastAsia="Arial"/>
                <w:sz w:val="22"/>
                <w:szCs w:val="22"/>
                <w:lang w:val="en-US" w:eastAsia="en-GB"/>
              </w:rPr>
              <w:t xml:space="preserve"> (maximum duration 4 weeks) with subsequent taper </w:t>
            </w:r>
            <w:r w:rsidR="00F907FD">
              <w:rPr>
                <w:rFonts w:eastAsia="Arial"/>
                <w:sz w:val="22"/>
                <w:szCs w:val="22"/>
                <w:lang w:val="en-US" w:eastAsia="en-GB"/>
              </w:rPr>
              <w:t>whilst</w:t>
            </w:r>
            <w:r w:rsidR="00F907FD" w:rsidRPr="102F4F22">
              <w:rPr>
                <w:rFonts w:eastAsia="Arial"/>
                <w:sz w:val="22"/>
                <w:szCs w:val="22"/>
                <w:lang w:val="en-US" w:eastAsia="en-GB"/>
              </w:rPr>
              <w:t xml:space="preserve"> </w:t>
            </w:r>
            <w:r w:rsidRPr="102F4F22">
              <w:rPr>
                <w:rFonts w:eastAsia="Arial"/>
                <w:sz w:val="22"/>
                <w:szCs w:val="22"/>
                <w:lang w:val="en-US" w:eastAsia="en-GB"/>
              </w:rPr>
              <w:t>ensuring the tacrolimus trough levels are within target range</w:t>
            </w:r>
            <w:r w:rsidR="002B6C23">
              <w:rPr>
                <w:rFonts w:eastAsia="Arial"/>
                <w:sz w:val="22"/>
                <w:szCs w:val="22"/>
                <w:lang w:val="en-US" w:eastAsia="en-GB"/>
              </w:rPr>
              <w:t xml:space="preserve"> (suggested </w:t>
            </w:r>
            <w:r w:rsidR="00F907FD">
              <w:rPr>
                <w:rFonts w:eastAsia="Arial"/>
                <w:sz w:val="22"/>
                <w:szCs w:val="22"/>
                <w:lang w:val="en-US" w:eastAsia="en-GB"/>
              </w:rPr>
              <w:t>4</w:t>
            </w:r>
            <w:r w:rsidR="002B6C23">
              <w:rPr>
                <w:rFonts w:eastAsia="Arial"/>
                <w:sz w:val="22"/>
                <w:szCs w:val="22"/>
                <w:lang w:val="en-US" w:eastAsia="en-GB"/>
              </w:rPr>
              <w:t>-</w:t>
            </w:r>
            <w:r w:rsidR="00104C86">
              <w:rPr>
                <w:rFonts w:eastAsia="Arial"/>
                <w:sz w:val="22"/>
                <w:szCs w:val="22"/>
                <w:lang w:val="en-US" w:eastAsia="en-GB"/>
              </w:rPr>
              <w:t>7</w:t>
            </w:r>
            <w:r w:rsidR="002B6C23">
              <w:rPr>
                <w:rFonts w:eastAsia="Arial"/>
                <w:sz w:val="22"/>
                <w:szCs w:val="22"/>
                <w:lang w:val="en-US" w:eastAsia="en-GB"/>
              </w:rPr>
              <w:t xml:space="preserve"> mmol/L)</w:t>
            </w:r>
            <w:r w:rsidRPr="102F4F22">
              <w:rPr>
                <w:rFonts w:eastAsia="Arial"/>
                <w:sz w:val="22"/>
                <w:szCs w:val="22"/>
                <w:lang w:val="en-US" w:eastAsia="en-GB"/>
              </w:rPr>
              <w: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2B30959C" w14:textId="77777777" w:rsidR="00601B86" w:rsidRPr="00D20CBA" w:rsidRDefault="001630D4" w:rsidP="003F494F">
            <w:pPr>
              <w:spacing w:before="240" w:line="360" w:lineRule="auto"/>
              <w:jc w:val="center"/>
              <w:rPr>
                <w:rFonts w:eastAsia="Arial" w:cstheme="minorHAnsi"/>
                <w:b/>
                <w:bCs/>
                <w:sz w:val="22"/>
                <w:szCs w:val="22"/>
                <w:lang w:val="en" w:eastAsia="en-GB"/>
              </w:rPr>
            </w:pPr>
            <w:r w:rsidRPr="00D20CBA">
              <w:rPr>
                <w:rFonts w:eastAsia="Arial" w:cstheme="minorHAnsi"/>
                <w:b/>
                <w:bCs/>
                <w:sz w:val="22"/>
                <w:szCs w:val="22"/>
                <w:lang w:val="en" w:eastAsia="en-GB"/>
              </w:rPr>
              <w:t>2D</w:t>
            </w:r>
          </w:p>
        </w:tc>
      </w:tr>
      <w:tr w:rsidR="00837E18" w14:paraId="152290F9" w14:textId="77777777" w:rsidTr="102F4F22">
        <w:trPr>
          <w:trHeight w:val="915"/>
        </w:trPr>
        <w:tc>
          <w:tcPr>
            <w:tcW w:w="117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469917C0" w14:textId="361EBD7C" w:rsidR="00601B86" w:rsidRPr="00117750" w:rsidRDefault="001630D4" w:rsidP="003F494F">
            <w:pPr>
              <w:spacing w:before="240" w:line="360" w:lineRule="auto"/>
              <w:jc w:val="center"/>
              <w:rPr>
                <w:rFonts w:eastAsia="Arial" w:cstheme="minorHAnsi"/>
                <w:sz w:val="22"/>
                <w:szCs w:val="22"/>
                <w:lang w:val="en" w:eastAsia="en-GB"/>
              </w:rPr>
            </w:pPr>
            <w:r>
              <w:rPr>
                <w:rFonts w:eastAsia="Arial" w:cstheme="minorHAnsi"/>
                <w:sz w:val="22"/>
                <w:szCs w:val="22"/>
                <w:lang w:val="en" w:eastAsia="en-GB"/>
              </w:rPr>
              <w:t xml:space="preserve">INS </w:t>
            </w:r>
            <w:r w:rsidR="006645DC">
              <w:rPr>
                <w:rFonts w:eastAsia="Arial" w:cstheme="minorHAnsi"/>
                <w:sz w:val="22"/>
                <w:szCs w:val="22"/>
                <w:lang w:val="en" w:eastAsia="en-GB"/>
              </w:rPr>
              <w:t>1.2</w:t>
            </w:r>
            <w:r w:rsidR="00F907FD">
              <w:rPr>
                <w:rFonts w:eastAsia="Arial" w:cstheme="minorHAnsi"/>
                <w:sz w:val="22"/>
                <w:szCs w:val="22"/>
                <w:lang w:val="en" w:eastAsia="en-GB"/>
              </w:rPr>
              <w:t>4</w:t>
            </w:r>
          </w:p>
        </w:tc>
        <w:tc>
          <w:tcPr>
            <w:tcW w:w="7897"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7A310980" w14:textId="2EEDCEC6" w:rsidR="00601B86" w:rsidRPr="00117750" w:rsidRDefault="001630D4" w:rsidP="003F494F">
            <w:pPr>
              <w:spacing w:before="240" w:line="360" w:lineRule="auto"/>
              <w:jc w:val="both"/>
              <w:rPr>
                <w:rFonts w:eastAsia="Arial" w:cstheme="minorHAnsi"/>
                <w:sz w:val="22"/>
                <w:szCs w:val="22"/>
                <w:lang w:val="en" w:eastAsia="en-GB"/>
              </w:rPr>
            </w:pPr>
            <w:r w:rsidRPr="00D20CBA">
              <w:rPr>
                <w:rFonts w:eastAsia="Arial" w:cstheme="minorHAnsi"/>
                <w:sz w:val="22"/>
                <w:szCs w:val="22"/>
                <w:u w:val="single"/>
                <w:lang w:val="en" w:eastAsia="en-GB"/>
              </w:rPr>
              <w:t>We suggest</w:t>
            </w:r>
            <w:r w:rsidRPr="00117750">
              <w:rPr>
                <w:rFonts w:eastAsia="Arial" w:cstheme="minorHAnsi"/>
                <w:sz w:val="22"/>
                <w:szCs w:val="22"/>
                <w:lang w:val="en" w:eastAsia="en-GB"/>
              </w:rPr>
              <w:t xml:space="preserve"> </w:t>
            </w:r>
            <w:r>
              <w:rPr>
                <w:rFonts w:eastAsia="Arial" w:cstheme="minorHAnsi"/>
                <w:sz w:val="22"/>
                <w:szCs w:val="22"/>
                <w:lang w:val="en" w:eastAsia="en-GB"/>
              </w:rPr>
              <w:t>that in cases with</w:t>
            </w:r>
            <w:r w:rsidRPr="00117750">
              <w:rPr>
                <w:rFonts w:eastAsia="Arial" w:cstheme="minorHAnsi"/>
                <w:sz w:val="22"/>
                <w:szCs w:val="22"/>
                <w:lang w:val="en" w:eastAsia="en-GB"/>
              </w:rPr>
              <w:t xml:space="preserve"> partial or no re</w:t>
            </w:r>
            <w:r w:rsidR="00F907FD">
              <w:rPr>
                <w:rFonts w:eastAsia="Arial" w:cstheme="minorHAnsi"/>
                <w:sz w:val="22"/>
                <w:szCs w:val="22"/>
                <w:lang w:val="en" w:eastAsia="en-GB"/>
              </w:rPr>
              <w:t>sponse</w:t>
            </w:r>
            <w:r w:rsidRPr="00117750">
              <w:rPr>
                <w:rFonts w:eastAsia="Arial" w:cstheme="minorHAnsi"/>
                <w:sz w:val="22"/>
                <w:szCs w:val="22"/>
                <w:lang w:val="en" w:eastAsia="en-GB"/>
              </w:rPr>
              <w:t xml:space="preserve"> after 3 months of tacrolimus </w:t>
            </w:r>
            <w:r>
              <w:rPr>
                <w:rFonts w:eastAsia="Arial" w:cstheme="minorHAnsi"/>
                <w:sz w:val="22"/>
                <w:szCs w:val="22"/>
                <w:lang w:val="en" w:eastAsia="en-GB"/>
              </w:rPr>
              <w:t xml:space="preserve">treatment </w:t>
            </w:r>
            <w:r w:rsidRPr="00117750">
              <w:rPr>
                <w:rFonts w:eastAsia="Arial" w:cstheme="minorHAnsi"/>
                <w:sz w:val="22"/>
                <w:szCs w:val="22"/>
                <w:lang w:val="en" w:eastAsia="en-GB"/>
              </w:rPr>
              <w:t>with</w:t>
            </w:r>
            <w:r w:rsidR="00F907FD">
              <w:rPr>
                <w:rFonts w:eastAsia="Arial" w:cstheme="minorHAnsi"/>
                <w:sz w:val="22"/>
                <w:szCs w:val="22"/>
                <w:lang w:val="en" w:eastAsia="en-GB"/>
              </w:rPr>
              <w:t xml:space="preserve">in </w:t>
            </w:r>
            <w:r w:rsidRPr="00117750">
              <w:rPr>
                <w:rFonts w:eastAsia="Arial" w:cstheme="minorHAnsi"/>
                <w:sz w:val="22"/>
                <w:szCs w:val="22"/>
                <w:lang w:val="en" w:eastAsia="en-GB"/>
              </w:rPr>
              <w:t xml:space="preserve">target range, </w:t>
            </w:r>
            <w:r w:rsidR="00F907FD">
              <w:rPr>
                <w:rFonts w:eastAsia="Arial" w:cstheme="minorHAnsi"/>
                <w:sz w:val="22"/>
                <w:szCs w:val="22"/>
                <w:lang w:val="en" w:eastAsia="en-GB"/>
              </w:rPr>
              <w:t xml:space="preserve">and </w:t>
            </w:r>
            <w:r w:rsidR="002B6C23">
              <w:rPr>
                <w:rFonts w:eastAsia="Arial" w:cstheme="minorHAnsi"/>
                <w:sz w:val="22"/>
                <w:szCs w:val="22"/>
                <w:lang w:val="en" w:eastAsia="en-GB"/>
              </w:rPr>
              <w:t xml:space="preserve">no genetic cause has been found, then </w:t>
            </w:r>
            <w:r w:rsidRPr="00117750">
              <w:rPr>
                <w:rFonts w:eastAsia="Arial" w:cstheme="minorHAnsi"/>
                <w:sz w:val="22"/>
                <w:szCs w:val="22"/>
                <w:lang w:val="en" w:eastAsia="en-GB"/>
              </w:rPr>
              <w:t>MMF</w:t>
            </w:r>
            <w:r w:rsidR="002B6C23">
              <w:rPr>
                <w:rFonts w:eastAsia="Arial" w:cstheme="minorHAnsi"/>
                <w:sz w:val="22"/>
                <w:szCs w:val="22"/>
                <w:lang w:val="en" w:eastAsia="en-GB"/>
              </w:rPr>
              <w:t xml:space="preserve"> c</w:t>
            </w:r>
            <w:r>
              <w:rPr>
                <w:rFonts w:eastAsia="Arial" w:cstheme="minorHAnsi"/>
                <w:sz w:val="22"/>
                <w:szCs w:val="22"/>
                <w:lang w:val="en" w:eastAsia="en-GB"/>
              </w:rPr>
              <w:t xml:space="preserve">ould be added </w:t>
            </w:r>
            <w:r w:rsidRPr="00117750">
              <w:rPr>
                <w:rFonts w:eastAsia="Arial" w:cstheme="minorHAnsi"/>
                <w:sz w:val="22"/>
                <w:szCs w:val="22"/>
                <w:lang w:val="en" w:eastAsia="en-GB"/>
              </w:rPr>
              <w:t>as an adjunctive treatment.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464661CB" w14:textId="77777777" w:rsidR="00601B86" w:rsidRPr="00D20CBA" w:rsidRDefault="001630D4" w:rsidP="003F494F">
            <w:pPr>
              <w:spacing w:before="240" w:line="360" w:lineRule="auto"/>
              <w:jc w:val="center"/>
              <w:rPr>
                <w:rFonts w:eastAsia="Arial" w:cstheme="minorHAnsi"/>
                <w:b/>
                <w:bCs/>
                <w:sz w:val="22"/>
                <w:szCs w:val="22"/>
                <w:lang w:val="en" w:eastAsia="en-GB"/>
              </w:rPr>
            </w:pPr>
            <w:r w:rsidRPr="00D20CBA">
              <w:rPr>
                <w:rFonts w:eastAsia="Arial" w:cstheme="minorHAnsi"/>
                <w:b/>
                <w:bCs/>
                <w:sz w:val="22"/>
                <w:szCs w:val="22"/>
                <w:lang w:val="en" w:eastAsia="en-GB"/>
              </w:rPr>
              <w:t>2D</w:t>
            </w:r>
          </w:p>
        </w:tc>
      </w:tr>
      <w:tr w:rsidR="00837E18" w14:paraId="6A6CCC01" w14:textId="77777777" w:rsidTr="102F4F22">
        <w:trPr>
          <w:trHeight w:val="915"/>
        </w:trPr>
        <w:tc>
          <w:tcPr>
            <w:tcW w:w="117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6A206D55" w14:textId="74224330" w:rsidR="00601B86" w:rsidRPr="00117750" w:rsidRDefault="001630D4" w:rsidP="003F494F">
            <w:pPr>
              <w:spacing w:before="240" w:line="360" w:lineRule="auto"/>
              <w:jc w:val="center"/>
              <w:rPr>
                <w:rFonts w:eastAsia="Arial" w:cstheme="minorHAnsi"/>
                <w:sz w:val="22"/>
                <w:szCs w:val="22"/>
                <w:lang w:val="en" w:eastAsia="en-GB"/>
              </w:rPr>
            </w:pPr>
            <w:r>
              <w:rPr>
                <w:rFonts w:eastAsia="Arial" w:cstheme="minorHAnsi"/>
                <w:sz w:val="22"/>
                <w:szCs w:val="22"/>
                <w:lang w:val="en" w:eastAsia="en-GB"/>
              </w:rPr>
              <w:t xml:space="preserve">INS </w:t>
            </w:r>
            <w:r w:rsidR="006645DC">
              <w:rPr>
                <w:rFonts w:eastAsia="Arial" w:cstheme="minorHAnsi"/>
                <w:sz w:val="22"/>
                <w:szCs w:val="22"/>
                <w:lang w:val="en" w:eastAsia="en-GB"/>
              </w:rPr>
              <w:t>1.2</w:t>
            </w:r>
            <w:r w:rsidR="00F907FD">
              <w:rPr>
                <w:rFonts w:eastAsia="Arial" w:cstheme="minorHAnsi"/>
                <w:sz w:val="22"/>
                <w:szCs w:val="22"/>
                <w:lang w:val="en" w:eastAsia="en-GB"/>
              </w:rPr>
              <w:t>5</w:t>
            </w:r>
          </w:p>
        </w:tc>
        <w:tc>
          <w:tcPr>
            <w:tcW w:w="7897"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790F3DA7" w14:textId="3394CC25" w:rsidR="00601B86" w:rsidRPr="00117750" w:rsidRDefault="001630D4" w:rsidP="003F494F">
            <w:pPr>
              <w:spacing w:before="240" w:line="360" w:lineRule="auto"/>
              <w:jc w:val="both"/>
              <w:rPr>
                <w:rFonts w:eastAsia="Arial" w:cstheme="minorHAnsi"/>
                <w:sz w:val="22"/>
                <w:szCs w:val="22"/>
                <w:lang w:val="en" w:eastAsia="en-GB"/>
              </w:rPr>
            </w:pPr>
            <w:r>
              <w:rPr>
                <w:rFonts w:eastAsia="Arial" w:cstheme="minorHAnsi"/>
                <w:sz w:val="22"/>
                <w:szCs w:val="22"/>
                <w:lang w:val="en" w:eastAsia="en-GB"/>
              </w:rPr>
              <w:t>W</w:t>
            </w:r>
            <w:r w:rsidRPr="00117750">
              <w:rPr>
                <w:rFonts w:eastAsia="Arial" w:cstheme="minorHAnsi"/>
                <w:sz w:val="22"/>
                <w:szCs w:val="22"/>
                <w:lang w:val="en" w:eastAsia="en-GB"/>
              </w:rPr>
              <w:t xml:space="preserve">e </w:t>
            </w:r>
            <w:r w:rsidRPr="00117750">
              <w:rPr>
                <w:rFonts w:eastAsia="Arial" w:cstheme="minorHAnsi"/>
                <w:sz w:val="22"/>
                <w:szCs w:val="22"/>
                <w:u w:val="single"/>
                <w:lang w:val="en" w:eastAsia="en-GB"/>
              </w:rPr>
              <w:t>suggest</w:t>
            </w:r>
            <w:r w:rsidRPr="00117750">
              <w:rPr>
                <w:rFonts w:eastAsia="Arial" w:cstheme="minorHAnsi"/>
                <w:sz w:val="22"/>
                <w:szCs w:val="22"/>
                <w:lang w:val="en" w:eastAsia="en-GB"/>
              </w:rPr>
              <w:t xml:space="preserve"> </w:t>
            </w:r>
            <w:r>
              <w:rPr>
                <w:rFonts w:eastAsia="Arial" w:cstheme="minorHAnsi"/>
                <w:sz w:val="22"/>
                <w:szCs w:val="22"/>
                <w:lang w:val="en" w:eastAsia="en-GB"/>
              </w:rPr>
              <w:t>i</w:t>
            </w:r>
            <w:r w:rsidRPr="00117750">
              <w:rPr>
                <w:rFonts w:eastAsia="Arial" w:cstheme="minorHAnsi"/>
                <w:sz w:val="22"/>
                <w:szCs w:val="22"/>
                <w:lang w:val="en" w:eastAsia="en-GB"/>
              </w:rPr>
              <w:t xml:space="preserve">n children where there is no response after 6 months of treatment with tacrolimus and </w:t>
            </w:r>
            <w:r w:rsidR="00104C86">
              <w:rPr>
                <w:rFonts w:eastAsia="Arial" w:cstheme="minorHAnsi"/>
                <w:sz w:val="22"/>
                <w:szCs w:val="22"/>
                <w:lang w:val="en" w:eastAsia="en-GB"/>
              </w:rPr>
              <w:t xml:space="preserve">consideration of a trial of </w:t>
            </w:r>
            <w:r w:rsidR="002B6C23">
              <w:rPr>
                <w:rFonts w:eastAsia="Arial" w:cstheme="minorHAnsi"/>
                <w:sz w:val="22"/>
                <w:szCs w:val="22"/>
                <w:lang w:val="en" w:eastAsia="en-GB"/>
              </w:rPr>
              <w:t>another immunosuppressive agent</w:t>
            </w:r>
            <w:r w:rsidRPr="00117750">
              <w:rPr>
                <w:rFonts w:eastAsia="Arial" w:cstheme="minorHAnsi"/>
                <w:sz w:val="22"/>
                <w:szCs w:val="22"/>
                <w:lang w:val="en" w:eastAsia="en-GB"/>
              </w:rPr>
              <w:t>, that rituximab</w:t>
            </w:r>
            <w:r>
              <w:rPr>
                <w:rFonts w:eastAsia="Arial" w:cstheme="minorHAnsi"/>
                <w:sz w:val="22"/>
                <w:szCs w:val="22"/>
                <w:lang w:val="en" w:eastAsia="en-GB"/>
              </w:rPr>
              <w:t>, or alternative B cell depleting agent,</w:t>
            </w:r>
            <w:r w:rsidRPr="00117750">
              <w:rPr>
                <w:rFonts w:eastAsia="Arial" w:cstheme="minorHAnsi"/>
                <w:sz w:val="22"/>
                <w:szCs w:val="22"/>
                <w:lang w:val="en" w:eastAsia="en-GB"/>
              </w:rPr>
              <w:t xml:space="preserve"> </w:t>
            </w:r>
            <w:r w:rsidR="002B6C23">
              <w:rPr>
                <w:rFonts w:eastAsia="Arial" w:cstheme="minorHAnsi"/>
                <w:sz w:val="22"/>
                <w:szCs w:val="22"/>
                <w:lang w:val="en" w:eastAsia="en-GB"/>
              </w:rPr>
              <w:t>c</w:t>
            </w:r>
            <w:r>
              <w:rPr>
                <w:rFonts w:eastAsia="Arial" w:cstheme="minorHAnsi"/>
                <w:sz w:val="22"/>
                <w:szCs w:val="22"/>
                <w:lang w:val="en" w:eastAsia="en-GB"/>
              </w:rPr>
              <w:t xml:space="preserve">ould be </w:t>
            </w:r>
            <w:r w:rsidR="002B6C23">
              <w:rPr>
                <w:rFonts w:eastAsia="Arial" w:cstheme="minorHAnsi"/>
                <w:sz w:val="22"/>
                <w:szCs w:val="22"/>
                <w:lang w:val="en" w:eastAsia="en-GB"/>
              </w:rPr>
              <w:t>considered</w:t>
            </w:r>
            <w:r w:rsidRPr="00117750">
              <w:rPr>
                <w:rFonts w:eastAsia="Arial" w:cstheme="minorHAnsi"/>
                <w:sz w:val="22"/>
                <w:szCs w:val="22"/>
                <w:lang w:val="en" w:eastAsia="en-GB"/>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58BD1F76" w14:textId="77777777" w:rsidR="00601B86" w:rsidRPr="00D20CBA" w:rsidRDefault="001630D4" w:rsidP="003F494F">
            <w:pPr>
              <w:spacing w:before="240" w:line="360" w:lineRule="auto"/>
              <w:jc w:val="center"/>
              <w:rPr>
                <w:rFonts w:eastAsia="Arial" w:cstheme="minorHAnsi"/>
                <w:b/>
                <w:bCs/>
                <w:sz w:val="22"/>
                <w:szCs w:val="22"/>
                <w:lang w:val="en" w:eastAsia="en-GB"/>
              </w:rPr>
            </w:pPr>
            <w:r w:rsidRPr="00D20CBA">
              <w:rPr>
                <w:rFonts w:eastAsia="Arial" w:cstheme="minorHAnsi"/>
                <w:b/>
                <w:bCs/>
                <w:sz w:val="22"/>
                <w:szCs w:val="22"/>
                <w:lang w:val="en" w:eastAsia="en-GB"/>
              </w:rPr>
              <w:t>2D</w:t>
            </w:r>
          </w:p>
        </w:tc>
      </w:tr>
      <w:tr w:rsidR="00837E18" w14:paraId="0D01DEAC" w14:textId="77777777" w:rsidTr="102F4F22">
        <w:trPr>
          <w:trHeight w:val="915"/>
        </w:trPr>
        <w:tc>
          <w:tcPr>
            <w:tcW w:w="117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3EA635F6" w14:textId="18598C81" w:rsidR="00764801" w:rsidRDefault="001630D4" w:rsidP="003F494F">
            <w:pPr>
              <w:spacing w:before="240" w:line="360" w:lineRule="auto"/>
              <w:jc w:val="center"/>
              <w:rPr>
                <w:rFonts w:eastAsia="Arial" w:cstheme="minorHAnsi"/>
                <w:sz w:val="22"/>
                <w:szCs w:val="22"/>
                <w:lang w:val="en" w:eastAsia="en-GB"/>
              </w:rPr>
            </w:pPr>
            <w:r>
              <w:rPr>
                <w:rFonts w:eastAsia="Arial" w:cstheme="minorHAnsi"/>
                <w:sz w:val="22"/>
                <w:szCs w:val="22"/>
                <w:lang w:val="en" w:eastAsia="en-GB"/>
              </w:rPr>
              <w:t>INS 1.2</w:t>
            </w:r>
            <w:r w:rsidR="00F907FD">
              <w:rPr>
                <w:rFonts w:eastAsia="Arial" w:cstheme="minorHAnsi"/>
                <w:sz w:val="22"/>
                <w:szCs w:val="22"/>
                <w:lang w:val="en" w:eastAsia="en-GB"/>
              </w:rPr>
              <w:t>6</w:t>
            </w:r>
          </w:p>
        </w:tc>
        <w:tc>
          <w:tcPr>
            <w:tcW w:w="7897"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0970E853" w14:textId="641EB7A1" w:rsidR="00764801" w:rsidRDefault="001630D4" w:rsidP="003F494F">
            <w:pPr>
              <w:spacing w:before="240" w:line="360" w:lineRule="auto"/>
              <w:jc w:val="both"/>
              <w:rPr>
                <w:rFonts w:eastAsia="Arial" w:cstheme="minorHAnsi"/>
                <w:sz w:val="22"/>
                <w:szCs w:val="22"/>
                <w:lang w:val="en" w:eastAsia="en-GB"/>
              </w:rPr>
            </w:pPr>
            <w:r>
              <w:rPr>
                <w:rFonts w:eastAsiaTheme="minorEastAsia" w:cstheme="minorHAnsi"/>
                <w:color w:val="000000" w:themeColor="text1"/>
                <w:kern w:val="24"/>
                <w:sz w:val="22"/>
                <w:szCs w:val="22"/>
                <w:u w:val="single"/>
                <w:lang w:eastAsia="en-GB"/>
              </w:rPr>
              <w:t>We suggest</w:t>
            </w:r>
            <w:r>
              <w:rPr>
                <w:rFonts w:eastAsiaTheme="minorEastAsia" w:cstheme="minorHAnsi"/>
                <w:color w:val="000000" w:themeColor="text1"/>
                <w:kern w:val="24"/>
                <w:sz w:val="22"/>
                <w:szCs w:val="22"/>
                <w:lang w:eastAsia="en-GB"/>
              </w:rPr>
              <w:t xml:space="preserve"> consideration of recruitment to clinical trials, off-label treatments available for adults, or the compassionate use of agents under evaluation, in children who have </w:t>
            </w:r>
            <w:r w:rsidR="00F907FD">
              <w:rPr>
                <w:rFonts w:eastAsiaTheme="minorEastAsia" w:cstheme="minorHAnsi"/>
                <w:color w:val="000000" w:themeColor="text1"/>
                <w:kern w:val="24"/>
                <w:sz w:val="22"/>
                <w:szCs w:val="22"/>
                <w:lang w:eastAsia="en-GB"/>
              </w:rPr>
              <w:t>multi-drug resistant disease</w:t>
            </w:r>
            <w:r w:rsidR="00104C86">
              <w:rPr>
                <w:rFonts w:eastAsiaTheme="minorEastAsia" w:cstheme="minorHAnsi"/>
                <w:color w:val="000000" w:themeColor="text1"/>
                <w:kern w:val="24"/>
                <w:sz w:val="22"/>
                <w:szCs w:val="22"/>
                <w:lang w:eastAsia="en-GB"/>
              </w:rPr>
              <w:t xml:space="preserve"> and high risk of progression to kidney failure</w:t>
            </w:r>
            <w:r w:rsidR="00F907FD">
              <w:rPr>
                <w:rFonts w:eastAsiaTheme="minorEastAsia" w:cstheme="minorHAnsi"/>
                <w:color w:val="000000" w:themeColor="text1"/>
                <w:kern w:val="24"/>
                <w:sz w:val="22"/>
                <w:szCs w:val="22"/>
                <w:lang w:eastAsia="en-GB"/>
              </w:rPr>
              <w: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4B8D7658" w14:textId="537057EE" w:rsidR="00764801" w:rsidRPr="00D20CBA" w:rsidRDefault="001630D4" w:rsidP="003F494F">
            <w:pPr>
              <w:spacing w:before="240" w:line="360" w:lineRule="auto"/>
              <w:jc w:val="center"/>
              <w:rPr>
                <w:rFonts w:eastAsia="Arial" w:cstheme="minorHAnsi"/>
                <w:b/>
                <w:bCs/>
                <w:sz w:val="22"/>
                <w:szCs w:val="22"/>
                <w:lang w:val="en" w:eastAsia="en-GB"/>
              </w:rPr>
            </w:pPr>
            <w:r>
              <w:rPr>
                <w:rFonts w:eastAsia="Arial" w:cstheme="minorHAnsi"/>
                <w:b/>
                <w:bCs/>
                <w:sz w:val="22"/>
                <w:szCs w:val="22"/>
                <w:lang w:val="en" w:eastAsia="en-GB"/>
              </w:rPr>
              <w:t>2D</w:t>
            </w:r>
          </w:p>
        </w:tc>
      </w:tr>
    </w:tbl>
    <w:p w14:paraId="6ADB2FE8" w14:textId="77777777" w:rsidR="001D1F02" w:rsidRPr="00117750" w:rsidRDefault="001D1F02" w:rsidP="003F494F">
      <w:pPr>
        <w:pStyle w:val="Heading3"/>
        <w:spacing w:line="360" w:lineRule="auto"/>
        <w:rPr>
          <w:rFonts w:asciiTheme="minorHAnsi" w:eastAsia="Arial" w:hAnsiTheme="minorHAnsi" w:cstheme="minorHAnsi"/>
          <w:sz w:val="22"/>
          <w:szCs w:val="22"/>
          <w:lang w:val="en" w:eastAsia="en-GB"/>
        </w:rPr>
      </w:pPr>
    </w:p>
    <w:p w14:paraId="75C9C68C" w14:textId="77777777" w:rsidR="001D1F02" w:rsidRPr="002B6C23" w:rsidRDefault="001630D4" w:rsidP="003F494F">
      <w:pPr>
        <w:spacing w:line="360" w:lineRule="auto"/>
        <w:rPr>
          <w:b/>
          <w:bCs/>
          <w:sz w:val="22"/>
          <w:szCs w:val="22"/>
          <w:lang w:val="en" w:eastAsia="en-GB"/>
        </w:rPr>
      </w:pPr>
      <w:r w:rsidRPr="002B6C23">
        <w:rPr>
          <w:b/>
          <w:bCs/>
          <w:sz w:val="22"/>
          <w:szCs w:val="22"/>
          <w:lang w:val="en" w:eastAsia="en-GB"/>
        </w:rPr>
        <w:t>Rationale</w:t>
      </w:r>
    </w:p>
    <w:p w14:paraId="2866626B" w14:textId="4EB95D97" w:rsidR="004256C8" w:rsidRPr="00104C86" w:rsidRDefault="001630D4" w:rsidP="003F494F">
      <w:pPr>
        <w:spacing w:line="360" w:lineRule="auto"/>
        <w:jc w:val="both"/>
        <w:rPr>
          <w:rFonts w:eastAsia="Arial" w:cstheme="minorHAnsi"/>
          <w:sz w:val="22"/>
          <w:szCs w:val="22"/>
          <w:lang w:val="en" w:eastAsia="en-GB"/>
        </w:rPr>
      </w:pPr>
      <w:r w:rsidRPr="003F494F">
        <w:rPr>
          <w:sz w:val="22"/>
          <w:szCs w:val="22"/>
          <w:lang w:val="en" w:eastAsia="en-GB"/>
        </w:rPr>
        <w:lastRenderedPageBreak/>
        <w:t>The GDG were in general agreement with the</w:t>
      </w:r>
      <w:r>
        <w:rPr>
          <w:lang w:val="en" w:eastAsia="en-GB"/>
        </w:rPr>
        <w:t xml:space="preserve"> </w:t>
      </w:r>
      <w:r w:rsidRPr="00117750">
        <w:rPr>
          <w:rFonts w:eastAsia="Arial" w:cstheme="minorHAnsi"/>
          <w:sz w:val="22"/>
          <w:szCs w:val="22"/>
          <w:lang w:val="en" w:eastAsia="en-GB"/>
        </w:rPr>
        <w:t xml:space="preserve">2022 IPNA guidelines </w:t>
      </w:r>
      <w:r>
        <w:rPr>
          <w:rFonts w:eastAsia="Arial" w:cstheme="minorHAnsi"/>
          <w:sz w:val="22"/>
          <w:szCs w:val="22"/>
          <w:lang w:val="en" w:eastAsia="en-GB"/>
        </w:rPr>
        <w:t>that include the early use of RAAS blockage</w:t>
      </w:r>
      <w:r w:rsidR="002B6C23">
        <w:rPr>
          <w:rFonts w:eastAsia="Arial" w:cstheme="minorHAnsi"/>
          <w:sz w:val="22"/>
          <w:szCs w:val="22"/>
          <w:lang w:val="en" w:eastAsia="en-GB"/>
        </w:rPr>
        <w:t xml:space="preserve"> in persisting proteinuria</w:t>
      </w:r>
      <w:r>
        <w:rPr>
          <w:rFonts w:eastAsia="Arial" w:cstheme="minorHAnsi"/>
          <w:sz w:val="22"/>
          <w:szCs w:val="22"/>
          <w:lang w:val="en" w:eastAsia="en-GB"/>
        </w:rPr>
        <w:t>, prompt genetic testing</w:t>
      </w:r>
      <w:r w:rsidR="002B6C23">
        <w:rPr>
          <w:rFonts w:eastAsia="Arial" w:cstheme="minorHAnsi"/>
          <w:sz w:val="22"/>
          <w:szCs w:val="22"/>
          <w:lang w:val="en" w:eastAsia="en-GB"/>
        </w:rPr>
        <w:t xml:space="preserve"> in steroid resistant disease</w:t>
      </w:r>
      <w:r w:rsidR="00F907FD">
        <w:rPr>
          <w:rFonts w:eastAsia="Arial" w:cstheme="minorHAnsi"/>
          <w:sz w:val="22"/>
          <w:szCs w:val="22"/>
          <w:lang w:val="en" w:eastAsia="en-GB"/>
        </w:rPr>
        <w:t xml:space="preserve"> using the NHS genomics service</w:t>
      </w:r>
      <w:r>
        <w:rPr>
          <w:rFonts w:eastAsia="Arial" w:cstheme="minorHAnsi"/>
          <w:sz w:val="22"/>
          <w:szCs w:val="22"/>
          <w:lang w:val="en" w:eastAsia="en-GB"/>
        </w:rPr>
        <w:t xml:space="preserve">, and </w:t>
      </w:r>
      <w:r w:rsidR="002B6C23">
        <w:rPr>
          <w:rFonts w:eastAsia="Arial" w:cstheme="minorHAnsi"/>
          <w:sz w:val="22"/>
          <w:szCs w:val="22"/>
          <w:lang w:val="en" w:eastAsia="en-GB"/>
        </w:rPr>
        <w:t xml:space="preserve">the </w:t>
      </w:r>
      <w:r>
        <w:rPr>
          <w:rFonts w:eastAsia="Arial" w:cstheme="minorHAnsi"/>
          <w:sz w:val="22"/>
          <w:szCs w:val="22"/>
          <w:lang w:val="en" w:eastAsia="en-GB"/>
        </w:rPr>
        <w:t>introduction of a calcineurin inhibitor</w:t>
      </w:r>
      <w:r w:rsidR="002B6C23">
        <w:rPr>
          <w:rFonts w:eastAsia="Arial" w:cstheme="minorHAnsi"/>
          <w:sz w:val="22"/>
          <w:szCs w:val="22"/>
          <w:lang w:val="en" w:eastAsia="en-GB"/>
        </w:rPr>
        <w:t xml:space="preserve"> </w:t>
      </w:r>
      <w:r w:rsidR="00F907FD">
        <w:rPr>
          <w:rFonts w:eastAsia="Arial" w:cstheme="minorHAnsi"/>
          <w:sz w:val="22"/>
          <w:szCs w:val="22"/>
          <w:lang w:val="en" w:eastAsia="en-GB"/>
        </w:rPr>
        <w:t xml:space="preserve">using tacrolimus </w:t>
      </w:r>
      <w:r w:rsidR="002B6C23">
        <w:rPr>
          <w:rFonts w:eastAsia="Arial" w:cstheme="minorHAnsi"/>
          <w:sz w:val="22"/>
          <w:szCs w:val="22"/>
          <w:lang w:val="en" w:eastAsia="en-GB"/>
        </w:rPr>
        <w:t>as first line immunosuppressive therapy</w:t>
      </w:r>
      <w:r>
        <w:rPr>
          <w:rFonts w:eastAsia="Arial" w:cstheme="minorHAnsi"/>
          <w:sz w:val="22"/>
          <w:szCs w:val="22"/>
          <w:lang w:val="en" w:eastAsia="en-GB"/>
        </w:rPr>
        <w:t xml:space="preserve">. </w:t>
      </w:r>
      <w:r w:rsidR="00102F24">
        <w:rPr>
          <w:rFonts w:eastAsia="Arial" w:cstheme="minorHAnsi"/>
          <w:sz w:val="22"/>
          <w:szCs w:val="22"/>
          <w:lang w:val="en" w:eastAsia="en-GB"/>
        </w:rPr>
        <w:t xml:space="preserve">Caution should be noted when using nephrotoxic agents in view of </w:t>
      </w:r>
      <w:proofErr w:type="gramStart"/>
      <w:r w:rsidR="00102F24">
        <w:rPr>
          <w:rFonts w:eastAsia="Arial" w:cstheme="minorHAnsi"/>
          <w:sz w:val="22"/>
          <w:szCs w:val="22"/>
          <w:lang w:val="en" w:eastAsia="en-GB"/>
        </w:rPr>
        <w:t>long term</w:t>
      </w:r>
      <w:proofErr w:type="gramEnd"/>
      <w:r w:rsidR="00102F24">
        <w:rPr>
          <w:rFonts w:eastAsia="Arial" w:cstheme="minorHAnsi"/>
          <w:sz w:val="22"/>
          <w:szCs w:val="22"/>
          <w:lang w:val="en" w:eastAsia="en-GB"/>
        </w:rPr>
        <w:t xml:space="preserve"> impact and when at risk of </w:t>
      </w:r>
      <w:proofErr w:type="spellStart"/>
      <w:r w:rsidR="00102F24">
        <w:rPr>
          <w:rFonts w:eastAsia="Arial" w:cstheme="minorHAnsi"/>
          <w:sz w:val="22"/>
          <w:szCs w:val="22"/>
          <w:lang w:val="en" w:eastAsia="en-GB"/>
        </w:rPr>
        <w:t>hypovolaemia</w:t>
      </w:r>
      <w:proofErr w:type="spellEnd"/>
      <w:r w:rsidR="00102F24">
        <w:rPr>
          <w:rFonts w:eastAsia="Arial" w:cstheme="minorHAnsi"/>
          <w:sz w:val="22"/>
          <w:szCs w:val="22"/>
          <w:lang w:val="en" w:eastAsia="en-GB"/>
        </w:rPr>
        <w:t xml:space="preserve"> due to the nephrotic state. </w:t>
      </w:r>
      <w:r>
        <w:rPr>
          <w:rFonts w:eastAsia="Arial" w:cstheme="minorHAnsi"/>
          <w:sz w:val="22"/>
          <w:szCs w:val="22"/>
          <w:lang w:val="en" w:eastAsia="en-GB"/>
        </w:rPr>
        <w:t xml:space="preserve">The group agreed that </w:t>
      </w:r>
      <w:r w:rsidR="00A13B72">
        <w:rPr>
          <w:rFonts w:eastAsia="Arial" w:cstheme="minorHAnsi"/>
          <w:sz w:val="22"/>
          <w:szCs w:val="22"/>
          <w:lang w:val="en" w:eastAsia="en-GB"/>
        </w:rPr>
        <w:t>most</w:t>
      </w:r>
      <w:r>
        <w:rPr>
          <w:rFonts w:eastAsia="Arial" w:cstheme="minorHAnsi"/>
          <w:sz w:val="22"/>
          <w:szCs w:val="22"/>
          <w:lang w:val="en" w:eastAsia="en-GB"/>
        </w:rPr>
        <w:t xml:space="preserve"> clinicians were using tacrolimus as the calcineurin inhibitor of choice due to the preferred side effect profile and no evidence of lower efficacy. </w:t>
      </w:r>
      <w:r w:rsidR="00280F64">
        <w:rPr>
          <w:rFonts w:eastAsia="Arial" w:cstheme="minorHAnsi"/>
          <w:sz w:val="22"/>
          <w:szCs w:val="22"/>
          <w:lang w:val="en" w:eastAsia="en-GB"/>
        </w:rPr>
        <w:t xml:space="preserve">There is also </w:t>
      </w:r>
      <w:proofErr w:type="spellStart"/>
      <w:r w:rsidR="00280F64">
        <w:rPr>
          <w:rFonts w:eastAsia="Arial" w:cstheme="minorHAnsi"/>
          <w:sz w:val="22"/>
          <w:szCs w:val="22"/>
          <w:lang w:val="en" w:eastAsia="en-GB"/>
        </w:rPr>
        <w:t>ancedotal</w:t>
      </w:r>
      <w:proofErr w:type="spellEnd"/>
      <w:r w:rsidR="00280F64">
        <w:rPr>
          <w:rFonts w:eastAsia="Arial" w:cstheme="minorHAnsi"/>
          <w:sz w:val="22"/>
          <w:szCs w:val="22"/>
          <w:lang w:val="en" w:eastAsia="en-GB"/>
        </w:rPr>
        <w:t xml:space="preserve"> evidence of reduced dependency and tolerance compared with </w:t>
      </w:r>
      <w:r w:rsidR="00F907FD">
        <w:rPr>
          <w:rFonts w:eastAsia="Arial" w:cstheme="minorHAnsi"/>
          <w:sz w:val="22"/>
          <w:szCs w:val="22"/>
          <w:lang w:val="en" w:eastAsia="en-GB"/>
        </w:rPr>
        <w:t xml:space="preserve">older </w:t>
      </w:r>
      <w:proofErr w:type="spellStart"/>
      <w:proofErr w:type="gramStart"/>
      <w:r w:rsidR="00F907FD">
        <w:rPr>
          <w:rFonts w:eastAsia="Arial" w:cstheme="minorHAnsi"/>
          <w:sz w:val="22"/>
          <w:szCs w:val="22"/>
          <w:lang w:val="en" w:eastAsia="en-GB"/>
        </w:rPr>
        <w:t>agents</w:t>
      </w:r>
      <w:r w:rsidR="00280F64">
        <w:rPr>
          <w:rFonts w:eastAsia="Arial" w:cstheme="minorHAnsi"/>
          <w:sz w:val="22"/>
          <w:szCs w:val="22"/>
          <w:lang w:val="en" w:eastAsia="en-GB"/>
        </w:rPr>
        <w:t>.</w:t>
      </w:r>
      <w:r>
        <w:rPr>
          <w:rFonts w:eastAsia="Arial" w:cstheme="minorHAnsi"/>
          <w:sz w:val="22"/>
          <w:szCs w:val="22"/>
          <w:lang w:val="en" w:eastAsia="en-GB"/>
        </w:rPr>
        <w:t>The</w:t>
      </w:r>
      <w:proofErr w:type="spellEnd"/>
      <w:proofErr w:type="gramEnd"/>
      <w:r>
        <w:rPr>
          <w:rFonts w:eastAsia="Arial" w:cstheme="minorHAnsi"/>
          <w:sz w:val="22"/>
          <w:szCs w:val="22"/>
          <w:lang w:val="en" w:eastAsia="en-GB"/>
        </w:rPr>
        <w:t xml:space="preserve"> group agreed that MMF would be added if there was no response after 3 months and the use of rituximab thereafter. Previous studies evaluating the role of rituximab demonstrated that it was effective in 83.3% of SDNS and 27.2-60% of SRNS</w:t>
      </w:r>
      <w:r w:rsidR="00AF2D09">
        <w:rPr>
          <w:rFonts w:eastAsia="Arial" w:cstheme="minorHAnsi"/>
          <w:sz w:val="22"/>
          <w:szCs w:val="22"/>
          <w:lang w:val="en" w:eastAsia="en-GB"/>
        </w:rPr>
        <w:t xml:space="preserve"> </w:t>
      </w:r>
      <w:r w:rsidR="00A13B72">
        <w:rPr>
          <w:rFonts w:eastAsia="Arial" w:cstheme="minorHAnsi"/>
          <w:sz w:val="22"/>
          <w:szCs w:val="22"/>
          <w:lang w:val="en" w:eastAsia="en-GB"/>
        </w:rPr>
        <w:t xml:space="preserve"> </w:t>
      </w:r>
      <w:r w:rsidR="00A13B72">
        <w:rPr>
          <w:rFonts w:eastAsia="Arial" w:cstheme="minorHAnsi"/>
          <w:sz w:val="22"/>
          <w:szCs w:val="22"/>
          <w:lang w:val="en" w:eastAsia="en-GB"/>
        </w:rPr>
        <w:fldChar w:fldCharType="begin"/>
      </w:r>
      <w:r w:rsidR="00642970">
        <w:rPr>
          <w:rFonts w:eastAsia="Arial" w:cstheme="minorHAnsi"/>
          <w:sz w:val="22"/>
          <w:szCs w:val="22"/>
          <w:lang w:val="en" w:eastAsia="en-GB"/>
        </w:rPr>
        <w:instrText xml:space="preserve"> ADDIN ZOTERO_ITEM CSL_CITATION {"citationID":"D1yYzVPU","properties":{"formattedCitation":"(136,137)","plainCitation":"(136,137)","noteIndex":0},"citationItems":[{"id":327,"uris":["http://zotero.org/users/local/lvPLY4Gu/items/J5Q8F5V6"],"itemData":{"id":327,"type":"article-journal","abstract":"Background and objectives: The treatment of idiopathic nephrotic syndrome is often complicated by a refractory and relapsing course, with risk of drug toxicity and progressive renal failure. We report the efficacy and safety of rituximab in patients with steroid-resistant (SRNS) and steroid-dependent nephrotic syndrome (SDNS) refractory to standard therapy., Design, setting, participants, &amp; measurements: This was a cohort study in academic, tertiary care centers in India and the United States. Patients with SRNS or SDNS, not responding to medications or showing calcineurin inhibitor toxicity, treated with two to four doses of intravenous rituximab, and followed ≥12 months were included. Remission was termed as complete, partial, or no response., Results: Thirty-three patients with SRNS (24 initial, 9 late resistance) and 24 with SDNS, with mean ages of 12.7 ± 9.1 and 11.7 ± 2.9 years, respectively, were included. Six months after rituximab therapy, 9 (27.2%) patients with SRNS showed complete remission, 7 (21.2%) had partial remission, and 17 (51.5%) had no response. At 21.5 ± 11.5 months, remission was sustained in 15 (complete: 7, partial: 8) patients. Of 24 patients with SDNS, remission was sustained in 20 (83.3%) at 12 months and in 17 (71%) at follow-up of 16.8 ± 5.9 months. The mean difference in relapses before and 12 months after treatment with rituximab was 3.9 episodes/patient per year., Conclusions: Therapy with rituximab was safe and effective in inducing and maintaining remission in a significant proportion of patients with difficult SRNS and SDNS.","container-title":"Clinical Journal of the American Society of Nephrology : CJASN","DOI":"10.2215/CJN.03470410","ISSN":"1555-9041","issue":"12","journalAbbreviation":"Clin J Am Soc Nephrol","note":"PMID: 20798255\nPMCID: PMC2994081","page":"2207-2212","source":"PubMed Central","title":"Efficacy and Safety of Treatment with Rituximab for Difficult Steroid-Resistant and -Dependent Nephrotic Syndrome: Multicentric Report","title-short":"Efficacy and Safety of Treatment with Rituximab for Difficult Steroid-Resistant and -Dependent Nephrotic Syndrome","volume":"5","author":[{"family":"Gulati","given":"Ashima"},{"family":"Sinha","given":"Aditi"},{"family":"Jordan","given":"Stanley C."},{"family":"Hari","given":"Pankaj"},{"family":"Dinda","given":"Amit K."},{"family":"Sharma","given":"Sonika"},{"family":"Srivastava","given":"Rajendra N."},{"family":"Moudgil","given":"Asha"},{"family":"Bagga","given":"Arvind"}],"issued":{"date-parts":[["2010",12]]}}},{"id":329,"uris":["http://zotero.org/users/local/lvPLY4Gu/items/J9DBFSNF"],"itemData":{"id":329,"type":"article-journal","abstract":"The efficacy and safety of rituximab in childhood steroid-resistant nephrotic syndrome (SRNS) remains unclear. Therefore, we conducted a retrospective cohort study at 28 pediatric nephrology centers from 19 countries in Asia, Europe, North America and Oceania to evaluate this. Children with SRNS treated with rituximab were analyzed according to the duration of calcineurin inhibitors (CNIs) treatment before rituximab [6 months or more (CNI-resistant) and under 6 months]. Primary outcome was complete/partial remission (CR/PR) as defined by IPNA/KDIGO guidelines. Secondary outcomes included kidney failure and adverse events. Two-hundred-forty-six children (mean age, 6.9 years; 136 boys; 57% focal segmental glomerulosclerosis, FSGS) were followed a median of 32.4 months after rituximab. All patients were in non-remission before rituximab. (146 and 100 children received CNIs for 6 month or more or under 6 months before rituximab, respectively). In patients with CNI-resistant SRNS, the remission rates (CR/PR) at 3-, 6-, 12- and 24-months were 26% (95% confidence interval 19.3-34.1), 35.6% (28.0-44.0), 35.1% (27.2-43.8) and 39.1% (29.2-49.9), respectively. Twenty-five patients were in PR at 12-months, of which 22 had over 50% reduction in proteinuria from baseline. The remission rates among children treated with CNIs under 6 months before rituximab were 42% (32.3-52.3), 52% (41.8-62.0), 54% (44.3-64.5) and 60% (47.6-71.3) at 3-, 6-, 12-, and 24-months. Upon Kaplan-Meier analysis, non-remission and PR at 12-months after rituximab, compared to CR, were associated with significantly worse kidney survival. Adverse events occurred in 30.5% and most were mild. Thus, rituximab enhances remission in a subset of children with SRNS, is generally safe and CR following rituximab is associated with favorable kidney outcome.","container-title":"Kidney International","DOI":"10.1016/j.kint.2024.09.011","ISSN":"1523-1755","issue":"6","journalAbbreviation":"Kidney Int","language":"eng","note":"PMID: 39395629","page":"1146-1157","source":"PubMed","title":"An international, multi-center study evaluated rituximab therapy in childhood steroid-resistant nephrotic syndrome","volume":"106","author":[{"family":"Chan","given":"Eugene Yu-Hin"},{"family":"Sinha","given":"Aditi"},{"family":"Yu","given":"Ellen L. M."},{"family":"Akhtar","given":"Naureen"},{"family":"Angeletti","given":"Andrea"},{"family":"Bagga","given":"Arvind"},{"family":"Banerjee","given":"Sushmita"},{"family":"Boyer","given":"Olivia"},{"family":"Chan","given":"Chang-Yien"},{"family":"Francis","given":"Anna"},{"family":"Ghiggeri","given":"Gian Marco"},{"family":"Hamada","given":"Riku"},{"family":"Hari","given":"Pankaj"},{"family":"Hooman","given":"Nakysa"},{"family":"Hopf","given":"Luke Sydney"},{"family":"I","given":"Mohamad Ikram"},{"family":"Ijaz","given":"Iftikhar"},{"family":"Ivanov","given":"Dmytro D."},{"family":"Kalra","given":"Suprita"},{"family":"Kang","given":"Hee Gyung"},{"family":"Lucchetti","given":"Laura"},{"family":"Lugani","given":"Francesca"},{"family":"Ma","given":"Alison Lap-Tak"},{"family":"Morello","given":"William"},{"family":"Camargo Muñiz","given":"María Dolores"},{"family":"Pradhan","given":"Subal Kumar"},{"family":"Prikhodina","given":"Larisa"},{"family":"Raafat","given":"Reem H."},{"family":"Sinha","given":"Rajiv"},{"family":"Teo","given":"Sharon"},{"family":"Tomari","given":"Kouki"},{"family":"Vivarelli","given":"Marina"},{"family":"Webb","given":"Hazel"},{"family":"Yap","given":"Hui Kim"},{"family":"Yap","given":"Desmond Yat-Hin"},{"family":"Tullus","given":"Kjell"}],"issued":{"date-parts":[["2024",12]]}}}],"schema":"https://github.com/citation-style-language/schema/raw/master/csl-citation.json"} </w:instrText>
      </w:r>
      <w:r w:rsidR="00A13B72">
        <w:rPr>
          <w:rFonts w:eastAsia="Arial" w:cstheme="minorHAnsi"/>
          <w:sz w:val="22"/>
          <w:szCs w:val="22"/>
          <w:lang w:val="en" w:eastAsia="en-GB"/>
        </w:rPr>
        <w:fldChar w:fldCharType="separate"/>
      </w:r>
      <w:r w:rsidR="00642970">
        <w:rPr>
          <w:rFonts w:eastAsia="Arial" w:cstheme="minorHAnsi"/>
          <w:noProof/>
          <w:sz w:val="22"/>
          <w:szCs w:val="22"/>
          <w:lang w:val="en" w:eastAsia="en-GB"/>
        </w:rPr>
        <w:t>(136,137)</w:t>
      </w:r>
      <w:r w:rsidR="00A13B72">
        <w:rPr>
          <w:rFonts w:eastAsia="Arial" w:cstheme="minorHAnsi"/>
          <w:sz w:val="22"/>
          <w:szCs w:val="22"/>
          <w:lang w:val="en" w:eastAsia="en-GB"/>
        </w:rPr>
        <w:fldChar w:fldCharType="end"/>
      </w:r>
      <w:r w:rsidR="000015E3">
        <w:rPr>
          <w:rFonts w:eastAsia="Arial" w:cstheme="minorHAnsi"/>
          <w:sz w:val="22"/>
          <w:szCs w:val="22"/>
          <w:lang w:val="en" w:eastAsia="en-GB"/>
        </w:rPr>
        <w:t xml:space="preserve">  with</w:t>
      </w:r>
      <w:r>
        <w:rPr>
          <w:rFonts w:eastAsia="Arial" w:cstheme="minorHAnsi"/>
          <w:sz w:val="22"/>
          <w:szCs w:val="22"/>
          <w:lang w:val="en" w:eastAsia="en-GB"/>
        </w:rPr>
        <w:t xml:space="preserve"> a reduction in relapses after treatment by 3.9 episodes per patient per year. </w:t>
      </w:r>
      <w:r w:rsidR="002B6C23">
        <w:rPr>
          <w:rFonts w:eastAsia="Arial" w:cstheme="minorHAnsi"/>
          <w:sz w:val="22"/>
          <w:szCs w:val="22"/>
          <w:lang w:val="en" w:eastAsia="en-GB"/>
        </w:rPr>
        <w:t>The group identified that there was increasing use of rituximab in clinical practice</w:t>
      </w:r>
      <w:r w:rsidR="000015E3">
        <w:rPr>
          <w:rFonts w:eastAsia="Arial" w:cstheme="minorHAnsi"/>
          <w:sz w:val="22"/>
          <w:szCs w:val="22"/>
          <w:lang w:val="en" w:eastAsia="en-GB"/>
        </w:rPr>
        <w:t xml:space="preserve"> and guidelines may change in future</w:t>
      </w:r>
      <w:r w:rsidR="00104C86">
        <w:rPr>
          <w:rFonts w:eastAsia="Arial" w:cstheme="minorHAnsi"/>
          <w:sz w:val="22"/>
          <w:szCs w:val="22"/>
          <w:lang w:val="en" w:eastAsia="en-GB"/>
        </w:rPr>
        <w:t xml:space="preserve"> updates as evidence emerges</w:t>
      </w:r>
      <w:r w:rsidR="002B6C23">
        <w:rPr>
          <w:rFonts w:eastAsia="Arial" w:cstheme="minorHAnsi"/>
          <w:sz w:val="22"/>
          <w:szCs w:val="22"/>
          <w:lang w:val="en" w:eastAsia="en-GB"/>
        </w:rPr>
        <w:t xml:space="preserve">. </w:t>
      </w:r>
      <w:r>
        <w:rPr>
          <w:rFonts w:eastAsia="Arial" w:cstheme="minorHAnsi"/>
          <w:sz w:val="22"/>
          <w:szCs w:val="22"/>
          <w:lang w:val="en" w:eastAsia="en-GB"/>
        </w:rPr>
        <w:t>The recent identification of anti-</w:t>
      </w:r>
      <w:proofErr w:type="spellStart"/>
      <w:r>
        <w:rPr>
          <w:rFonts w:eastAsia="Arial" w:cstheme="minorHAnsi"/>
          <w:sz w:val="22"/>
          <w:szCs w:val="22"/>
          <w:lang w:val="en" w:eastAsia="en-GB"/>
        </w:rPr>
        <w:t>nephrin</w:t>
      </w:r>
      <w:proofErr w:type="spellEnd"/>
      <w:r>
        <w:rPr>
          <w:rFonts w:eastAsia="Arial" w:cstheme="minorHAnsi"/>
          <w:sz w:val="22"/>
          <w:szCs w:val="22"/>
          <w:lang w:val="en" w:eastAsia="en-GB"/>
        </w:rPr>
        <w:t xml:space="preserve"> antibodies being present in 44% of patients with INS in a study involving 539 patients (including </w:t>
      </w:r>
      <w:r w:rsidR="00F81122">
        <w:rPr>
          <w:rFonts w:eastAsia="Arial" w:cstheme="minorHAnsi"/>
          <w:sz w:val="22"/>
          <w:szCs w:val="22"/>
          <w:lang w:val="en" w:eastAsia="en-GB"/>
        </w:rPr>
        <w:t xml:space="preserve">182 children) </w:t>
      </w:r>
      <w:r>
        <w:rPr>
          <w:rFonts w:eastAsia="Arial" w:cstheme="minorHAnsi"/>
          <w:sz w:val="22"/>
          <w:szCs w:val="22"/>
          <w:lang w:val="en" w:eastAsia="en-GB"/>
        </w:rPr>
        <w:t xml:space="preserve">represents a paradigm shift that may see </w:t>
      </w:r>
      <w:r w:rsidR="00104C86">
        <w:rPr>
          <w:rFonts w:eastAsia="Arial" w:cstheme="minorHAnsi"/>
          <w:sz w:val="22"/>
          <w:szCs w:val="22"/>
          <w:lang w:val="en" w:eastAsia="en-GB"/>
        </w:rPr>
        <w:t xml:space="preserve">future antibody led monitoring and </w:t>
      </w:r>
      <w:r>
        <w:rPr>
          <w:rFonts w:eastAsia="Arial" w:cstheme="minorHAnsi"/>
          <w:sz w:val="22"/>
          <w:szCs w:val="22"/>
          <w:lang w:val="en" w:eastAsia="en-GB"/>
        </w:rPr>
        <w:t>B cell depleting agents hav</w:t>
      </w:r>
      <w:r w:rsidR="000015E3">
        <w:rPr>
          <w:rFonts w:eastAsia="Arial" w:cstheme="minorHAnsi"/>
          <w:sz w:val="22"/>
          <w:szCs w:val="22"/>
          <w:lang w:val="en" w:eastAsia="en-GB"/>
        </w:rPr>
        <w:t>ing</w:t>
      </w:r>
      <w:r>
        <w:rPr>
          <w:rFonts w:eastAsia="Arial" w:cstheme="minorHAnsi"/>
          <w:sz w:val="22"/>
          <w:szCs w:val="22"/>
          <w:lang w:val="en" w:eastAsia="en-GB"/>
        </w:rPr>
        <w:t xml:space="preserve"> a more profound purpose in the management of this condition</w:t>
      </w:r>
      <w:r w:rsidR="003F494F">
        <w:rPr>
          <w:rFonts w:eastAsia="Arial" w:cstheme="minorHAnsi"/>
          <w:sz w:val="22"/>
          <w:szCs w:val="22"/>
          <w:lang w:val="en" w:eastAsia="en-GB"/>
        </w:rPr>
        <w:t xml:space="preserve"> </w:t>
      </w:r>
      <w:r w:rsidR="003F494F">
        <w:rPr>
          <w:rFonts w:eastAsia="Arial" w:cstheme="minorHAnsi"/>
          <w:sz w:val="22"/>
          <w:szCs w:val="22"/>
          <w:lang w:val="en" w:eastAsia="en-GB"/>
        </w:rPr>
        <w:fldChar w:fldCharType="begin"/>
      </w:r>
      <w:r w:rsidR="00642970">
        <w:rPr>
          <w:rFonts w:eastAsia="Arial" w:cstheme="minorHAnsi"/>
          <w:sz w:val="22"/>
          <w:szCs w:val="22"/>
          <w:lang w:val="en" w:eastAsia="en-GB"/>
        </w:rPr>
        <w:instrText xml:space="preserve"> ADDIN ZOTERO_ITEM CSL_CITATION {"citationID":"IOt1GDUh","properties":{"formattedCitation":"(138)","plainCitation":"(138)","noteIndex":0},"citationItems":[{"id":449,"uris":["http://zotero.org/users/local/lvPLY4Gu/items/IVFB4W7N"],"itemData":{"id":449,"type":"article-journal","abstract":"Antinephrin autoantibodies occur in adults with minimal change disease and children with idiopathic nephrotic syndrome and appear to be disease activity markers. Their binding at slit diaphragms may induce podocyte dysfunction.","container-title":"New England Journal of Medicine","DOI":"10.1056/NEJMoa2314471","ISSN":"0028-4793","issue":"5","note":"publisher: Massachusetts Medical Society\n_eprint: https://www.nejm.org/doi/pdf/10.1056/NEJMoa2314471","page":"422-433","source":"Taylor and Francis+NEJM","title":"Autoantibodies Targeting Nephrin in Podocytopathies","volume":"391","author":[{"family":"Hengel","given":"Felicitas E."},{"family":"Dehde","given":"Silke"},{"family":"Lassé","given":"Moritz"},{"family":"Zahner","given":"Gunther"},{"family":"Seifert","given":"Larissa"},{"family":"Schnarre","given":"Annabel"},{"family":"Kretz","given":"Oliver"},{"family":"Demir","given":"Fatih"},{"family":"Pinnschmidt","given":"Hans O."},{"family":"Grahammer","given":"Florian"},{"family":"Lucas","given":"Renke"},{"family":"Mehner","given":"Lea Maxima"},{"family":"Zimmermann","given":"Tom"},{"family":"Billing","given":"Anja M."},{"family":"Oh","given":"Jun"},{"family":"Mitrotti","given":"Adele"},{"family":"Pontrelli","given":"Paola"},{"family":"Debiec","given":"Hanna"},{"family":"Dossier","given":"Claire"},{"family":"Colucci","given":"Manuela"},{"family":"Emma","given":"Francesco"},{"family":"Smoyer","given":"William E."},{"family":"Weins","given":"Astrid"},{"family":"Schaefer","given":"Franz"},{"family":"Alachkar","given":"Nada"},{"family":"Diemert","given":"Anke"},{"family":"Hogan","given":"Julien"},{"family":"Hoxha","given":"Elion"},{"family":"Wiech","given":"Thorsten"},{"family":"Rinschen","given":"Markus M."},{"family":"Ronco","given":"Pierre"},{"family":"Vivarelli","given":"Marina"},{"family":"Gesualdo","given":"Loreto"},{"family":"Tomas","given":"Nicola M."},{"family":"Huber","given":"Tobias B."}],"issued":{"date-parts":[["2024",7,31]]}}}],"schema":"https://github.com/citation-style-language/schema/raw/master/csl-citation.json"} </w:instrText>
      </w:r>
      <w:r w:rsidR="003F494F">
        <w:rPr>
          <w:rFonts w:eastAsia="Arial" w:cstheme="minorHAnsi"/>
          <w:sz w:val="22"/>
          <w:szCs w:val="22"/>
          <w:lang w:val="en" w:eastAsia="en-GB"/>
        </w:rPr>
        <w:fldChar w:fldCharType="separate"/>
      </w:r>
      <w:r w:rsidR="00642970">
        <w:rPr>
          <w:rFonts w:eastAsia="Arial" w:cstheme="minorHAnsi"/>
          <w:noProof/>
          <w:sz w:val="22"/>
          <w:szCs w:val="22"/>
          <w:lang w:val="en" w:eastAsia="en-GB"/>
        </w:rPr>
        <w:t>(138)</w:t>
      </w:r>
      <w:r w:rsidR="003F494F">
        <w:rPr>
          <w:rFonts w:eastAsia="Arial" w:cstheme="minorHAnsi"/>
          <w:sz w:val="22"/>
          <w:szCs w:val="22"/>
          <w:lang w:val="en" w:eastAsia="en-GB"/>
        </w:rPr>
        <w:fldChar w:fldCharType="end"/>
      </w:r>
      <w:r>
        <w:rPr>
          <w:rFonts w:eastAsia="Arial" w:cstheme="minorHAnsi"/>
          <w:sz w:val="22"/>
          <w:szCs w:val="22"/>
          <w:lang w:val="en" w:eastAsia="en-GB"/>
        </w:rPr>
        <w:t>, aligned with other antibody mediated forms of GN</w:t>
      </w:r>
      <w:r w:rsidR="00104C86">
        <w:rPr>
          <w:rFonts w:eastAsia="Arial" w:cstheme="minorHAnsi"/>
          <w:sz w:val="22"/>
          <w:szCs w:val="22"/>
          <w:lang w:val="en" w:eastAsia="en-GB"/>
        </w:rPr>
        <w:t>, however they are not yet available in the clinical setting</w:t>
      </w:r>
      <w:r>
        <w:rPr>
          <w:rFonts w:eastAsia="Arial" w:cstheme="minorHAnsi"/>
          <w:sz w:val="22"/>
          <w:szCs w:val="22"/>
          <w:lang w:val="en" w:eastAsia="en-GB"/>
        </w:rPr>
        <w:t xml:space="preserve">.  </w:t>
      </w:r>
    </w:p>
    <w:p w14:paraId="24AD52B1" w14:textId="77777777" w:rsidR="00EE5437" w:rsidRDefault="00EE5437" w:rsidP="003F494F">
      <w:pPr>
        <w:spacing w:line="360" w:lineRule="auto"/>
        <w:rPr>
          <w:rFonts w:eastAsia="Arial" w:cstheme="minorHAnsi"/>
          <w:b/>
          <w:sz w:val="22"/>
          <w:szCs w:val="22"/>
          <w:u w:val="single"/>
          <w:lang w:val="en" w:eastAsia="en-GB"/>
        </w:rPr>
      </w:pPr>
    </w:p>
    <w:p w14:paraId="15102CE6" w14:textId="3333FE06" w:rsidR="00913B14" w:rsidRPr="00117750" w:rsidRDefault="001630D4" w:rsidP="003F494F">
      <w:pPr>
        <w:spacing w:line="360" w:lineRule="auto"/>
        <w:rPr>
          <w:rFonts w:cstheme="minorHAnsi"/>
          <w:sz w:val="22"/>
          <w:szCs w:val="22"/>
        </w:rPr>
      </w:pPr>
      <w:r>
        <w:rPr>
          <w:rFonts w:eastAsia="Arial" w:cstheme="minorHAnsi"/>
          <w:b/>
          <w:sz w:val="22"/>
          <w:szCs w:val="22"/>
          <w:u w:val="single"/>
          <w:lang w:val="en" w:eastAsia="en-GB"/>
        </w:rPr>
        <w:t xml:space="preserve">GN subtype </w:t>
      </w:r>
      <w:r w:rsidR="006645DC">
        <w:rPr>
          <w:rFonts w:eastAsia="Arial" w:cstheme="minorHAnsi"/>
          <w:b/>
          <w:sz w:val="22"/>
          <w:szCs w:val="22"/>
          <w:u w:val="single"/>
          <w:lang w:val="en" w:eastAsia="en-GB"/>
        </w:rPr>
        <w:t>2</w:t>
      </w:r>
      <w:r>
        <w:rPr>
          <w:rFonts w:eastAsia="Arial" w:cstheme="minorHAnsi"/>
          <w:b/>
          <w:sz w:val="22"/>
          <w:szCs w:val="22"/>
          <w:u w:val="single"/>
          <w:lang w:val="en" w:eastAsia="en-GB"/>
        </w:rPr>
        <w:t xml:space="preserve">: </w:t>
      </w:r>
      <w:r w:rsidR="00EE5437">
        <w:rPr>
          <w:rFonts w:eastAsia="Arial" w:cstheme="minorHAnsi"/>
          <w:b/>
          <w:sz w:val="22"/>
          <w:szCs w:val="22"/>
          <w:u w:val="single"/>
          <w:lang w:val="en" w:eastAsia="en-GB"/>
        </w:rPr>
        <w:t xml:space="preserve">IgA related </w:t>
      </w:r>
      <w:r w:rsidR="007E15F5">
        <w:rPr>
          <w:rFonts w:eastAsia="Arial" w:cstheme="minorHAnsi"/>
          <w:b/>
          <w:sz w:val="22"/>
          <w:szCs w:val="22"/>
          <w:u w:val="single"/>
          <w:lang w:val="en" w:eastAsia="en-GB"/>
        </w:rPr>
        <w:t>glomerulonephritis</w:t>
      </w:r>
    </w:p>
    <w:p w14:paraId="7F23314F" w14:textId="77777777" w:rsidR="00257E1D" w:rsidRDefault="00257E1D" w:rsidP="003F494F">
      <w:pPr>
        <w:spacing w:line="360" w:lineRule="auto"/>
      </w:pPr>
    </w:p>
    <w:p w14:paraId="4C47C4BD" w14:textId="5ACFBC27" w:rsidR="00913B14" w:rsidRDefault="001630D4" w:rsidP="003F494F">
      <w:pPr>
        <w:spacing w:line="360" w:lineRule="auto"/>
        <w:rPr>
          <w:b/>
          <w:bCs/>
        </w:rPr>
      </w:pPr>
      <w:r w:rsidRPr="00B858D4">
        <w:rPr>
          <w:b/>
          <w:bCs/>
        </w:rPr>
        <w:t>IgA nephropathy</w:t>
      </w:r>
      <w:r w:rsidR="007E15F5">
        <w:rPr>
          <w:b/>
          <w:bCs/>
        </w:rPr>
        <w:t xml:space="preserve"> (</w:t>
      </w:r>
      <w:proofErr w:type="spellStart"/>
      <w:r w:rsidR="007E15F5">
        <w:rPr>
          <w:b/>
          <w:bCs/>
        </w:rPr>
        <w:t>IgAN</w:t>
      </w:r>
      <w:proofErr w:type="spellEnd"/>
      <w:r w:rsidR="007E15F5">
        <w:rPr>
          <w:b/>
          <w:bCs/>
        </w:rPr>
        <w:t>)</w:t>
      </w:r>
    </w:p>
    <w:p w14:paraId="6D5822E2" w14:textId="77777777" w:rsidR="005E2BED" w:rsidRDefault="005E2BED" w:rsidP="003F494F">
      <w:pPr>
        <w:spacing w:line="360" w:lineRule="auto"/>
        <w:rPr>
          <w:b/>
          <w:bCs/>
        </w:rPr>
      </w:pPr>
    </w:p>
    <w:p w14:paraId="37D8EBAC" w14:textId="56C39004" w:rsidR="005E2BED" w:rsidRDefault="001630D4" w:rsidP="003F494F">
      <w:pPr>
        <w:spacing w:line="360" w:lineRule="auto"/>
        <w:rPr>
          <w:b/>
          <w:bCs/>
        </w:rPr>
      </w:pPr>
      <w:r>
        <w:rPr>
          <w:b/>
          <w:bCs/>
        </w:rPr>
        <w:t>Definition</w:t>
      </w:r>
      <w:r w:rsidR="004256C8">
        <w:rPr>
          <w:b/>
          <w:bCs/>
        </w:rPr>
        <w:t>s</w:t>
      </w:r>
      <w:r>
        <w:rPr>
          <w:b/>
          <w:bCs/>
        </w:rPr>
        <w:t xml:space="preserve"> </w:t>
      </w:r>
    </w:p>
    <w:p w14:paraId="4C534A93" w14:textId="59171DBC" w:rsidR="00601B86" w:rsidRPr="004256C8" w:rsidRDefault="001630D4" w:rsidP="003F494F">
      <w:pPr>
        <w:spacing w:before="240" w:after="240" w:line="360" w:lineRule="auto"/>
        <w:jc w:val="both"/>
        <w:rPr>
          <w:rFonts w:eastAsia="Arial" w:cstheme="minorHAnsi"/>
          <w:sz w:val="22"/>
          <w:szCs w:val="22"/>
          <w:lang w:val="en" w:eastAsia="en-GB"/>
        </w:rPr>
      </w:pPr>
      <w:r>
        <w:rPr>
          <w:rFonts w:eastAsia="Arial" w:cstheme="minorHAnsi"/>
          <w:sz w:val="22"/>
          <w:szCs w:val="22"/>
          <w:lang w:val="en" w:eastAsia="en-GB"/>
        </w:rPr>
        <w:t>To</w:t>
      </w:r>
      <w:r w:rsidRPr="00117750">
        <w:rPr>
          <w:rFonts w:eastAsia="Arial" w:cstheme="minorHAnsi"/>
          <w:sz w:val="22"/>
          <w:szCs w:val="22"/>
          <w:lang w:val="en" w:eastAsia="en-GB"/>
        </w:rPr>
        <w:t xml:space="preserve"> align </w:t>
      </w:r>
      <w:r>
        <w:rPr>
          <w:rFonts w:eastAsia="Arial" w:cstheme="minorHAnsi"/>
          <w:sz w:val="22"/>
          <w:szCs w:val="22"/>
          <w:lang w:val="en" w:eastAsia="en-GB"/>
        </w:rPr>
        <w:t>terminology</w:t>
      </w:r>
      <w:r w:rsidRPr="00117750">
        <w:rPr>
          <w:rFonts w:eastAsia="Arial" w:cstheme="minorHAnsi"/>
          <w:sz w:val="22"/>
          <w:szCs w:val="22"/>
          <w:lang w:val="en" w:eastAsia="en-GB"/>
        </w:rPr>
        <w:t xml:space="preserve">, we suggest that the following definitions for </w:t>
      </w:r>
      <w:proofErr w:type="spellStart"/>
      <w:r>
        <w:rPr>
          <w:rFonts w:eastAsia="Arial" w:cstheme="minorHAnsi"/>
          <w:sz w:val="22"/>
          <w:szCs w:val="22"/>
          <w:lang w:val="en" w:eastAsia="en-GB"/>
        </w:rPr>
        <w:t>IgAN</w:t>
      </w:r>
      <w:proofErr w:type="spellEnd"/>
      <w:r w:rsidRPr="00117750">
        <w:rPr>
          <w:rFonts w:eastAsia="Arial" w:cstheme="minorHAnsi"/>
          <w:sz w:val="22"/>
          <w:szCs w:val="22"/>
          <w:lang w:val="en" w:eastAsia="en-GB"/>
        </w:rPr>
        <w:t xml:space="preserve"> are </w:t>
      </w:r>
      <w:r>
        <w:rPr>
          <w:rFonts w:eastAsia="Arial" w:cstheme="minorHAnsi"/>
          <w:sz w:val="22"/>
          <w:szCs w:val="22"/>
          <w:lang w:val="en" w:eastAsia="en-GB"/>
        </w:rPr>
        <w:t>used.</w:t>
      </w:r>
      <w:r w:rsidRPr="00601B86">
        <w:rPr>
          <w:rFonts w:eastAsia="Arial" w:cstheme="minorHAnsi"/>
          <w:sz w:val="22"/>
          <w:szCs w:val="22"/>
          <w:lang w:val="en" w:eastAsia="en-GB"/>
        </w:rPr>
        <w:t xml:space="preserve"> </w:t>
      </w:r>
      <w:r w:rsidRPr="00117750">
        <w:rPr>
          <w:rFonts w:eastAsia="Arial" w:cstheme="minorHAnsi"/>
          <w:sz w:val="22"/>
          <w:szCs w:val="22"/>
          <w:lang w:val="en" w:eastAsia="en-GB"/>
        </w:rPr>
        <w:t>Definitions are taken from the IPNA guidelines</w:t>
      </w:r>
      <w:r>
        <w:rPr>
          <w:rFonts w:eastAsia="Arial" w:cstheme="minorHAnsi"/>
          <w:color w:val="000000"/>
          <w:sz w:val="22"/>
          <w:szCs w:val="22"/>
          <w:lang w:val="en" w:eastAsia="en-GB"/>
        </w:rPr>
        <w:t xml:space="preserve"> </w:t>
      </w:r>
      <w:r w:rsidRPr="00117750">
        <w:rPr>
          <w:rFonts w:eastAsia="Arial" w:cstheme="minorHAnsi"/>
          <w:sz w:val="22"/>
          <w:szCs w:val="22"/>
          <w:lang w:val="en" w:eastAsia="en-GB"/>
        </w:rPr>
        <w:t xml:space="preserve">with minor modifications </w:t>
      </w:r>
      <w:r w:rsidR="006645DC">
        <w:rPr>
          <w:rFonts w:eastAsia="Arial" w:cstheme="minorHAnsi"/>
          <w:sz w:val="22"/>
          <w:szCs w:val="22"/>
          <w:lang w:val="en" w:eastAsia="en-GB"/>
        </w:rPr>
        <w:t xml:space="preserve">by the GDG </w:t>
      </w:r>
      <w:r w:rsidRPr="00117750">
        <w:rPr>
          <w:rFonts w:eastAsia="Arial" w:cstheme="minorHAnsi"/>
          <w:sz w:val="22"/>
          <w:szCs w:val="22"/>
          <w:lang w:val="en" w:eastAsia="en-GB"/>
        </w:rPr>
        <w:t>for standard UK practice</w:t>
      </w:r>
      <w:r w:rsidR="00A13B72">
        <w:rPr>
          <w:rFonts w:eastAsia="Arial" w:cstheme="minorHAnsi"/>
          <w:sz w:val="22"/>
          <w:szCs w:val="22"/>
          <w:lang w:val="en" w:eastAsia="en-GB"/>
        </w:rPr>
        <w:t xml:space="preserve"> </w:t>
      </w:r>
      <w:r w:rsidR="00A13B72">
        <w:rPr>
          <w:rFonts w:eastAsia="Arial" w:cstheme="minorHAnsi"/>
          <w:sz w:val="22"/>
          <w:szCs w:val="22"/>
          <w:lang w:val="en" w:eastAsia="en-GB"/>
        </w:rPr>
        <w:fldChar w:fldCharType="begin"/>
      </w:r>
      <w:r w:rsidR="00642970">
        <w:rPr>
          <w:rFonts w:eastAsia="Arial" w:cstheme="minorHAnsi"/>
          <w:sz w:val="22"/>
          <w:szCs w:val="22"/>
          <w:lang w:val="en" w:eastAsia="en-GB"/>
        </w:rPr>
        <w:instrText xml:space="preserve"> ADDIN ZOTERO_ITEM CSL_CITATION {"citationID":"DkvY3DWC","properties":{"formattedCitation":"(9)","plainCitation":"(9)","noteIndex":0},"citationItems":[{"id":21,"uris":["http://zotero.org/users/local/lvPLY4Gu/items/UUZER4UI"],"itemData":{"id":21,"type":"article-journal","abstract":"IgA nephropathy and IgA vasculitis with nephritis, albeit rare, represent two relatively frequent glomerular conditions in childhood. Compared to adults, pediatric IgA nephropathy has a more acute presentation, most frequently with synpharyngitic macrohematuria and histologically with more intense inflammation and less intense chronic damage. Management of these conditions is controversial and supported by little high-quality evidence. The paucity of evidence is due to the disease heterogeneity, its inter-ethnic variability, and the difficulty of extrapolating data from adult studies due to the peculiarities of the condition in children. IgA vasculitis with nephritis is a kidney manifestation of a systemic disorder, typical of the pediatric age, in which both the diagnosis of kidney involvement and its management are poorly defined, and an interdisciplinary approach is crucial. Both conditions can have a profound and long-lasting impact on kidney function and the global health of affected children. The International Pediatric Nephrology Association has therefore convened a diverse international group of experts from different disciplines to provide guidance on the recommended management of these conditions in children and to establish common definitions and define priorities for future high-quality, evidence-based collaborative studies for the benefit of children.","container-title":"Pediatric Nephrology (Berlin, Germany)","DOI":"10.1007/s00467-024-06502-6","ISSN":"1432-198X","journalAbbreviation":"Pediatr Nephrol","language":"eng","note":"PMID: 39331079","source":"PubMed","title":"IPNA clinical practice recommendations for the diagnosis and management of children with IgA nephropathy and IgA vasculitis nephritis","author":[{"family":"Vivarelli","given":"Marina"},{"family":"Samuel","given":"Susan"},{"family":"Coppo","given":"Rosanna"},{"family":"Barratt","given":"Jonathan"},{"family":"Bonilla-Felix","given":"Melvin"},{"family":"Haffner","given":"Dieter"},{"family":"Gibson","given":"Keisha"},{"family":"Haas","given":"Mark"},{"family":"Abdel-Hafez","given":"Maher Ahmed"},{"family":"Adragna","given":"Marta"},{"family":"Brogan","given":"Paul"},{"family":"Kim","given":"Siah"},{"family":"Liu","given":"Isaac"},{"family":"Liu","given":"Zhi-Hong"},{"family":"Mantan","given":"Mukta"},{"family":"Shima","given":"Yuko"},{"family":"Shimuzu","given":"Masaki"},{"family":"Shen","given":"Qian"},{"family":"Trimarchi","given":"Hernan"},{"family":"Hahn","given":"Deirdre"},{"family":"Hodson","given":"Elisabeth"},{"family":"Pfister","given":"Ken"},{"family":"Alladin","given":"Areefa"},{"family":"Boyer","given":"Olivia"},{"family":"Nakanishi","given":"Koichi"},{"literal":"International Pediatric Nephrology Association"}],"issued":{"date-parts":[["2024",9,27]]}}}],"schema":"https://github.com/citation-style-language/schema/raw/master/csl-citation.json"} </w:instrText>
      </w:r>
      <w:r w:rsidR="00A13B72">
        <w:rPr>
          <w:rFonts w:eastAsia="Arial" w:cstheme="minorHAnsi"/>
          <w:sz w:val="22"/>
          <w:szCs w:val="22"/>
          <w:lang w:val="en" w:eastAsia="en-GB"/>
        </w:rPr>
        <w:fldChar w:fldCharType="separate"/>
      </w:r>
      <w:r w:rsidR="00642970">
        <w:rPr>
          <w:rFonts w:eastAsia="Arial" w:cstheme="minorHAnsi"/>
          <w:noProof/>
          <w:sz w:val="22"/>
          <w:szCs w:val="22"/>
          <w:lang w:val="en" w:eastAsia="en-GB"/>
        </w:rPr>
        <w:t>(9)</w:t>
      </w:r>
      <w:r w:rsidR="00A13B72">
        <w:rPr>
          <w:rFonts w:eastAsia="Arial" w:cstheme="minorHAnsi"/>
          <w:sz w:val="22"/>
          <w:szCs w:val="22"/>
          <w:lang w:val="en" w:eastAsia="en-GB"/>
        </w:rPr>
        <w:fldChar w:fldCharType="end"/>
      </w:r>
      <w:r w:rsidRPr="00117750">
        <w:rPr>
          <w:rFonts w:eastAsia="Arial" w:cstheme="minorHAnsi"/>
          <w:sz w:val="22"/>
          <w:szCs w:val="22"/>
          <w:lang w:val="en" w:eastAsia="en-GB"/>
        </w:rPr>
        <w:t xml:space="preserve">.  </w:t>
      </w:r>
    </w:p>
    <w:tbl>
      <w:tblPr>
        <w:tblStyle w:val="TableGrid"/>
        <w:tblW w:w="10485" w:type="dxa"/>
        <w:tblLook w:val="04A0" w:firstRow="1" w:lastRow="0" w:firstColumn="1" w:lastColumn="0" w:noHBand="0" w:noVBand="1"/>
      </w:tblPr>
      <w:tblGrid>
        <w:gridCol w:w="846"/>
        <w:gridCol w:w="9639"/>
      </w:tblGrid>
      <w:tr w:rsidR="00837E18" w14:paraId="34F9C3DE" w14:textId="77777777" w:rsidTr="003F494F">
        <w:tc>
          <w:tcPr>
            <w:tcW w:w="10485" w:type="dxa"/>
            <w:gridSpan w:val="2"/>
          </w:tcPr>
          <w:p w14:paraId="59052217" w14:textId="71EFD3ED" w:rsidR="00601B86" w:rsidRPr="00117750" w:rsidRDefault="001630D4" w:rsidP="003F494F">
            <w:pPr>
              <w:spacing w:before="240" w:line="360" w:lineRule="auto"/>
              <w:rPr>
                <w:rFonts w:eastAsia="Arial" w:cstheme="minorHAnsi"/>
                <w:b/>
                <w:sz w:val="22"/>
                <w:szCs w:val="22"/>
                <w:lang w:val="en" w:eastAsia="en-GB"/>
              </w:rPr>
            </w:pPr>
            <w:r>
              <w:rPr>
                <w:rFonts w:eastAsia="Arial" w:cstheme="minorHAnsi"/>
                <w:b/>
                <w:sz w:val="22"/>
                <w:szCs w:val="22"/>
                <w:lang w:val="en" w:eastAsia="en-GB"/>
              </w:rPr>
              <w:t xml:space="preserve">Diagnosis </w:t>
            </w:r>
          </w:p>
        </w:tc>
      </w:tr>
      <w:tr w:rsidR="00837E18" w14:paraId="256D3782" w14:textId="77777777" w:rsidTr="003F494F">
        <w:tc>
          <w:tcPr>
            <w:tcW w:w="846" w:type="dxa"/>
          </w:tcPr>
          <w:p w14:paraId="6CDBEA9F" w14:textId="77777777" w:rsidR="00601B86" w:rsidRPr="00117750" w:rsidRDefault="001630D4" w:rsidP="003F494F">
            <w:pPr>
              <w:spacing w:before="240" w:line="360" w:lineRule="auto"/>
              <w:jc w:val="center"/>
              <w:rPr>
                <w:rFonts w:eastAsia="Arial" w:cstheme="minorHAnsi"/>
                <w:sz w:val="22"/>
                <w:szCs w:val="22"/>
                <w:lang w:val="en" w:eastAsia="en-GB"/>
              </w:rPr>
            </w:pPr>
            <w:r w:rsidRPr="00117750">
              <w:rPr>
                <w:rFonts w:eastAsia="Arial" w:cstheme="minorHAnsi"/>
                <w:sz w:val="22"/>
                <w:szCs w:val="22"/>
                <w:lang w:val="en" w:eastAsia="en-GB"/>
              </w:rPr>
              <w:t>a</w:t>
            </w:r>
          </w:p>
        </w:tc>
        <w:tc>
          <w:tcPr>
            <w:tcW w:w="9639" w:type="dxa"/>
          </w:tcPr>
          <w:p w14:paraId="30C234B8" w14:textId="1AA8D816" w:rsidR="00601B86" w:rsidRPr="00601B86" w:rsidRDefault="001630D4" w:rsidP="003F494F">
            <w:pPr>
              <w:spacing w:before="240" w:line="360" w:lineRule="auto"/>
              <w:jc w:val="both"/>
              <w:rPr>
                <w:rFonts w:eastAsia="Arial" w:cstheme="minorHAnsi"/>
                <w:sz w:val="22"/>
                <w:szCs w:val="22"/>
                <w:lang w:val="en" w:eastAsia="en-GB"/>
              </w:rPr>
            </w:pPr>
            <w:r w:rsidRPr="00117750">
              <w:rPr>
                <w:rFonts w:eastAsiaTheme="minorEastAsia" w:cstheme="minorHAnsi"/>
                <w:color w:val="000000" w:themeColor="text1"/>
                <w:kern w:val="24"/>
                <w:sz w:val="22"/>
                <w:szCs w:val="22"/>
              </w:rPr>
              <w:t>A diagnosis of primary IgA nephropathy is suggested by h</w:t>
            </w:r>
            <w:r w:rsidR="00D20CBA">
              <w:rPr>
                <w:rFonts w:eastAsiaTheme="minorEastAsia" w:cstheme="minorHAnsi"/>
                <w:color w:val="000000" w:themeColor="text1"/>
                <w:kern w:val="24"/>
                <w:sz w:val="22"/>
                <w:szCs w:val="22"/>
              </w:rPr>
              <w:t>a</w:t>
            </w:r>
            <w:r w:rsidRPr="00117750">
              <w:rPr>
                <w:rFonts w:eastAsiaTheme="minorEastAsia" w:cstheme="minorHAnsi"/>
                <w:color w:val="000000" w:themeColor="text1"/>
                <w:kern w:val="24"/>
                <w:sz w:val="22"/>
                <w:szCs w:val="22"/>
              </w:rPr>
              <w:t xml:space="preserve">ematuria (gross and/or microscopic) with or without proteinuria (urinary protein creatinine ratio (UPCR) </w:t>
            </w:r>
            <w:r w:rsidR="0014327C">
              <w:rPr>
                <w:rFonts w:eastAsiaTheme="minorEastAsia" w:cstheme="minorHAnsi"/>
                <w:color w:val="000000" w:themeColor="text1"/>
                <w:kern w:val="24"/>
                <w:sz w:val="22"/>
                <w:szCs w:val="22"/>
              </w:rPr>
              <w:t>&gt;</w:t>
            </w:r>
            <w:r w:rsidRPr="00117750">
              <w:rPr>
                <w:rFonts w:eastAsiaTheme="minorEastAsia" w:cstheme="minorHAnsi"/>
                <w:color w:val="000000" w:themeColor="text1"/>
                <w:kern w:val="24"/>
                <w:sz w:val="22"/>
                <w:szCs w:val="22"/>
              </w:rPr>
              <w:t xml:space="preserve">20 mg/mmol in the absence of other </w:t>
            </w:r>
            <w:r w:rsidR="00AA5045">
              <w:rPr>
                <w:rFonts w:eastAsiaTheme="minorEastAsia" w:cstheme="minorHAnsi"/>
                <w:color w:val="000000" w:themeColor="text1"/>
                <w:kern w:val="24"/>
                <w:sz w:val="22"/>
                <w:szCs w:val="22"/>
              </w:rPr>
              <w:t>a</w:t>
            </w:r>
            <w:r w:rsidRPr="00117750">
              <w:rPr>
                <w:rFonts w:eastAsiaTheme="minorEastAsia" w:cstheme="minorHAnsi"/>
                <w:color w:val="000000" w:themeColor="text1"/>
                <w:kern w:val="24"/>
                <w:sz w:val="22"/>
                <w:szCs w:val="22"/>
              </w:rPr>
              <w:t xml:space="preserve">etiologies, and with </w:t>
            </w:r>
            <w:r w:rsidR="0041406B">
              <w:rPr>
                <w:rFonts w:eastAsiaTheme="minorEastAsia" w:cstheme="minorHAnsi"/>
                <w:color w:val="000000" w:themeColor="text1"/>
                <w:kern w:val="24"/>
                <w:sz w:val="22"/>
                <w:szCs w:val="22"/>
              </w:rPr>
              <w:t xml:space="preserve">a </w:t>
            </w:r>
            <w:r w:rsidRPr="00117750">
              <w:rPr>
                <w:rFonts w:eastAsiaTheme="minorEastAsia" w:cstheme="minorHAnsi"/>
                <w:color w:val="000000" w:themeColor="text1"/>
                <w:kern w:val="24"/>
                <w:sz w:val="22"/>
                <w:szCs w:val="22"/>
              </w:rPr>
              <w:t>normal serum C3 level.</w:t>
            </w:r>
          </w:p>
        </w:tc>
      </w:tr>
      <w:tr w:rsidR="00837E18" w14:paraId="320511C8" w14:textId="77777777" w:rsidTr="003F494F">
        <w:tc>
          <w:tcPr>
            <w:tcW w:w="846" w:type="dxa"/>
          </w:tcPr>
          <w:p w14:paraId="2F77200C" w14:textId="456C6ADB" w:rsidR="00D20CBA" w:rsidRPr="00117750" w:rsidRDefault="001630D4" w:rsidP="003F494F">
            <w:pPr>
              <w:spacing w:before="240" w:line="360" w:lineRule="auto"/>
              <w:jc w:val="center"/>
              <w:rPr>
                <w:rFonts w:eastAsia="Arial" w:cstheme="minorHAnsi"/>
                <w:sz w:val="22"/>
                <w:szCs w:val="22"/>
                <w:lang w:val="en" w:eastAsia="en-GB"/>
              </w:rPr>
            </w:pPr>
            <w:r w:rsidRPr="00117750">
              <w:rPr>
                <w:rFonts w:eastAsia="Arial" w:cstheme="minorHAnsi"/>
                <w:sz w:val="22"/>
                <w:szCs w:val="22"/>
                <w:lang w:val="en" w:eastAsia="en-GB"/>
              </w:rPr>
              <w:t>b</w:t>
            </w:r>
          </w:p>
        </w:tc>
        <w:tc>
          <w:tcPr>
            <w:tcW w:w="9639" w:type="dxa"/>
          </w:tcPr>
          <w:p w14:paraId="08153E56" w14:textId="78344403" w:rsidR="00D20CBA" w:rsidRPr="00117750" w:rsidRDefault="001630D4" w:rsidP="003F494F">
            <w:pPr>
              <w:spacing w:before="240" w:line="360" w:lineRule="auto"/>
              <w:jc w:val="both"/>
              <w:rPr>
                <w:rFonts w:eastAsiaTheme="minorEastAsia" w:cstheme="minorHAnsi"/>
                <w:color w:val="000000" w:themeColor="text1"/>
                <w:kern w:val="24"/>
                <w:sz w:val="22"/>
                <w:szCs w:val="22"/>
              </w:rPr>
            </w:pPr>
            <w:r w:rsidRPr="00117750">
              <w:rPr>
                <w:rFonts w:eastAsiaTheme="minorEastAsia" w:cstheme="minorHAnsi"/>
                <w:color w:val="000000" w:themeColor="text1"/>
                <w:kern w:val="24"/>
                <w:sz w:val="22"/>
                <w:szCs w:val="22"/>
              </w:rPr>
              <w:t>Gross h</w:t>
            </w:r>
            <w:r w:rsidR="00AA5045">
              <w:rPr>
                <w:rFonts w:eastAsiaTheme="minorEastAsia" w:cstheme="minorHAnsi"/>
                <w:color w:val="000000" w:themeColor="text1"/>
                <w:kern w:val="24"/>
                <w:sz w:val="22"/>
                <w:szCs w:val="22"/>
              </w:rPr>
              <w:t>a</w:t>
            </w:r>
            <w:r w:rsidRPr="00117750">
              <w:rPr>
                <w:rFonts w:eastAsiaTheme="minorEastAsia" w:cstheme="minorHAnsi"/>
                <w:color w:val="000000" w:themeColor="text1"/>
                <w:kern w:val="24"/>
                <w:sz w:val="22"/>
                <w:szCs w:val="22"/>
              </w:rPr>
              <w:t xml:space="preserve">ematuria occurring during an upper respiratory infection is suggestive of </w:t>
            </w:r>
            <w:proofErr w:type="spellStart"/>
            <w:r w:rsidRPr="00117750">
              <w:rPr>
                <w:rFonts w:eastAsiaTheme="minorEastAsia" w:cstheme="minorHAnsi"/>
                <w:color w:val="000000" w:themeColor="text1"/>
                <w:kern w:val="24"/>
                <w:sz w:val="22"/>
                <w:szCs w:val="22"/>
              </w:rPr>
              <w:t>IgAN</w:t>
            </w:r>
            <w:proofErr w:type="spellEnd"/>
            <w:r w:rsidRPr="00117750">
              <w:rPr>
                <w:rFonts w:eastAsiaTheme="minorEastAsia" w:cstheme="minorHAnsi"/>
                <w:color w:val="000000" w:themeColor="text1"/>
                <w:kern w:val="24"/>
                <w:sz w:val="22"/>
                <w:szCs w:val="22"/>
              </w:rPr>
              <w:t>.</w:t>
            </w:r>
          </w:p>
        </w:tc>
      </w:tr>
      <w:tr w:rsidR="00837E18" w14:paraId="586C42E3" w14:textId="77777777" w:rsidTr="003F494F">
        <w:tc>
          <w:tcPr>
            <w:tcW w:w="846" w:type="dxa"/>
          </w:tcPr>
          <w:p w14:paraId="69F746B3" w14:textId="6B4C205C" w:rsidR="00601B86" w:rsidRPr="00117750" w:rsidRDefault="001630D4" w:rsidP="000A3A89">
            <w:pPr>
              <w:spacing w:before="240" w:line="360" w:lineRule="auto"/>
              <w:jc w:val="center"/>
              <w:rPr>
                <w:rFonts w:eastAsia="Arial" w:cstheme="minorHAnsi"/>
                <w:sz w:val="22"/>
                <w:szCs w:val="22"/>
                <w:lang w:val="en" w:eastAsia="en-GB"/>
              </w:rPr>
            </w:pPr>
            <w:r>
              <w:rPr>
                <w:rFonts w:eastAsia="Arial" w:cstheme="minorHAnsi"/>
                <w:sz w:val="22"/>
                <w:szCs w:val="22"/>
                <w:lang w:val="en" w:eastAsia="en-GB"/>
              </w:rPr>
              <w:t>c</w:t>
            </w:r>
          </w:p>
        </w:tc>
        <w:tc>
          <w:tcPr>
            <w:tcW w:w="9639" w:type="dxa"/>
          </w:tcPr>
          <w:p w14:paraId="4E601E03" w14:textId="5A767D29" w:rsidR="00601B86" w:rsidRPr="00117750" w:rsidRDefault="001630D4" w:rsidP="000A3A89">
            <w:pPr>
              <w:spacing w:before="240" w:line="360" w:lineRule="auto"/>
              <w:jc w:val="both"/>
              <w:rPr>
                <w:rFonts w:eastAsia="Arial" w:cstheme="minorHAnsi"/>
                <w:sz w:val="22"/>
                <w:szCs w:val="22"/>
                <w:lang w:val="en" w:eastAsia="en-GB"/>
              </w:rPr>
            </w:pPr>
            <w:r w:rsidRPr="00117750">
              <w:rPr>
                <w:rFonts w:eastAsiaTheme="minorEastAsia" w:cstheme="minorHAnsi"/>
                <w:color w:val="000000" w:themeColor="text1"/>
                <w:kern w:val="24"/>
                <w:sz w:val="22"/>
                <w:szCs w:val="22"/>
              </w:rPr>
              <w:t xml:space="preserve">In children with suspected </w:t>
            </w:r>
            <w:proofErr w:type="spellStart"/>
            <w:r w:rsidRPr="00117750">
              <w:rPr>
                <w:rFonts w:eastAsiaTheme="minorEastAsia" w:cstheme="minorHAnsi"/>
                <w:color w:val="000000" w:themeColor="text1"/>
                <w:kern w:val="24"/>
                <w:sz w:val="22"/>
                <w:szCs w:val="22"/>
              </w:rPr>
              <w:t>IgAN</w:t>
            </w:r>
            <w:proofErr w:type="spellEnd"/>
            <w:r w:rsidRPr="00117750">
              <w:rPr>
                <w:rFonts w:eastAsiaTheme="minorEastAsia" w:cstheme="minorHAnsi"/>
                <w:color w:val="000000" w:themeColor="text1"/>
                <w:kern w:val="24"/>
                <w:sz w:val="22"/>
                <w:szCs w:val="22"/>
              </w:rPr>
              <w:t xml:space="preserve"> and nephrotic-range proteinuria (UPCR</w:t>
            </w:r>
            <w:r w:rsidR="0014327C">
              <w:rPr>
                <w:rFonts w:eastAsiaTheme="minorEastAsia" w:cstheme="minorHAnsi"/>
                <w:color w:val="000000" w:themeColor="text1"/>
                <w:kern w:val="24"/>
                <w:sz w:val="22"/>
                <w:szCs w:val="22"/>
              </w:rPr>
              <w:t>&gt;</w:t>
            </w:r>
            <w:r w:rsidRPr="00117750">
              <w:rPr>
                <w:rFonts w:eastAsiaTheme="minorEastAsia" w:cstheme="minorHAnsi"/>
                <w:color w:val="000000" w:themeColor="text1"/>
                <w:kern w:val="24"/>
                <w:sz w:val="22"/>
                <w:szCs w:val="22"/>
              </w:rPr>
              <w:t>200 mg/mmol)</w:t>
            </w:r>
            <w:r>
              <w:rPr>
                <w:rFonts w:eastAsiaTheme="minorEastAsia" w:cstheme="minorHAnsi"/>
                <w:color w:val="000000" w:themeColor="text1"/>
                <w:kern w:val="24"/>
                <w:sz w:val="22"/>
                <w:szCs w:val="22"/>
              </w:rPr>
              <w:t xml:space="preserve"> </w:t>
            </w:r>
            <w:r w:rsidRPr="00117750">
              <w:rPr>
                <w:rFonts w:eastAsiaTheme="minorEastAsia" w:cstheme="minorHAnsi"/>
                <w:color w:val="000000" w:themeColor="text1"/>
                <w:kern w:val="24"/>
                <w:sz w:val="22"/>
                <w:szCs w:val="22"/>
              </w:rPr>
              <w:t xml:space="preserve">and/or reduced eGFR (&lt;90 </w:t>
            </w:r>
            <w:proofErr w:type="spellStart"/>
            <w:r w:rsidRPr="00117750">
              <w:rPr>
                <w:rFonts w:eastAsiaTheme="minorEastAsia" w:cstheme="minorHAnsi"/>
                <w:color w:val="000000" w:themeColor="text1"/>
                <w:kern w:val="24"/>
                <w:sz w:val="22"/>
                <w:szCs w:val="22"/>
              </w:rPr>
              <w:t>ml</w:t>
            </w:r>
            <w:r w:rsidR="00B12265">
              <w:rPr>
                <w:rFonts w:eastAsiaTheme="minorEastAsia" w:cstheme="minorHAnsi"/>
                <w:color w:val="000000" w:themeColor="text1"/>
                <w:kern w:val="24"/>
                <w:sz w:val="22"/>
                <w:szCs w:val="22"/>
              </w:rPr>
              <w:t>s</w:t>
            </w:r>
            <w:proofErr w:type="spellEnd"/>
            <w:r w:rsidRPr="00117750">
              <w:rPr>
                <w:rFonts w:eastAsiaTheme="minorEastAsia" w:cstheme="minorHAnsi"/>
                <w:color w:val="000000" w:themeColor="text1"/>
                <w:kern w:val="24"/>
                <w:sz w:val="22"/>
                <w:szCs w:val="22"/>
              </w:rPr>
              <w:t>/min/1.</w:t>
            </w:r>
            <w:r w:rsidR="00B12265">
              <w:rPr>
                <w:rFonts w:eastAsiaTheme="minorEastAsia" w:cstheme="minorHAnsi"/>
                <w:color w:val="000000" w:themeColor="text1"/>
                <w:kern w:val="24"/>
                <w:sz w:val="22"/>
                <w:szCs w:val="22"/>
              </w:rPr>
              <w:t>73m</w:t>
            </w:r>
            <w:r w:rsidR="00B12265">
              <w:rPr>
                <w:rFonts w:eastAsiaTheme="minorEastAsia" w:cstheme="minorHAnsi"/>
                <w:color w:val="000000" w:themeColor="text1"/>
                <w:kern w:val="24"/>
                <w:sz w:val="22"/>
                <w:szCs w:val="22"/>
                <w:vertAlign w:val="superscript"/>
              </w:rPr>
              <w:t>2</w:t>
            </w:r>
            <w:r w:rsidRPr="00117750">
              <w:rPr>
                <w:rFonts w:eastAsiaTheme="minorEastAsia" w:cstheme="minorHAnsi"/>
                <w:color w:val="000000" w:themeColor="text1"/>
                <w:kern w:val="24"/>
                <w:sz w:val="22"/>
                <w:szCs w:val="22"/>
              </w:rPr>
              <w:t xml:space="preserve">) </w:t>
            </w:r>
            <w:r w:rsidR="003C5A57">
              <w:rPr>
                <w:rFonts w:eastAsiaTheme="minorEastAsia" w:cstheme="minorHAnsi"/>
                <w:color w:val="000000" w:themeColor="text1"/>
                <w:kern w:val="24"/>
                <w:sz w:val="22"/>
                <w:szCs w:val="22"/>
              </w:rPr>
              <w:t xml:space="preserve">that is not </w:t>
            </w:r>
            <w:proofErr w:type="spellStart"/>
            <w:r w:rsidR="003C5A57">
              <w:rPr>
                <w:rFonts w:eastAsiaTheme="minorEastAsia" w:cstheme="minorHAnsi"/>
                <w:color w:val="000000" w:themeColor="text1"/>
                <w:kern w:val="24"/>
                <w:sz w:val="22"/>
                <w:szCs w:val="22"/>
              </w:rPr>
              <w:t>prompty</w:t>
            </w:r>
            <w:proofErr w:type="spellEnd"/>
            <w:r w:rsidR="003C5A57">
              <w:rPr>
                <w:rFonts w:eastAsiaTheme="minorEastAsia" w:cstheme="minorHAnsi"/>
                <w:color w:val="000000" w:themeColor="text1"/>
                <w:kern w:val="24"/>
                <w:sz w:val="22"/>
                <w:szCs w:val="22"/>
              </w:rPr>
              <w:t xml:space="preserve"> improving, then </w:t>
            </w:r>
            <w:r w:rsidRPr="00117750">
              <w:rPr>
                <w:rFonts w:eastAsiaTheme="minorEastAsia" w:cstheme="minorHAnsi"/>
                <w:color w:val="000000" w:themeColor="text1"/>
                <w:kern w:val="24"/>
                <w:sz w:val="22"/>
                <w:szCs w:val="22"/>
              </w:rPr>
              <w:t xml:space="preserve">a kidney biopsy </w:t>
            </w:r>
            <w:r>
              <w:rPr>
                <w:rFonts w:eastAsiaTheme="minorEastAsia" w:cstheme="minorHAnsi"/>
                <w:color w:val="000000" w:themeColor="text1"/>
                <w:kern w:val="24"/>
                <w:sz w:val="22"/>
                <w:szCs w:val="22"/>
              </w:rPr>
              <w:t>should be performed</w:t>
            </w:r>
            <w:r w:rsidRPr="00117750">
              <w:rPr>
                <w:rFonts w:eastAsiaTheme="minorEastAsia" w:cstheme="minorHAnsi"/>
                <w:color w:val="000000" w:themeColor="text1"/>
                <w:kern w:val="24"/>
                <w:sz w:val="22"/>
                <w:szCs w:val="22"/>
              </w:rPr>
              <w:t>.</w:t>
            </w:r>
          </w:p>
        </w:tc>
      </w:tr>
      <w:tr w:rsidR="003C5A57" w14:paraId="4C2B471B" w14:textId="502D6ACC" w:rsidTr="003F494F">
        <w:tc>
          <w:tcPr>
            <w:tcW w:w="846" w:type="dxa"/>
          </w:tcPr>
          <w:p w14:paraId="324F1181" w14:textId="1C19C4AA" w:rsidR="003C5A57" w:rsidRDefault="003C5A57" w:rsidP="000A3A89">
            <w:pPr>
              <w:spacing w:before="240" w:line="360" w:lineRule="auto"/>
              <w:jc w:val="center"/>
              <w:rPr>
                <w:rFonts w:eastAsia="Arial" w:cstheme="minorHAnsi"/>
                <w:sz w:val="22"/>
                <w:szCs w:val="22"/>
                <w:lang w:val="en" w:eastAsia="en-GB"/>
              </w:rPr>
            </w:pPr>
            <w:r>
              <w:rPr>
                <w:rFonts w:eastAsia="Arial" w:cstheme="minorHAnsi"/>
                <w:sz w:val="22"/>
                <w:szCs w:val="22"/>
                <w:lang w:val="en" w:eastAsia="en-GB"/>
              </w:rPr>
              <w:lastRenderedPageBreak/>
              <w:t>d</w:t>
            </w:r>
          </w:p>
        </w:tc>
        <w:tc>
          <w:tcPr>
            <w:tcW w:w="9639" w:type="dxa"/>
          </w:tcPr>
          <w:p w14:paraId="1E5F617A" w14:textId="0F94C16E" w:rsidR="003C5A57" w:rsidRPr="00117750" w:rsidRDefault="003C5A57" w:rsidP="000A3A89">
            <w:pPr>
              <w:spacing w:before="240" w:line="360" w:lineRule="auto"/>
              <w:jc w:val="both"/>
              <w:rPr>
                <w:rFonts w:eastAsiaTheme="minorEastAsia" w:cstheme="minorHAnsi"/>
                <w:color w:val="000000" w:themeColor="text1"/>
                <w:kern w:val="24"/>
                <w:sz w:val="22"/>
                <w:szCs w:val="22"/>
              </w:rPr>
            </w:pPr>
            <w:r w:rsidRPr="003F494F">
              <w:rPr>
                <w:rFonts w:cstheme="minorHAnsi"/>
                <w:sz w:val="22"/>
                <w:szCs w:val="22"/>
              </w:rPr>
              <w:t xml:space="preserve">The kidney histology should be classified using the Oxford classification criteria (MEST-C) for children and young people with </w:t>
            </w:r>
            <w:proofErr w:type="spellStart"/>
            <w:r w:rsidRPr="003F494F">
              <w:rPr>
                <w:rFonts w:cstheme="minorHAnsi"/>
                <w:sz w:val="22"/>
                <w:szCs w:val="22"/>
              </w:rPr>
              <w:t>IgAN</w:t>
            </w:r>
            <w:proofErr w:type="spellEnd"/>
            <w:r w:rsidRPr="003F494F">
              <w:rPr>
                <w:rFonts w:cstheme="minorHAnsi"/>
                <w:sz w:val="22"/>
                <w:szCs w:val="22"/>
              </w:rPr>
              <w:t>.</w:t>
            </w:r>
          </w:p>
        </w:tc>
      </w:tr>
      <w:tr w:rsidR="000A3A89" w14:paraId="4DF144B0" w14:textId="77777777" w:rsidTr="003F494F">
        <w:tc>
          <w:tcPr>
            <w:tcW w:w="846" w:type="dxa"/>
          </w:tcPr>
          <w:p w14:paraId="2189B399" w14:textId="696E7A55" w:rsidR="000A3A89" w:rsidRPr="00117750" w:rsidRDefault="003C5A57" w:rsidP="003F494F">
            <w:pPr>
              <w:spacing w:before="240" w:line="360" w:lineRule="auto"/>
              <w:jc w:val="center"/>
              <w:rPr>
                <w:rFonts w:eastAsia="Arial" w:cstheme="minorHAnsi"/>
                <w:sz w:val="22"/>
                <w:szCs w:val="22"/>
                <w:lang w:val="en" w:eastAsia="en-GB"/>
              </w:rPr>
            </w:pPr>
            <w:r>
              <w:rPr>
                <w:rFonts w:eastAsia="Arial" w:cstheme="minorHAnsi"/>
                <w:sz w:val="22"/>
                <w:szCs w:val="22"/>
                <w:lang w:val="en" w:eastAsia="en-GB"/>
              </w:rPr>
              <w:t>e</w:t>
            </w:r>
          </w:p>
        </w:tc>
        <w:tc>
          <w:tcPr>
            <w:tcW w:w="9639" w:type="dxa"/>
          </w:tcPr>
          <w:p w14:paraId="3ABBB3E6" w14:textId="447F164D" w:rsidR="000A3A89" w:rsidRPr="00117750" w:rsidRDefault="000A3A89" w:rsidP="003F494F">
            <w:pPr>
              <w:spacing w:before="240" w:line="360" w:lineRule="auto"/>
              <w:jc w:val="both"/>
              <w:rPr>
                <w:rFonts w:eastAsiaTheme="minorEastAsia" w:cstheme="minorHAnsi"/>
                <w:color w:val="000000" w:themeColor="text1"/>
                <w:kern w:val="24"/>
                <w:sz w:val="22"/>
                <w:szCs w:val="22"/>
              </w:rPr>
            </w:pPr>
            <w:r>
              <w:rPr>
                <w:rFonts w:eastAsia="Arial" w:cstheme="minorHAnsi"/>
                <w:color w:val="000000" w:themeColor="text1"/>
                <w:kern w:val="24"/>
                <w:sz w:val="22"/>
                <w:szCs w:val="22"/>
                <w:lang w:eastAsia="en-GB"/>
              </w:rPr>
              <w:t>R</w:t>
            </w:r>
            <w:r w:rsidRPr="00C00DD6">
              <w:rPr>
                <w:rFonts w:eastAsia="Arial" w:cstheme="minorHAnsi"/>
                <w:color w:val="000000" w:themeColor="text1"/>
                <w:kern w:val="24"/>
                <w:sz w:val="22"/>
                <w:szCs w:val="22"/>
                <w:lang w:eastAsia="en-GB"/>
              </w:rPr>
              <w:t xml:space="preserve">emission of </w:t>
            </w:r>
            <w:proofErr w:type="spellStart"/>
            <w:r w:rsidRPr="00C00DD6">
              <w:rPr>
                <w:rFonts w:eastAsia="Arial" w:cstheme="minorHAnsi"/>
                <w:color w:val="000000" w:themeColor="text1"/>
                <w:kern w:val="24"/>
                <w:sz w:val="22"/>
                <w:szCs w:val="22"/>
                <w:lang w:eastAsia="en-GB"/>
              </w:rPr>
              <w:t>IgAN</w:t>
            </w:r>
            <w:proofErr w:type="spellEnd"/>
            <w:r w:rsidRPr="00C00DD6">
              <w:rPr>
                <w:rFonts w:eastAsia="Arial" w:cstheme="minorHAnsi"/>
                <w:color w:val="000000" w:themeColor="text1"/>
                <w:kern w:val="24"/>
                <w:sz w:val="22"/>
                <w:szCs w:val="22"/>
                <w:lang w:eastAsia="en-GB"/>
              </w:rPr>
              <w:t xml:space="preserve"> is defined as a </w:t>
            </w:r>
            <w:r w:rsidRPr="00C00DD6">
              <w:rPr>
                <w:rFonts w:cstheme="minorHAnsi"/>
                <w:noProof/>
                <w:sz w:val="22"/>
                <w:szCs w:val="22"/>
                <w:lang w:eastAsia="en-GB"/>
              </w:rPr>
              <w:t>U</w:t>
            </w:r>
            <w:r>
              <w:rPr>
                <w:rFonts w:cstheme="minorHAnsi"/>
                <w:noProof/>
                <w:sz w:val="22"/>
                <w:szCs w:val="22"/>
                <w:lang w:eastAsia="en-GB"/>
              </w:rPr>
              <w:t>P</w:t>
            </w:r>
            <w:r w:rsidRPr="00C00DD6">
              <w:rPr>
                <w:rFonts w:cstheme="minorHAnsi"/>
                <w:noProof/>
                <w:sz w:val="22"/>
                <w:szCs w:val="22"/>
                <w:lang w:eastAsia="en-GB"/>
              </w:rPr>
              <w:t xml:space="preserve">CR &lt; </w:t>
            </w:r>
            <w:r>
              <w:rPr>
                <w:rFonts w:cstheme="minorHAnsi"/>
                <w:noProof/>
                <w:sz w:val="22"/>
                <w:szCs w:val="22"/>
                <w:lang w:eastAsia="en-GB"/>
              </w:rPr>
              <w:t>2</w:t>
            </w:r>
            <w:r w:rsidRPr="00C00DD6">
              <w:rPr>
                <w:rFonts w:cstheme="minorHAnsi"/>
                <w:noProof/>
                <w:sz w:val="22"/>
                <w:szCs w:val="22"/>
                <w:lang w:eastAsia="en-GB"/>
              </w:rPr>
              <w:t xml:space="preserve">0mg/mmol </w:t>
            </w:r>
            <w:r w:rsidRPr="00C00DD6">
              <w:rPr>
                <w:rFonts w:eastAsiaTheme="minorEastAsia" w:cstheme="minorHAnsi"/>
                <w:color w:val="000000" w:themeColor="text1"/>
                <w:kern w:val="24"/>
                <w:sz w:val="22"/>
                <w:szCs w:val="22"/>
                <w:lang w:eastAsia="en-GB"/>
              </w:rPr>
              <w:t xml:space="preserve">on at least 2 urine samples collected at least one month apart, with a normal (&gt;90 </w:t>
            </w:r>
            <w:proofErr w:type="spellStart"/>
            <w:r w:rsidRPr="00C00DD6">
              <w:rPr>
                <w:rFonts w:eastAsiaTheme="minorEastAsia" w:cstheme="minorHAnsi"/>
                <w:color w:val="000000" w:themeColor="text1"/>
                <w:kern w:val="24"/>
                <w:sz w:val="22"/>
                <w:szCs w:val="22"/>
                <w:lang w:eastAsia="en-GB"/>
              </w:rPr>
              <w:t>m</w:t>
            </w:r>
            <w:r>
              <w:rPr>
                <w:rFonts w:eastAsiaTheme="minorEastAsia" w:cstheme="minorHAnsi"/>
                <w:color w:val="000000" w:themeColor="text1"/>
                <w:kern w:val="24"/>
                <w:sz w:val="22"/>
                <w:szCs w:val="22"/>
                <w:lang w:eastAsia="en-GB"/>
              </w:rPr>
              <w:t>ls</w:t>
            </w:r>
            <w:proofErr w:type="spellEnd"/>
            <w:r w:rsidRPr="00C00DD6">
              <w:rPr>
                <w:rFonts w:eastAsiaTheme="minorEastAsia" w:cstheme="minorHAnsi"/>
                <w:color w:val="000000" w:themeColor="text1"/>
                <w:kern w:val="24"/>
                <w:sz w:val="22"/>
                <w:szCs w:val="22"/>
                <w:lang w:eastAsia="en-GB"/>
              </w:rPr>
              <w:t>/min/1.73m</w:t>
            </w:r>
            <w:r w:rsidRPr="005D1469">
              <w:rPr>
                <w:rFonts w:eastAsiaTheme="minorEastAsia" w:cstheme="minorHAnsi"/>
                <w:color w:val="000000" w:themeColor="text1"/>
                <w:kern w:val="24"/>
                <w:sz w:val="22"/>
                <w:szCs w:val="22"/>
                <w:vertAlign w:val="superscript"/>
                <w:lang w:eastAsia="en-GB"/>
              </w:rPr>
              <w:t>2</w:t>
            </w:r>
            <w:r w:rsidRPr="00C00DD6">
              <w:rPr>
                <w:rFonts w:eastAsiaTheme="minorEastAsia" w:cstheme="minorHAnsi"/>
                <w:color w:val="000000" w:themeColor="text1"/>
                <w:kern w:val="24"/>
                <w:sz w:val="22"/>
                <w:szCs w:val="22"/>
                <w:lang w:eastAsia="en-GB"/>
              </w:rPr>
              <w:t>) or stable eGFR and absence of gross haematuria.</w:t>
            </w:r>
          </w:p>
        </w:tc>
      </w:tr>
      <w:tr w:rsidR="000A3A89" w14:paraId="6F0E05D1" w14:textId="77777777" w:rsidTr="003F494F">
        <w:tc>
          <w:tcPr>
            <w:tcW w:w="846" w:type="dxa"/>
          </w:tcPr>
          <w:p w14:paraId="2B121122" w14:textId="701F6A04" w:rsidR="000A3A89" w:rsidRDefault="003C5A57" w:rsidP="003F494F">
            <w:pPr>
              <w:spacing w:before="240" w:line="360" w:lineRule="auto"/>
              <w:jc w:val="center"/>
              <w:rPr>
                <w:rFonts w:eastAsia="Arial" w:cstheme="minorHAnsi"/>
                <w:sz w:val="22"/>
                <w:szCs w:val="22"/>
                <w:lang w:val="en" w:eastAsia="en-GB"/>
              </w:rPr>
            </w:pPr>
            <w:r>
              <w:rPr>
                <w:rFonts w:eastAsia="Arial" w:cstheme="minorHAnsi"/>
                <w:sz w:val="22"/>
                <w:szCs w:val="22"/>
                <w:lang w:val="en" w:eastAsia="en-GB"/>
              </w:rPr>
              <w:t>f</w:t>
            </w:r>
          </w:p>
        </w:tc>
        <w:tc>
          <w:tcPr>
            <w:tcW w:w="9639" w:type="dxa"/>
          </w:tcPr>
          <w:p w14:paraId="6F281081" w14:textId="41A505A1" w:rsidR="000A3A89" w:rsidRPr="00117750" w:rsidRDefault="000A3A89" w:rsidP="003F494F">
            <w:pPr>
              <w:spacing w:before="240" w:line="360" w:lineRule="auto"/>
              <w:jc w:val="both"/>
              <w:rPr>
                <w:rFonts w:eastAsiaTheme="minorEastAsia" w:cstheme="minorHAnsi"/>
                <w:color w:val="000000" w:themeColor="text1"/>
                <w:kern w:val="24"/>
                <w:sz w:val="22"/>
                <w:szCs w:val="22"/>
              </w:rPr>
            </w:pPr>
            <w:r>
              <w:rPr>
                <w:rFonts w:eastAsiaTheme="minorEastAsia" w:cstheme="minorHAnsi"/>
                <w:color w:val="000000" w:themeColor="text1"/>
                <w:kern w:val="24"/>
                <w:sz w:val="22"/>
                <w:szCs w:val="22"/>
                <w:lang w:eastAsia="en-GB"/>
              </w:rPr>
              <w:t>A</w:t>
            </w:r>
            <w:r w:rsidRPr="00C00DD6">
              <w:rPr>
                <w:rFonts w:eastAsiaTheme="minorEastAsia" w:cstheme="minorHAnsi"/>
                <w:color w:val="000000" w:themeColor="text1"/>
                <w:kern w:val="24"/>
                <w:sz w:val="22"/>
                <w:szCs w:val="22"/>
                <w:lang w:eastAsia="en-GB"/>
              </w:rPr>
              <w:t xml:space="preserve"> relapse of </w:t>
            </w:r>
            <w:proofErr w:type="spellStart"/>
            <w:r w:rsidRPr="00C00DD6">
              <w:rPr>
                <w:rFonts w:eastAsiaTheme="minorEastAsia" w:cstheme="minorHAnsi"/>
                <w:color w:val="000000" w:themeColor="text1"/>
                <w:kern w:val="24"/>
                <w:sz w:val="22"/>
                <w:szCs w:val="22"/>
                <w:lang w:eastAsia="en-GB"/>
              </w:rPr>
              <w:t>IgAN</w:t>
            </w:r>
            <w:proofErr w:type="spellEnd"/>
            <w:r w:rsidRPr="00C00DD6">
              <w:rPr>
                <w:rFonts w:eastAsiaTheme="minorEastAsia" w:cstheme="minorHAnsi"/>
                <w:color w:val="000000" w:themeColor="text1"/>
                <w:kern w:val="24"/>
                <w:sz w:val="22"/>
                <w:szCs w:val="22"/>
                <w:lang w:eastAsia="en-GB"/>
              </w:rPr>
              <w:t xml:space="preserve"> is defined as the reappearance of episodic haematuria and a rise in proteinuria</w:t>
            </w:r>
            <w:r>
              <w:rPr>
                <w:rFonts w:eastAsiaTheme="minorEastAsia" w:cstheme="minorHAnsi"/>
                <w:color w:val="000000" w:themeColor="text1"/>
                <w:kern w:val="24"/>
                <w:sz w:val="22"/>
                <w:szCs w:val="22"/>
                <w:lang w:eastAsia="en-GB"/>
              </w:rPr>
              <w:t xml:space="preserve"> </w:t>
            </w:r>
            <w:r w:rsidR="003C5A57">
              <w:rPr>
                <w:rFonts w:eastAsiaTheme="minorEastAsia" w:cstheme="minorHAnsi"/>
                <w:color w:val="000000" w:themeColor="text1"/>
                <w:kern w:val="24"/>
                <w:sz w:val="22"/>
                <w:szCs w:val="22"/>
                <w:lang w:eastAsia="en-GB"/>
              </w:rPr>
              <w:t>(&gt;</w:t>
            </w:r>
            <w:r w:rsidRPr="00C00DD6">
              <w:rPr>
                <w:rFonts w:eastAsiaTheme="minorEastAsia" w:cstheme="minorHAnsi"/>
                <w:color w:val="000000" w:themeColor="text1"/>
                <w:kern w:val="24"/>
                <w:sz w:val="22"/>
                <w:szCs w:val="22"/>
                <w:lang w:eastAsia="en-GB"/>
              </w:rPr>
              <w:t>50 mg/mmol</w:t>
            </w:r>
            <w:r w:rsidR="003C5A57">
              <w:rPr>
                <w:rFonts w:eastAsiaTheme="minorEastAsia" w:cstheme="minorHAnsi"/>
                <w:color w:val="000000" w:themeColor="text1"/>
                <w:kern w:val="24"/>
                <w:sz w:val="22"/>
                <w:szCs w:val="22"/>
                <w:lang w:eastAsia="en-GB"/>
              </w:rPr>
              <w:t>)</w:t>
            </w:r>
            <w:r w:rsidRPr="00C00DD6">
              <w:rPr>
                <w:rFonts w:eastAsiaTheme="minorEastAsia" w:cstheme="minorHAnsi"/>
                <w:color w:val="000000" w:themeColor="text1"/>
                <w:kern w:val="24"/>
                <w:sz w:val="22"/>
                <w:szCs w:val="22"/>
                <w:lang w:eastAsia="en-GB"/>
              </w:rPr>
              <w:t>, despite optimal RA</w:t>
            </w:r>
            <w:r>
              <w:rPr>
                <w:rFonts w:eastAsiaTheme="minorEastAsia" w:cstheme="minorHAnsi"/>
                <w:color w:val="000000" w:themeColor="text1"/>
                <w:kern w:val="24"/>
                <w:sz w:val="22"/>
                <w:szCs w:val="22"/>
                <w:lang w:eastAsia="en-GB"/>
              </w:rPr>
              <w:t>A</w:t>
            </w:r>
            <w:r w:rsidRPr="00C00DD6">
              <w:rPr>
                <w:rFonts w:eastAsiaTheme="minorEastAsia" w:cstheme="minorHAnsi"/>
                <w:color w:val="000000" w:themeColor="text1"/>
                <w:kern w:val="24"/>
                <w:sz w:val="22"/>
                <w:szCs w:val="22"/>
                <w:lang w:eastAsia="en-GB"/>
              </w:rPr>
              <w:t>S</w:t>
            </w:r>
            <w:r>
              <w:rPr>
                <w:rFonts w:eastAsiaTheme="minorEastAsia" w:cstheme="minorHAnsi"/>
                <w:color w:val="000000" w:themeColor="text1"/>
                <w:kern w:val="24"/>
                <w:sz w:val="22"/>
                <w:szCs w:val="22"/>
                <w:lang w:eastAsia="en-GB"/>
              </w:rPr>
              <w:t xml:space="preserve"> treatment if appropriate</w:t>
            </w:r>
            <w:r w:rsidRPr="00C00DD6">
              <w:rPr>
                <w:rFonts w:eastAsiaTheme="minorEastAsia" w:cstheme="minorHAnsi"/>
                <w:color w:val="000000" w:themeColor="text1"/>
                <w:kern w:val="24"/>
                <w:sz w:val="22"/>
                <w:szCs w:val="22"/>
                <w:lang w:eastAsia="en-GB"/>
              </w:rPr>
              <w:t xml:space="preserve">, based on at least 2 </w:t>
            </w:r>
            <w:r>
              <w:rPr>
                <w:rFonts w:eastAsiaTheme="minorEastAsia" w:cstheme="minorHAnsi"/>
                <w:color w:val="000000" w:themeColor="text1"/>
                <w:kern w:val="24"/>
                <w:sz w:val="22"/>
                <w:szCs w:val="22"/>
                <w:lang w:eastAsia="en-GB"/>
              </w:rPr>
              <w:t xml:space="preserve">first morning </w:t>
            </w:r>
            <w:r w:rsidRPr="00C00DD6">
              <w:rPr>
                <w:rFonts w:eastAsiaTheme="minorEastAsia" w:cstheme="minorHAnsi"/>
                <w:color w:val="000000" w:themeColor="text1"/>
                <w:kern w:val="24"/>
                <w:sz w:val="22"/>
                <w:szCs w:val="22"/>
                <w:lang w:eastAsia="en-GB"/>
              </w:rPr>
              <w:t>urine samples collected 1-2 weeks apart.</w:t>
            </w:r>
          </w:p>
        </w:tc>
      </w:tr>
    </w:tbl>
    <w:p w14:paraId="42F8ACAC" w14:textId="77777777" w:rsidR="00601B86" w:rsidRDefault="00601B86" w:rsidP="003F494F">
      <w:pPr>
        <w:spacing w:line="360" w:lineRule="auto"/>
        <w:rPr>
          <w:rFonts w:eastAsiaTheme="minorEastAsia"/>
          <w:b/>
          <w:bCs/>
          <w:color w:val="000000" w:themeColor="text1"/>
          <w:kern w:val="24"/>
          <w:lang w:val="en-US"/>
        </w:rPr>
      </w:pPr>
    </w:p>
    <w:p w14:paraId="36144C69" w14:textId="7584DA24" w:rsidR="00601B86" w:rsidRPr="00601B86" w:rsidRDefault="001630D4" w:rsidP="003F494F">
      <w:pPr>
        <w:spacing w:line="360" w:lineRule="auto"/>
        <w:rPr>
          <w:b/>
          <w:bCs/>
          <w:sz w:val="22"/>
          <w:szCs w:val="22"/>
          <w:lang w:val="en" w:eastAsia="en-GB"/>
        </w:rPr>
      </w:pPr>
      <w:r w:rsidRPr="004D5D9F">
        <w:rPr>
          <w:b/>
          <w:bCs/>
          <w:sz w:val="22"/>
          <w:szCs w:val="22"/>
          <w:lang w:val="en" w:eastAsia="en-GB"/>
        </w:rPr>
        <w:t xml:space="preserve">Management of </w:t>
      </w:r>
      <w:proofErr w:type="spellStart"/>
      <w:r w:rsidRPr="004D5D9F">
        <w:rPr>
          <w:b/>
          <w:bCs/>
          <w:sz w:val="22"/>
          <w:szCs w:val="22"/>
          <w:lang w:val="en" w:eastAsia="en-GB"/>
        </w:rPr>
        <w:t>I</w:t>
      </w:r>
      <w:r>
        <w:rPr>
          <w:b/>
          <w:bCs/>
          <w:sz w:val="22"/>
          <w:szCs w:val="22"/>
          <w:lang w:val="en" w:eastAsia="en-GB"/>
        </w:rPr>
        <w:t>gAN</w:t>
      </w:r>
      <w:proofErr w:type="spellEnd"/>
      <w:r>
        <w:rPr>
          <w:b/>
          <w:bCs/>
          <w:sz w:val="22"/>
          <w:szCs w:val="22"/>
          <w:lang w:val="en" w:eastAsia="en-GB"/>
        </w:rPr>
        <w:t xml:space="preserve"> </w:t>
      </w:r>
    </w:p>
    <w:p w14:paraId="78537746" w14:textId="77777777" w:rsidR="00913B14" w:rsidRDefault="00913B14" w:rsidP="003F494F">
      <w:pPr>
        <w:pStyle w:val="NormalWeb"/>
        <w:spacing w:before="0" w:beforeAutospacing="0" w:after="0" w:afterAutospacing="0" w:line="360" w:lineRule="auto"/>
        <w:rPr>
          <w:rFonts w:asciiTheme="minorHAnsi" w:eastAsiaTheme="minorEastAsia" w:hAnsiTheme="minorHAnsi" w:cstheme="minorHAnsi"/>
          <w:color w:val="000000" w:themeColor="text1"/>
          <w:kern w:val="24"/>
          <w:sz w:val="22"/>
          <w:szCs w:val="22"/>
          <w:lang w:val="en-US"/>
        </w:rPr>
      </w:pPr>
    </w:p>
    <w:tbl>
      <w:tblPr>
        <w:tblW w:w="10485" w:type="dxa"/>
        <w:tblBorders>
          <w:top w:val="nil"/>
          <w:left w:val="nil"/>
          <w:bottom w:val="nil"/>
          <w:right w:val="nil"/>
          <w:insideH w:val="nil"/>
          <w:insideV w:val="nil"/>
        </w:tblBorders>
        <w:tblLayout w:type="fixed"/>
        <w:tblLook w:val="0600" w:firstRow="0" w:lastRow="0" w:firstColumn="0" w:lastColumn="0" w:noHBand="1" w:noVBand="1"/>
      </w:tblPr>
      <w:tblGrid>
        <w:gridCol w:w="1170"/>
        <w:gridCol w:w="7897"/>
        <w:gridCol w:w="1418"/>
      </w:tblGrid>
      <w:tr w:rsidR="00837E18" w14:paraId="1983FF90" w14:textId="77777777" w:rsidTr="00C00DD6">
        <w:trPr>
          <w:trHeight w:val="915"/>
        </w:trPr>
        <w:tc>
          <w:tcPr>
            <w:tcW w:w="117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4D66E08B" w14:textId="1AA1E5A8" w:rsidR="00601B86" w:rsidRPr="00117750" w:rsidRDefault="001630D4" w:rsidP="003F494F">
            <w:pPr>
              <w:spacing w:before="240" w:line="360" w:lineRule="auto"/>
              <w:jc w:val="center"/>
              <w:rPr>
                <w:rFonts w:eastAsia="Arial" w:cstheme="minorHAnsi"/>
                <w:sz w:val="22"/>
                <w:szCs w:val="22"/>
                <w:lang w:val="en" w:eastAsia="en-GB"/>
              </w:rPr>
            </w:pPr>
            <w:r w:rsidRPr="00117750">
              <w:rPr>
                <w:rFonts w:eastAsia="Arial" w:cstheme="minorHAnsi"/>
                <w:b/>
                <w:sz w:val="22"/>
                <w:szCs w:val="22"/>
                <w:lang w:val="en" w:eastAsia="en-GB"/>
              </w:rPr>
              <w:t>Number</w:t>
            </w:r>
          </w:p>
        </w:tc>
        <w:tc>
          <w:tcPr>
            <w:tcW w:w="7897"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7EC119DF" w14:textId="4FF41D1F" w:rsidR="00601B86" w:rsidRPr="00117750" w:rsidRDefault="001630D4" w:rsidP="003F494F">
            <w:pPr>
              <w:spacing w:before="240" w:line="360" w:lineRule="auto"/>
              <w:rPr>
                <w:rFonts w:cstheme="minorHAnsi"/>
                <w:sz w:val="22"/>
                <w:szCs w:val="22"/>
              </w:rPr>
            </w:pPr>
            <w:r w:rsidRPr="00117750">
              <w:rPr>
                <w:rFonts w:eastAsia="Arial" w:cstheme="minorHAnsi"/>
                <w:b/>
                <w:sz w:val="22"/>
                <w:szCs w:val="22"/>
                <w:lang w:val="en" w:eastAsia="en-GB"/>
              </w:rPr>
              <w:t>RECOMMENDATION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510A76FF" w14:textId="630E05DA" w:rsidR="00601B86" w:rsidRPr="00117750" w:rsidRDefault="001630D4" w:rsidP="003F494F">
            <w:pPr>
              <w:spacing w:before="240" w:line="360" w:lineRule="auto"/>
              <w:jc w:val="center"/>
              <w:rPr>
                <w:rFonts w:eastAsia="Arial" w:cstheme="minorHAnsi"/>
                <w:sz w:val="22"/>
                <w:szCs w:val="22"/>
                <w:lang w:val="en" w:eastAsia="en-GB"/>
              </w:rPr>
            </w:pPr>
            <w:r w:rsidRPr="00117750">
              <w:rPr>
                <w:rFonts w:eastAsia="Arial" w:cstheme="minorHAnsi"/>
                <w:b/>
                <w:sz w:val="22"/>
                <w:szCs w:val="22"/>
                <w:lang w:val="en" w:eastAsia="en-GB"/>
              </w:rPr>
              <w:t>Grade</w:t>
            </w:r>
          </w:p>
        </w:tc>
      </w:tr>
      <w:tr w:rsidR="00837E18" w14:paraId="591BD126" w14:textId="77777777" w:rsidTr="00C00DD6">
        <w:trPr>
          <w:trHeight w:val="915"/>
        </w:trPr>
        <w:tc>
          <w:tcPr>
            <w:tcW w:w="117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5E11B6CF" w14:textId="7522D14F" w:rsidR="00601B86" w:rsidRPr="00C00DD6" w:rsidRDefault="001630D4" w:rsidP="003F494F">
            <w:pPr>
              <w:spacing w:before="240" w:line="360" w:lineRule="auto"/>
              <w:jc w:val="center"/>
              <w:rPr>
                <w:rFonts w:eastAsia="Arial" w:cstheme="minorHAnsi"/>
                <w:sz w:val="22"/>
                <w:szCs w:val="22"/>
                <w:lang w:val="en" w:eastAsia="en-GB"/>
              </w:rPr>
            </w:pPr>
            <w:proofErr w:type="spellStart"/>
            <w:r>
              <w:rPr>
                <w:rFonts w:eastAsia="Arial" w:cstheme="minorHAnsi"/>
                <w:sz w:val="22"/>
                <w:szCs w:val="22"/>
                <w:lang w:val="en" w:eastAsia="en-GB"/>
              </w:rPr>
              <w:t>IgA</w:t>
            </w:r>
            <w:r w:rsidR="00857A64">
              <w:rPr>
                <w:rFonts w:eastAsia="Arial" w:cstheme="minorHAnsi"/>
                <w:sz w:val="22"/>
                <w:szCs w:val="22"/>
                <w:lang w:val="en" w:eastAsia="en-GB"/>
              </w:rPr>
              <w:t>N</w:t>
            </w:r>
            <w:proofErr w:type="spellEnd"/>
            <w:r>
              <w:rPr>
                <w:rFonts w:eastAsia="Arial" w:cstheme="minorHAnsi"/>
                <w:sz w:val="22"/>
                <w:szCs w:val="22"/>
                <w:lang w:val="en" w:eastAsia="en-GB"/>
              </w:rPr>
              <w:t xml:space="preserve"> </w:t>
            </w:r>
            <w:r w:rsidR="006645DC">
              <w:rPr>
                <w:rFonts w:eastAsia="Arial" w:cstheme="minorHAnsi"/>
                <w:sz w:val="22"/>
                <w:szCs w:val="22"/>
                <w:lang w:val="en" w:eastAsia="en-GB"/>
              </w:rPr>
              <w:t>2.</w:t>
            </w:r>
            <w:r w:rsidR="003C5A57">
              <w:rPr>
                <w:rFonts w:eastAsia="Arial" w:cstheme="minorHAnsi"/>
                <w:sz w:val="22"/>
                <w:szCs w:val="22"/>
                <w:lang w:val="en" w:eastAsia="en-GB"/>
              </w:rPr>
              <w:t>1</w:t>
            </w:r>
          </w:p>
        </w:tc>
        <w:tc>
          <w:tcPr>
            <w:tcW w:w="7897"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689F1CF5" w14:textId="104ACD3C" w:rsidR="00601B86" w:rsidRPr="00C00DD6" w:rsidRDefault="001630D4" w:rsidP="003F494F">
            <w:pPr>
              <w:spacing w:before="240" w:line="360" w:lineRule="auto"/>
              <w:jc w:val="both"/>
              <w:rPr>
                <w:rFonts w:eastAsia="Arial" w:cstheme="minorHAnsi"/>
                <w:sz w:val="22"/>
                <w:szCs w:val="22"/>
                <w:lang w:val="en" w:eastAsia="en-GB"/>
              </w:rPr>
            </w:pPr>
            <w:r w:rsidRPr="006645DC">
              <w:rPr>
                <w:rFonts w:eastAsiaTheme="minorEastAsia" w:cstheme="minorHAnsi"/>
                <w:color w:val="000000" w:themeColor="text1"/>
                <w:kern w:val="24"/>
                <w:sz w:val="22"/>
                <w:szCs w:val="22"/>
                <w:u w:val="single"/>
              </w:rPr>
              <w:t>We suggest</w:t>
            </w:r>
            <w:r>
              <w:rPr>
                <w:rFonts w:eastAsiaTheme="minorEastAsia" w:cstheme="minorHAnsi"/>
                <w:color w:val="000000" w:themeColor="text1"/>
                <w:kern w:val="24"/>
                <w:sz w:val="22"/>
                <w:szCs w:val="22"/>
              </w:rPr>
              <w:t xml:space="preserve"> </w:t>
            </w:r>
            <w:r w:rsidR="00D20CBA">
              <w:rPr>
                <w:rFonts w:eastAsiaTheme="minorEastAsia" w:cstheme="minorHAnsi"/>
                <w:color w:val="000000" w:themeColor="text1"/>
                <w:kern w:val="24"/>
                <w:sz w:val="22"/>
                <w:szCs w:val="22"/>
              </w:rPr>
              <w:t>the use of conservative management</w:t>
            </w:r>
            <w:r>
              <w:rPr>
                <w:rFonts w:eastAsiaTheme="minorEastAsia" w:cstheme="minorHAnsi"/>
                <w:color w:val="000000" w:themeColor="text1"/>
                <w:kern w:val="24"/>
                <w:sz w:val="22"/>
                <w:szCs w:val="22"/>
              </w:rPr>
              <w:t xml:space="preserve"> i</w:t>
            </w:r>
            <w:r w:rsidRPr="00C00DD6">
              <w:rPr>
                <w:rFonts w:eastAsiaTheme="minorEastAsia" w:cstheme="minorHAnsi"/>
                <w:color w:val="000000" w:themeColor="text1"/>
                <w:kern w:val="24"/>
                <w:sz w:val="22"/>
                <w:szCs w:val="22"/>
              </w:rPr>
              <w:t xml:space="preserve">n children with </w:t>
            </w:r>
            <w:proofErr w:type="spellStart"/>
            <w:r w:rsidRPr="00C00DD6">
              <w:rPr>
                <w:rFonts w:eastAsiaTheme="minorEastAsia" w:cstheme="minorHAnsi"/>
                <w:color w:val="000000" w:themeColor="text1"/>
                <w:kern w:val="24"/>
                <w:sz w:val="22"/>
                <w:szCs w:val="22"/>
              </w:rPr>
              <w:t>IgAN</w:t>
            </w:r>
            <w:proofErr w:type="spellEnd"/>
            <w:r w:rsidRPr="00C00DD6">
              <w:rPr>
                <w:rFonts w:eastAsiaTheme="minorEastAsia" w:cstheme="minorHAnsi"/>
                <w:color w:val="000000" w:themeColor="text1"/>
                <w:kern w:val="24"/>
                <w:sz w:val="22"/>
                <w:szCs w:val="22"/>
              </w:rPr>
              <w:t xml:space="preserve"> who have isolated microscopic h</w:t>
            </w:r>
            <w:r w:rsidR="00D20CBA">
              <w:rPr>
                <w:rFonts w:eastAsiaTheme="minorEastAsia" w:cstheme="minorHAnsi"/>
                <w:color w:val="000000" w:themeColor="text1"/>
                <w:kern w:val="24"/>
                <w:sz w:val="22"/>
                <w:szCs w:val="22"/>
              </w:rPr>
              <w:t>a</w:t>
            </w:r>
            <w:r w:rsidRPr="00C00DD6">
              <w:rPr>
                <w:rFonts w:eastAsiaTheme="minorEastAsia" w:cstheme="minorHAnsi"/>
                <w:color w:val="000000" w:themeColor="text1"/>
                <w:kern w:val="24"/>
                <w:sz w:val="22"/>
                <w:szCs w:val="22"/>
              </w:rPr>
              <w:t xml:space="preserve">ematuria or </w:t>
            </w:r>
            <w:r w:rsidR="00F51149">
              <w:rPr>
                <w:rFonts w:eastAsiaTheme="minorEastAsia" w:cstheme="minorHAnsi"/>
                <w:color w:val="000000" w:themeColor="text1"/>
                <w:kern w:val="24"/>
                <w:sz w:val="22"/>
                <w:szCs w:val="22"/>
              </w:rPr>
              <w:t xml:space="preserve">infrequent </w:t>
            </w:r>
            <w:r w:rsidR="00D20CBA">
              <w:rPr>
                <w:rFonts w:eastAsiaTheme="minorEastAsia" w:cstheme="minorHAnsi"/>
                <w:color w:val="000000" w:themeColor="text1"/>
                <w:kern w:val="24"/>
                <w:sz w:val="22"/>
                <w:szCs w:val="22"/>
              </w:rPr>
              <w:t xml:space="preserve">episodic </w:t>
            </w:r>
            <w:r w:rsidRPr="00C00DD6">
              <w:rPr>
                <w:rFonts w:eastAsiaTheme="minorEastAsia" w:cstheme="minorHAnsi"/>
                <w:color w:val="000000" w:themeColor="text1"/>
                <w:kern w:val="24"/>
                <w:sz w:val="22"/>
                <w:szCs w:val="22"/>
              </w:rPr>
              <w:t>gross h</w:t>
            </w:r>
            <w:r w:rsidR="00D20CBA">
              <w:rPr>
                <w:rFonts w:eastAsiaTheme="minorEastAsia" w:cstheme="minorHAnsi"/>
                <w:color w:val="000000" w:themeColor="text1"/>
                <w:kern w:val="24"/>
                <w:sz w:val="22"/>
                <w:szCs w:val="22"/>
              </w:rPr>
              <w:t>a</w:t>
            </w:r>
            <w:r w:rsidRPr="00C00DD6">
              <w:rPr>
                <w:rFonts w:eastAsiaTheme="minorEastAsia" w:cstheme="minorHAnsi"/>
                <w:color w:val="000000" w:themeColor="text1"/>
                <w:kern w:val="24"/>
                <w:sz w:val="22"/>
                <w:szCs w:val="22"/>
              </w:rPr>
              <w:t xml:space="preserve">ematuria that </w:t>
            </w:r>
            <w:r w:rsidR="00F51149">
              <w:rPr>
                <w:rFonts w:eastAsiaTheme="minorEastAsia" w:cstheme="minorHAnsi"/>
                <w:color w:val="000000" w:themeColor="text1"/>
                <w:kern w:val="24"/>
                <w:sz w:val="22"/>
                <w:szCs w:val="22"/>
              </w:rPr>
              <w:t>may be associated with transient proteinuria that</w:t>
            </w:r>
            <w:r w:rsidRPr="00C00DD6">
              <w:rPr>
                <w:rFonts w:eastAsiaTheme="minorEastAsia" w:cstheme="minorHAnsi"/>
                <w:color w:val="000000" w:themeColor="text1"/>
                <w:kern w:val="24"/>
                <w:sz w:val="22"/>
                <w:szCs w:val="22"/>
              </w:rPr>
              <w:t xml:space="preserve"> completely resolves.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3B26C336" w14:textId="749B960E" w:rsidR="00601B86" w:rsidRPr="00D20CBA" w:rsidRDefault="001630D4" w:rsidP="003F494F">
            <w:pPr>
              <w:spacing w:before="240" w:line="360" w:lineRule="auto"/>
              <w:jc w:val="center"/>
              <w:rPr>
                <w:rFonts w:eastAsia="Arial" w:cstheme="minorHAnsi"/>
                <w:b/>
                <w:bCs/>
                <w:sz w:val="22"/>
                <w:szCs w:val="22"/>
                <w:lang w:val="en" w:eastAsia="en-GB"/>
              </w:rPr>
            </w:pPr>
            <w:r w:rsidRPr="00D20CBA">
              <w:rPr>
                <w:rFonts w:eastAsia="Arial" w:cstheme="minorHAnsi"/>
                <w:b/>
                <w:bCs/>
                <w:sz w:val="22"/>
                <w:szCs w:val="22"/>
                <w:lang w:val="en" w:eastAsia="en-GB"/>
              </w:rPr>
              <w:t>2</w:t>
            </w:r>
            <w:r>
              <w:rPr>
                <w:rFonts w:eastAsia="Arial" w:cstheme="minorHAnsi"/>
                <w:b/>
                <w:bCs/>
                <w:sz w:val="22"/>
                <w:szCs w:val="22"/>
                <w:lang w:val="en" w:eastAsia="en-GB"/>
              </w:rPr>
              <w:t>C</w:t>
            </w:r>
          </w:p>
        </w:tc>
      </w:tr>
      <w:tr w:rsidR="00837E18" w14:paraId="33A24F92" w14:textId="77777777" w:rsidTr="00D20CBA">
        <w:trPr>
          <w:trHeight w:val="4355"/>
        </w:trPr>
        <w:tc>
          <w:tcPr>
            <w:tcW w:w="117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01C0A13C" w14:textId="53C4B01F" w:rsidR="00601B86" w:rsidRPr="00C00DD6" w:rsidRDefault="001630D4" w:rsidP="003F494F">
            <w:pPr>
              <w:spacing w:before="240" w:line="360" w:lineRule="auto"/>
              <w:jc w:val="center"/>
              <w:rPr>
                <w:rFonts w:eastAsia="Arial" w:cstheme="minorHAnsi"/>
                <w:sz w:val="22"/>
                <w:szCs w:val="22"/>
                <w:lang w:val="en" w:eastAsia="en-GB"/>
              </w:rPr>
            </w:pPr>
            <w:proofErr w:type="spellStart"/>
            <w:r>
              <w:rPr>
                <w:rFonts w:eastAsia="Arial" w:cstheme="minorHAnsi"/>
                <w:sz w:val="22"/>
                <w:szCs w:val="22"/>
                <w:lang w:val="en" w:eastAsia="en-GB"/>
              </w:rPr>
              <w:t>IgA</w:t>
            </w:r>
            <w:r w:rsidR="00857A64">
              <w:rPr>
                <w:rFonts w:eastAsia="Arial" w:cstheme="minorHAnsi"/>
                <w:sz w:val="22"/>
                <w:szCs w:val="22"/>
                <w:lang w:val="en" w:eastAsia="en-GB"/>
              </w:rPr>
              <w:t>N</w:t>
            </w:r>
            <w:proofErr w:type="spellEnd"/>
            <w:r>
              <w:rPr>
                <w:rFonts w:eastAsia="Arial" w:cstheme="minorHAnsi"/>
                <w:sz w:val="22"/>
                <w:szCs w:val="22"/>
                <w:lang w:val="en" w:eastAsia="en-GB"/>
              </w:rPr>
              <w:t xml:space="preserve"> </w:t>
            </w:r>
            <w:r w:rsidR="006645DC">
              <w:rPr>
                <w:rFonts w:eastAsia="Arial" w:cstheme="minorHAnsi"/>
                <w:sz w:val="22"/>
                <w:szCs w:val="22"/>
                <w:lang w:val="en" w:eastAsia="en-GB"/>
              </w:rPr>
              <w:t>2.</w:t>
            </w:r>
            <w:r w:rsidR="003C5A57">
              <w:rPr>
                <w:rFonts w:eastAsia="Arial" w:cstheme="minorHAnsi"/>
                <w:sz w:val="22"/>
                <w:szCs w:val="22"/>
                <w:lang w:val="en" w:eastAsia="en-GB"/>
              </w:rPr>
              <w:t>2</w:t>
            </w:r>
          </w:p>
        </w:tc>
        <w:tc>
          <w:tcPr>
            <w:tcW w:w="7897"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4303BE47" w14:textId="7709B3D1" w:rsidR="00601B86" w:rsidRPr="005D1469" w:rsidRDefault="001630D4" w:rsidP="003F494F">
            <w:pPr>
              <w:pStyle w:val="NormalWeb"/>
              <w:shd w:val="clear" w:color="auto" w:fill="FFFFFF"/>
              <w:spacing w:line="360" w:lineRule="auto"/>
              <w:rPr>
                <w:rFonts w:asciiTheme="minorHAnsi" w:hAnsiTheme="minorHAnsi" w:cstheme="minorHAnsi"/>
                <w:sz w:val="22"/>
                <w:szCs w:val="22"/>
              </w:rPr>
            </w:pPr>
            <w:r w:rsidRPr="005D1469">
              <w:rPr>
                <w:rFonts w:asciiTheme="minorHAnsi" w:hAnsiTheme="minorHAnsi" w:cstheme="minorHAnsi"/>
                <w:sz w:val="22"/>
                <w:szCs w:val="22"/>
                <w:u w:val="single"/>
              </w:rPr>
              <w:t xml:space="preserve">We </w:t>
            </w:r>
            <w:r w:rsidR="006645DC" w:rsidRPr="005D1469">
              <w:rPr>
                <w:rFonts w:asciiTheme="minorHAnsi" w:hAnsiTheme="minorHAnsi" w:cstheme="minorHAnsi"/>
                <w:sz w:val="22"/>
                <w:szCs w:val="22"/>
                <w:u w:val="single"/>
              </w:rPr>
              <w:t>suggest</w:t>
            </w:r>
            <w:r w:rsidRPr="005D1469">
              <w:rPr>
                <w:rFonts w:asciiTheme="minorHAnsi" w:hAnsiTheme="minorHAnsi" w:cstheme="minorHAnsi"/>
                <w:sz w:val="22"/>
                <w:szCs w:val="22"/>
              </w:rPr>
              <w:t xml:space="preserve"> that a combination of clinical features and the histological </w:t>
            </w:r>
            <w:r w:rsidR="0087051E">
              <w:rPr>
                <w:rFonts w:asciiTheme="minorHAnsi" w:hAnsiTheme="minorHAnsi" w:cstheme="minorHAnsi"/>
                <w:sz w:val="22"/>
                <w:szCs w:val="22"/>
              </w:rPr>
              <w:t>features</w:t>
            </w:r>
            <w:r w:rsidRPr="005D1469">
              <w:rPr>
                <w:rFonts w:asciiTheme="minorHAnsi" w:hAnsiTheme="minorHAnsi" w:cstheme="minorHAnsi"/>
                <w:sz w:val="22"/>
                <w:szCs w:val="22"/>
              </w:rPr>
              <w:t xml:space="preserve"> should guide </w:t>
            </w:r>
            <w:r w:rsidR="005D1469">
              <w:rPr>
                <w:rFonts w:asciiTheme="minorHAnsi" w:hAnsiTheme="minorHAnsi" w:cstheme="minorHAnsi"/>
                <w:sz w:val="22"/>
                <w:szCs w:val="22"/>
              </w:rPr>
              <w:t xml:space="preserve">shared </w:t>
            </w:r>
            <w:r w:rsidRPr="005D1469">
              <w:rPr>
                <w:rFonts w:asciiTheme="minorHAnsi" w:hAnsiTheme="minorHAnsi" w:cstheme="minorHAnsi"/>
                <w:sz w:val="22"/>
                <w:szCs w:val="22"/>
              </w:rPr>
              <w:t>decision</w:t>
            </w:r>
            <w:r w:rsidR="005D1469">
              <w:rPr>
                <w:rFonts w:asciiTheme="minorHAnsi" w:hAnsiTheme="minorHAnsi" w:cstheme="minorHAnsi"/>
                <w:sz w:val="22"/>
                <w:szCs w:val="22"/>
              </w:rPr>
              <w:t xml:space="preserve"> making</w:t>
            </w:r>
            <w:r w:rsidRPr="005D1469">
              <w:rPr>
                <w:rFonts w:asciiTheme="minorHAnsi" w:hAnsiTheme="minorHAnsi" w:cstheme="minorHAnsi"/>
                <w:sz w:val="22"/>
                <w:szCs w:val="22"/>
              </w:rPr>
              <w:t xml:space="preserve"> about </w:t>
            </w:r>
            <w:r w:rsidR="0087051E">
              <w:rPr>
                <w:rFonts w:asciiTheme="minorHAnsi" w:hAnsiTheme="minorHAnsi" w:cstheme="minorHAnsi"/>
                <w:sz w:val="22"/>
                <w:szCs w:val="22"/>
              </w:rPr>
              <w:t xml:space="preserve">the </w:t>
            </w:r>
            <w:r w:rsidRPr="005D1469">
              <w:rPr>
                <w:rFonts w:asciiTheme="minorHAnsi" w:hAnsiTheme="minorHAnsi" w:cstheme="minorHAnsi"/>
                <w:sz w:val="22"/>
                <w:szCs w:val="22"/>
              </w:rPr>
              <w:t xml:space="preserve">treatment choices. </w:t>
            </w:r>
          </w:p>
          <w:p w14:paraId="01A789DB" w14:textId="6BD77393" w:rsidR="00601B86" w:rsidRPr="005D1469" w:rsidRDefault="001630D4" w:rsidP="003F494F">
            <w:pPr>
              <w:pStyle w:val="NormalWeb"/>
              <w:shd w:val="clear" w:color="auto" w:fill="FFFFFF"/>
              <w:spacing w:line="360" w:lineRule="auto"/>
              <w:rPr>
                <w:rFonts w:asciiTheme="minorHAnsi" w:hAnsiTheme="minorHAnsi" w:cstheme="minorHAnsi"/>
                <w:sz w:val="22"/>
                <w:szCs w:val="22"/>
              </w:rPr>
            </w:pPr>
            <w:r w:rsidRPr="005D1469">
              <w:rPr>
                <w:rFonts w:asciiTheme="minorHAnsi" w:hAnsiTheme="minorHAnsi" w:cstheme="minorHAnsi"/>
                <w:sz w:val="22"/>
                <w:szCs w:val="22"/>
              </w:rPr>
              <w:t>The following are clinical indicat</w:t>
            </w:r>
            <w:r w:rsidR="0087051E">
              <w:rPr>
                <w:rFonts w:asciiTheme="minorHAnsi" w:hAnsiTheme="minorHAnsi" w:cstheme="minorHAnsi"/>
                <w:sz w:val="22"/>
                <w:szCs w:val="22"/>
              </w:rPr>
              <w:t>ors that may suggest active disease</w:t>
            </w:r>
            <w:r w:rsidR="00104C86">
              <w:rPr>
                <w:rFonts w:asciiTheme="minorHAnsi" w:hAnsiTheme="minorHAnsi" w:cstheme="minorHAnsi"/>
                <w:sz w:val="22"/>
                <w:szCs w:val="22"/>
              </w:rPr>
              <w:t xml:space="preserve"> that requires </w:t>
            </w:r>
            <w:proofErr w:type="gramStart"/>
            <w:r w:rsidR="00104C86">
              <w:rPr>
                <w:rFonts w:asciiTheme="minorHAnsi" w:hAnsiTheme="minorHAnsi" w:cstheme="minorHAnsi"/>
                <w:sz w:val="22"/>
                <w:szCs w:val="22"/>
              </w:rPr>
              <w:t>treatment</w:t>
            </w:r>
            <w:r w:rsidRPr="005D1469">
              <w:rPr>
                <w:rFonts w:asciiTheme="minorHAnsi" w:hAnsiTheme="minorHAnsi" w:cstheme="minorHAnsi"/>
                <w:sz w:val="22"/>
                <w:szCs w:val="22"/>
              </w:rPr>
              <w:t>;</w:t>
            </w:r>
            <w:proofErr w:type="gramEnd"/>
            <w:r w:rsidRPr="005D1469">
              <w:rPr>
                <w:rFonts w:asciiTheme="minorHAnsi" w:hAnsiTheme="minorHAnsi" w:cstheme="minorHAnsi"/>
                <w:sz w:val="22"/>
                <w:szCs w:val="22"/>
              </w:rPr>
              <w:t xml:space="preserve"> </w:t>
            </w:r>
          </w:p>
          <w:p w14:paraId="0315F246" w14:textId="53B294FB" w:rsidR="0087051E" w:rsidRPr="003F494F" w:rsidRDefault="001630D4" w:rsidP="003F494F">
            <w:pPr>
              <w:pStyle w:val="NormalWeb"/>
              <w:numPr>
                <w:ilvl w:val="0"/>
                <w:numId w:val="18"/>
              </w:numPr>
              <w:shd w:val="clear" w:color="auto" w:fill="FFFFFF"/>
              <w:spacing w:line="360" w:lineRule="auto"/>
              <w:rPr>
                <w:rFonts w:asciiTheme="minorHAnsi" w:eastAsia="Arial" w:hAnsiTheme="minorHAnsi" w:cstheme="minorHAnsi"/>
                <w:color w:val="000000"/>
                <w:kern w:val="24"/>
                <w:sz w:val="22"/>
                <w:szCs w:val="22"/>
                <w:lang w:val="de-DE"/>
              </w:rPr>
            </w:pPr>
            <w:r w:rsidRPr="003F494F">
              <w:rPr>
                <w:rFonts w:asciiTheme="minorHAnsi" w:eastAsia="Arial" w:hAnsiTheme="minorHAnsi" w:cstheme="minorHAnsi"/>
                <w:color w:val="000000"/>
                <w:kern w:val="24"/>
                <w:sz w:val="22"/>
                <w:szCs w:val="22"/>
                <w:lang w:val="de-DE"/>
              </w:rPr>
              <w:t xml:space="preserve">proteinuria&gt;50 mg/mmol </w:t>
            </w:r>
          </w:p>
          <w:p w14:paraId="15C16238" w14:textId="1410A819" w:rsidR="006645DC" w:rsidRPr="005D1469" w:rsidRDefault="001630D4" w:rsidP="003F494F">
            <w:pPr>
              <w:pStyle w:val="NormalWeb"/>
              <w:numPr>
                <w:ilvl w:val="0"/>
                <w:numId w:val="18"/>
              </w:numPr>
              <w:shd w:val="clear" w:color="auto" w:fill="FFFFFF"/>
              <w:spacing w:line="360" w:lineRule="auto"/>
              <w:rPr>
                <w:rFonts w:asciiTheme="minorHAnsi" w:eastAsia="Arial" w:hAnsiTheme="minorHAnsi" w:cstheme="minorHAnsi"/>
                <w:color w:val="000000"/>
                <w:kern w:val="24"/>
                <w:sz w:val="22"/>
                <w:szCs w:val="22"/>
              </w:rPr>
            </w:pPr>
            <w:r w:rsidRPr="005D1469">
              <w:rPr>
                <w:rFonts w:asciiTheme="minorHAnsi" w:hAnsiTheme="minorHAnsi" w:cstheme="minorHAnsi"/>
                <w:color w:val="282828"/>
                <w:sz w:val="22"/>
                <w:szCs w:val="22"/>
              </w:rPr>
              <w:t>reduced eGFR</w:t>
            </w:r>
            <w:r w:rsidR="0087051E">
              <w:rPr>
                <w:rFonts w:asciiTheme="minorHAnsi" w:hAnsiTheme="minorHAnsi" w:cstheme="minorHAnsi"/>
                <w:color w:val="282828"/>
                <w:sz w:val="22"/>
                <w:szCs w:val="22"/>
              </w:rPr>
              <w:t xml:space="preserve"> considered attributable to active disease </w:t>
            </w:r>
          </w:p>
          <w:p w14:paraId="7D2C03B1" w14:textId="2E4C17DB" w:rsidR="00601B86" w:rsidRPr="005D1469" w:rsidRDefault="001630D4" w:rsidP="003F494F">
            <w:pPr>
              <w:pStyle w:val="NormalWeb"/>
              <w:numPr>
                <w:ilvl w:val="0"/>
                <w:numId w:val="18"/>
              </w:numPr>
              <w:shd w:val="clear" w:color="auto" w:fill="FFFFFF"/>
              <w:spacing w:line="360" w:lineRule="auto"/>
              <w:rPr>
                <w:rFonts w:asciiTheme="minorHAnsi" w:eastAsia="Arial" w:hAnsiTheme="minorHAnsi" w:cstheme="minorHAnsi"/>
                <w:color w:val="000000"/>
                <w:kern w:val="24"/>
                <w:sz w:val="22"/>
                <w:szCs w:val="22"/>
              </w:rPr>
            </w:pPr>
            <w:r w:rsidRPr="005D1469">
              <w:rPr>
                <w:rFonts w:asciiTheme="minorHAnsi" w:hAnsiTheme="minorHAnsi" w:cstheme="minorHAnsi"/>
                <w:color w:val="282828"/>
                <w:sz w:val="22"/>
                <w:szCs w:val="22"/>
              </w:rPr>
              <w:t>Nephrotic syndrome (clinical signs of oedema, serum albumin &lt;30 g/L, severe proteinuria UP: UC &gt;2</w:t>
            </w:r>
            <w:r w:rsidR="00104C86">
              <w:rPr>
                <w:rFonts w:asciiTheme="minorHAnsi" w:hAnsiTheme="minorHAnsi" w:cstheme="minorHAnsi"/>
                <w:color w:val="282828"/>
                <w:sz w:val="22"/>
                <w:szCs w:val="22"/>
              </w:rPr>
              <w:t>0</w:t>
            </w:r>
            <w:r w:rsidRPr="005D1469">
              <w:rPr>
                <w:rFonts w:asciiTheme="minorHAnsi" w:hAnsiTheme="minorHAnsi" w:cstheme="minorHAnsi"/>
                <w:color w:val="282828"/>
                <w:sz w:val="22"/>
                <w:szCs w:val="22"/>
              </w:rPr>
              <w:t xml:space="preserve">0 mg/mmol). </w:t>
            </w:r>
          </w:p>
          <w:p w14:paraId="1C968980" w14:textId="7D791055" w:rsidR="00601B86" w:rsidRPr="005D1469" w:rsidRDefault="001630D4" w:rsidP="003F494F">
            <w:pPr>
              <w:pStyle w:val="NormalWeb"/>
              <w:shd w:val="clear" w:color="auto" w:fill="FFFFFF"/>
              <w:spacing w:line="360" w:lineRule="auto"/>
              <w:rPr>
                <w:rFonts w:asciiTheme="minorHAnsi" w:hAnsiTheme="minorHAnsi" w:cstheme="minorHAnsi"/>
                <w:sz w:val="22"/>
                <w:szCs w:val="22"/>
              </w:rPr>
            </w:pPr>
            <w:r w:rsidRPr="005D1469">
              <w:rPr>
                <w:rFonts w:asciiTheme="minorHAnsi" w:hAnsiTheme="minorHAnsi" w:cstheme="minorHAnsi"/>
                <w:sz w:val="22"/>
                <w:szCs w:val="22"/>
              </w:rPr>
              <w:t>The following are histological indicat</w:t>
            </w:r>
            <w:r w:rsidR="0087051E">
              <w:rPr>
                <w:rFonts w:asciiTheme="minorHAnsi" w:hAnsiTheme="minorHAnsi" w:cstheme="minorHAnsi"/>
                <w:sz w:val="22"/>
                <w:szCs w:val="22"/>
              </w:rPr>
              <w:t xml:space="preserve">ors of disease </w:t>
            </w:r>
            <w:proofErr w:type="gramStart"/>
            <w:r w:rsidR="0087051E">
              <w:rPr>
                <w:rFonts w:asciiTheme="minorHAnsi" w:hAnsiTheme="minorHAnsi" w:cstheme="minorHAnsi"/>
                <w:sz w:val="22"/>
                <w:szCs w:val="22"/>
              </w:rPr>
              <w:t>activity</w:t>
            </w:r>
            <w:r w:rsidRPr="005D1469">
              <w:rPr>
                <w:rFonts w:asciiTheme="minorHAnsi" w:hAnsiTheme="minorHAnsi" w:cstheme="minorHAnsi"/>
                <w:sz w:val="22"/>
                <w:szCs w:val="22"/>
              </w:rPr>
              <w:t>;</w:t>
            </w:r>
            <w:proofErr w:type="gramEnd"/>
            <w:r w:rsidRPr="005D1469">
              <w:rPr>
                <w:rFonts w:asciiTheme="minorHAnsi" w:hAnsiTheme="minorHAnsi" w:cstheme="minorHAnsi"/>
                <w:sz w:val="22"/>
                <w:szCs w:val="22"/>
              </w:rPr>
              <w:t xml:space="preserve"> </w:t>
            </w:r>
          </w:p>
          <w:p w14:paraId="55F62C66" w14:textId="4AE0FC67" w:rsidR="003D10C2" w:rsidRPr="00D20CBA" w:rsidRDefault="001630D4" w:rsidP="003F494F">
            <w:pPr>
              <w:pStyle w:val="NormalWeb"/>
              <w:numPr>
                <w:ilvl w:val="0"/>
                <w:numId w:val="17"/>
              </w:numPr>
              <w:shd w:val="clear" w:color="auto" w:fill="FFFFFF"/>
              <w:spacing w:line="360" w:lineRule="auto"/>
              <w:rPr>
                <w:rFonts w:asciiTheme="minorHAnsi" w:hAnsiTheme="minorHAnsi" w:cstheme="minorHAnsi"/>
                <w:sz w:val="22"/>
                <w:szCs w:val="22"/>
              </w:rPr>
            </w:pPr>
            <w:r w:rsidRPr="005D1469">
              <w:rPr>
                <w:rFonts w:asciiTheme="minorHAnsi" w:hAnsiTheme="minorHAnsi" w:cstheme="minorHAnsi"/>
                <w:sz w:val="22"/>
                <w:szCs w:val="22"/>
              </w:rPr>
              <w:t>Mesangial hypercellularity of &gt;50% glomeruli (M1), presence of endocapillary hypercellularity (E1) or cellular crescents in at least one glomerulus (C1 or C2)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60122856" w14:textId="6DB16ED8" w:rsidR="00601B86" w:rsidRPr="00D20CBA" w:rsidRDefault="001630D4" w:rsidP="003F494F">
            <w:pPr>
              <w:spacing w:before="240" w:line="360" w:lineRule="auto"/>
              <w:jc w:val="center"/>
              <w:rPr>
                <w:rFonts w:eastAsia="Arial" w:cstheme="minorHAnsi"/>
                <w:b/>
                <w:bCs/>
                <w:sz w:val="22"/>
                <w:szCs w:val="22"/>
                <w:lang w:val="en" w:eastAsia="en-GB"/>
              </w:rPr>
            </w:pPr>
            <w:r w:rsidRPr="00D20CBA">
              <w:rPr>
                <w:rFonts w:eastAsia="Arial" w:cstheme="minorHAnsi"/>
                <w:b/>
                <w:bCs/>
                <w:sz w:val="22"/>
                <w:szCs w:val="22"/>
                <w:lang w:val="en" w:eastAsia="en-GB"/>
              </w:rPr>
              <w:t>2C</w:t>
            </w:r>
          </w:p>
        </w:tc>
      </w:tr>
      <w:tr w:rsidR="00837E18" w14:paraId="7121F705" w14:textId="77777777" w:rsidTr="00C00DD6">
        <w:trPr>
          <w:trHeight w:val="915"/>
        </w:trPr>
        <w:tc>
          <w:tcPr>
            <w:tcW w:w="117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0A6A0D89" w14:textId="050A3B7A" w:rsidR="00D20CBA" w:rsidRDefault="001630D4" w:rsidP="003F494F">
            <w:pPr>
              <w:spacing w:before="240" w:line="360" w:lineRule="auto"/>
              <w:jc w:val="center"/>
              <w:rPr>
                <w:rFonts w:eastAsia="Arial" w:cstheme="minorHAnsi"/>
                <w:sz w:val="22"/>
                <w:szCs w:val="22"/>
                <w:lang w:val="en" w:eastAsia="en-GB"/>
              </w:rPr>
            </w:pPr>
            <w:proofErr w:type="spellStart"/>
            <w:r>
              <w:rPr>
                <w:rFonts w:eastAsia="Arial" w:cstheme="minorHAnsi"/>
                <w:sz w:val="22"/>
                <w:szCs w:val="22"/>
                <w:lang w:val="en" w:eastAsia="en-GB"/>
              </w:rPr>
              <w:t>IgA</w:t>
            </w:r>
            <w:r w:rsidR="00857A64">
              <w:rPr>
                <w:rFonts w:eastAsia="Arial" w:cstheme="minorHAnsi"/>
                <w:sz w:val="22"/>
                <w:szCs w:val="22"/>
                <w:lang w:val="en" w:eastAsia="en-GB"/>
              </w:rPr>
              <w:t>N</w:t>
            </w:r>
            <w:proofErr w:type="spellEnd"/>
            <w:r>
              <w:rPr>
                <w:rFonts w:eastAsia="Arial" w:cstheme="minorHAnsi"/>
                <w:sz w:val="22"/>
                <w:szCs w:val="22"/>
                <w:lang w:val="en" w:eastAsia="en-GB"/>
              </w:rPr>
              <w:t xml:space="preserve"> 2.</w:t>
            </w:r>
            <w:r w:rsidR="003C5A57">
              <w:rPr>
                <w:rFonts w:eastAsia="Arial" w:cstheme="minorHAnsi"/>
                <w:sz w:val="22"/>
                <w:szCs w:val="22"/>
                <w:lang w:val="en" w:eastAsia="en-GB"/>
              </w:rPr>
              <w:t>3</w:t>
            </w:r>
          </w:p>
        </w:tc>
        <w:tc>
          <w:tcPr>
            <w:tcW w:w="7897"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27EFD890" w14:textId="535E02F1" w:rsidR="00D20CBA" w:rsidRDefault="001630D4" w:rsidP="003F494F">
            <w:pPr>
              <w:spacing w:line="360" w:lineRule="auto"/>
              <w:jc w:val="both"/>
              <w:rPr>
                <w:rFonts w:cstheme="minorHAnsi"/>
                <w:sz w:val="22"/>
                <w:szCs w:val="22"/>
              </w:rPr>
            </w:pPr>
            <w:r w:rsidRPr="00D20CBA">
              <w:rPr>
                <w:rFonts w:cstheme="minorHAnsi"/>
                <w:sz w:val="22"/>
                <w:szCs w:val="22"/>
                <w:u w:val="single"/>
              </w:rPr>
              <w:t>We suggest</w:t>
            </w:r>
            <w:r>
              <w:rPr>
                <w:rFonts w:cstheme="minorHAnsi"/>
                <w:sz w:val="22"/>
                <w:szCs w:val="22"/>
              </w:rPr>
              <w:t xml:space="preserve"> the use of the online International </w:t>
            </w:r>
            <w:proofErr w:type="spellStart"/>
            <w:r w:rsidRPr="00D20CBA">
              <w:rPr>
                <w:rFonts w:cstheme="minorHAnsi"/>
                <w:sz w:val="22"/>
                <w:szCs w:val="22"/>
              </w:rPr>
              <w:t>IgAN</w:t>
            </w:r>
            <w:proofErr w:type="spellEnd"/>
            <w:r w:rsidRPr="00D20CBA">
              <w:rPr>
                <w:rFonts w:cstheme="minorHAnsi"/>
                <w:sz w:val="22"/>
                <w:szCs w:val="22"/>
              </w:rPr>
              <w:t xml:space="preserve"> prediction tool at</w:t>
            </w:r>
            <w:r>
              <w:rPr>
                <w:rFonts w:cstheme="minorHAnsi"/>
                <w:sz w:val="22"/>
                <w:szCs w:val="22"/>
              </w:rPr>
              <w:t xml:space="preserve"> biopsy to inform long term outcome discussions and treatment decisions. </w:t>
            </w:r>
          </w:p>
          <w:p w14:paraId="219607A7" w14:textId="6D27B8F7" w:rsidR="00D20CBA" w:rsidRPr="00C00DD6" w:rsidRDefault="001630D4" w:rsidP="003F494F">
            <w:pPr>
              <w:spacing w:line="360" w:lineRule="auto"/>
              <w:jc w:val="both"/>
              <w:rPr>
                <w:rFonts w:eastAsia="Arial" w:cstheme="minorHAnsi"/>
                <w:color w:val="000000"/>
                <w:kern w:val="24"/>
                <w:sz w:val="22"/>
                <w:szCs w:val="22"/>
                <w:u w:val="single"/>
                <w:lang w:eastAsia="en-GB"/>
              </w:rPr>
            </w:pPr>
            <w:r>
              <w:rPr>
                <w:rFonts w:cstheme="minorHAnsi"/>
                <w:sz w:val="22"/>
                <w:szCs w:val="22"/>
              </w:rPr>
              <w:lastRenderedPageBreak/>
              <w:t>(</w:t>
            </w:r>
            <w:r w:rsidRPr="00D20CBA">
              <w:rPr>
                <w:rFonts w:cstheme="minorHAnsi"/>
                <w:sz w:val="22"/>
                <w:szCs w:val="22"/>
              </w:rPr>
              <w:t>https://qxmd.com/calculate/calculator_713/international-igan-prediction-tool-at-biopsy-pediatrics</w:t>
            </w:r>
            <w:r>
              <w:rPr>
                <w:rFonts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13B06511" w14:textId="135D0E8D" w:rsidR="00D20CBA" w:rsidRPr="00D20CBA" w:rsidRDefault="001630D4" w:rsidP="003F494F">
            <w:pPr>
              <w:spacing w:before="240" w:line="360" w:lineRule="auto"/>
              <w:jc w:val="center"/>
              <w:rPr>
                <w:rFonts w:eastAsia="Arial" w:cstheme="minorHAnsi"/>
                <w:b/>
                <w:bCs/>
                <w:sz w:val="22"/>
                <w:szCs w:val="22"/>
                <w:lang w:val="en" w:eastAsia="en-GB"/>
              </w:rPr>
            </w:pPr>
            <w:r w:rsidRPr="00D20CBA">
              <w:rPr>
                <w:rFonts w:eastAsia="Arial" w:cstheme="minorHAnsi"/>
                <w:b/>
                <w:bCs/>
                <w:sz w:val="22"/>
                <w:szCs w:val="22"/>
                <w:lang w:val="en" w:eastAsia="en-GB"/>
              </w:rPr>
              <w:lastRenderedPageBreak/>
              <w:t>2D</w:t>
            </w:r>
          </w:p>
        </w:tc>
      </w:tr>
      <w:tr w:rsidR="00837E18" w14:paraId="41D60405" w14:textId="77777777" w:rsidTr="00C00DD6">
        <w:trPr>
          <w:trHeight w:val="915"/>
        </w:trPr>
        <w:tc>
          <w:tcPr>
            <w:tcW w:w="117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5912388E" w14:textId="74986613" w:rsidR="00601B86" w:rsidRPr="00C00DD6" w:rsidRDefault="001630D4" w:rsidP="003F494F">
            <w:pPr>
              <w:spacing w:before="240" w:line="360" w:lineRule="auto"/>
              <w:jc w:val="center"/>
              <w:rPr>
                <w:rFonts w:eastAsia="Arial" w:cstheme="minorHAnsi"/>
                <w:sz w:val="22"/>
                <w:szCs w:val="22"/>
                <w:lang w:val="en" w:eastAsia="en-GB"/>
              </w:rPr>
            </w:pPr>
            <w:proofErr w:type="spellStart"/>
            <w:r>
              <w:rPr>
                <w:rFonts w:eastAsia="Arial" w:cstheme="minorHAnsi"/>
                <w:sz w:val="22"/>
                <w:szCs w:val="22"/>
                <w:lang w:val="en" w:eastAsia="en-GB"/>
              </w:rPr>
              <w:t>IgA</w:t>
            </w:r>
            <w:r w:rsidR="00857A64">
              <w:rPr>
                <w:rFonts w:eastAsia="Arial" w:cstheme="minorHAnsi"/>
                <w:sz w:val="22"/>
                <w:szCs w:val="22"/>
                <w:lang w:val="en" w:eastAsia="en-GB"/>
              </w:rPr>
              <w:t>N</w:t>
            </w:r>
            <w:proofErr w:type="spellEnd"/>
            <w:r>
              <w:rPr>
                <w:rFonts w:eastAsia="Arial" w:cstheme="minorHAnsi"/>
                <w:sz w:val="22"/>
                <w:szCs w:val="22"/>
                <w:lang w:val="en" w:eastAsia="en-GB"/>
              </w:rPr>
              <w:t xml:space="preserve"> </w:t>
            </w:r>
            <w:r w:rsidR="005D1469">
              <w:rPr>
                <w:rFonts w:eastAsia="Arial" w:cstheme="minorHAnsi"/>
                <w:sz w:val="22"/>
                <w:szCs w:val="22"/>
                <w:lang w:val="en" w:eastAsia="en-GB"/>
              </w:rPr>
              <w:t>2.</w:t>
            </w:r>
            <w:r w:rsidR="003C5A57">
              <w:rPr>
                <w:rFonts w:eastAsia="Arial" w:cstheme="minorHAnsi"/>
                <w:sz w:val="22"/>
                <w:szCs w:val="22"/>
                <w:lang w:val="en" w:eastAsia="en-GB"/>
              </w:rPr>
              <w:t>4</w:t>
            </w:r>
          </w:p>
        </w:tc>
        <w:tc>
          <w:tcPr>
            <w:tcW w:w="7897"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5F99606B" w14:textId="17A7A492" w:rsidR="00601B86" w:rsidRPr="000A3A89" w:rsidRDefault="001630D4" w:rsidP="003F494F">
            <w:pPr>
              <w:spacing w:line="360" w:lineRule="auto"/>
              <w:jc w:val="both"/>
              <w:rPr>
                <w:rFonts w:eastAsia="Arial" w:cstheme="minorHAnsi"/>
                <w:color w:val="000000"/>
                <w:kern w:val="24"/>
                <w:sz w:val="22"/>
                <w:szCs w:val="22"/>
                <w:lang w:eastAsia="en-GB"/>
              </w:rPr>
            </w:pPr>
            <w:r w:rsidRPr="00C00DD6">
              <w:rPr>
                <w:rFonts w:eastAsia="Arial" w:cstheme="minorHAnsi"/>
                <w:color w:val="000000"/>
                <w:kern w:val="24"/>
                <w:sz w:val="22"/>
                <w:szCs w:val="22"/>
                <w:u w:val="single"/>
                <w:lang w:eastAsia="en-GB"/>
              </w:rPr>
              <w:t>We suggest</w:t>
            </w:r>
            <w:r w:rsidRPr="00C00DD6">
              <w:rPr>
                <w:rFonts w:eastAsia="Arial" w:cstheme="minorHAnsi"/>
                <w:color w:val="000000"/>
                <w:kern w:val="24"/>
                <w:sz w:val="22"/>
                <w:szCs w:val="22"/>
                <w:lang w:eastAsia="en-GB"/>
              </w:rPr>
              <w:t xml:space="preserve"> that </w:t>
            </w:r>
            <w:r w:rsidR="0087051E">
              <w:rPr>
                <w:rFonts w:eastAsia="Arial" w:cstheme="minorHAnsi"/>
                <w:color w:val="000000"/>
                <w:kern w:val="24"/>
                <w:sz w:val="22"/>
                <w:szCs w:val="22"/>
                <w:lang w:eastAsia="en-GB"/>
              </w:rPr>
              <w:t xml:space="preserve">children with </w:t>
            </w:r>
            <w:r w:rsidRPr="00C00DD6">
              <w:rPr>
                <w:rFonts w:eastAsia="Arial" w:cstheme="minorHAnsi"/>
                <w:color w:val="000000"/>
                <w:kern w:val="24"/>
                <w:sz w:val="22"/>
                <w:szCs w:val="22"/>
                <w:lang w:eastAsia="en-GB"/>
              </w:rPr>
              <w:t xml:space="preserve">biopsy proven </w:t>
            </w:r>
            <w:proofErr w:type="spellStart"/>
            <w:r w:rsidRPr="00C00DD6">
              <w:rPr>
                <w:rFonts w:eastAsia="Arial" w:cstheme="minorHAnsi"/>
                <w:color w:val="000000"/>
                <w:kern w:val="24"/>
                <w:sz w:val="22"/>
                <w:szCs w:val="22"/>
                <w:lang w:eastAsia="en-GB"/>
              </w:rPr>
              <w:t>IgAN</w:t>
            </w:r>
            <w:proofErr w:type="spellEnd"/>
            <w:r w:rsidRPr="00C00DD6">
              <w:rPr>
                <w:rFonts w:eastAsia="Arial" w:cstheme="minorHAnsi"/>
                <w:color w:val="000000"/>
                <w:kern w:val="24"/>
                <w:sz w:val="22"/>
                <w:szCs w:val="22"/>
                <w:lang w:eastAsia="en-GB"/>
              </w:rPr>
              <w:t xml:space="preserve"> </w:t>
            </w:r>
            <w:r w:rsidR="0087051E">
              <w:rPr>
                <w:rFonts w:eastAsia="Arial" w:cstheme="minorHAnsi"/>
                <w:color w:val="000000"/>
                <w:kern w:val="24"/>
                <w:sz w:val="22"/>
                <w:szCs w:val="22"/>
                <w:lang w:eastAsia="en-GB"/>
              </w:rPr>
              <w:t>and</w:t>
            </w:r>
            <w:r w:rsidR="005D1469">
              <w:rPr>
                <w:rFonts w:eastAsia="Arial" w:cstheme="minorHAnsi"/>
                <w:color w:val="000000"/>
                <w:kern w:val="24"/>
                <w:sz w:val="22"/>
                <w:szCs w:val="22"/>
                <w:lang w:eastAsia="en-GB"/>
              </w:rPr>
              <w:t xml:space="preserve"> </w:t>
            </w:r>
            <w:r w:rsidR="0087051E">
              <w:rPr>
                <w:rFonts w:eastAsia="Arial" w:cstheme="minorHAnsi"/>
                <w:color w:val="000000"/>
                <w:kern w:val="24"/>
                <w:sz w:val="22"/>
                <w:szCs w:val="22"/>
                <w:lang w:eastAsia="en-GB"/>
              </w:rPr>
              <w:t>features consistent with active disease</w:t>
            </w:r>
            <w:r w:rsidRPr="00C00DD6">
              <w:rPr>
                <w:rFonts w:eastAsia="Arial" w:cstheme="minorHAnsi"/>
                <w:color w:val="000000"/>
                <w:kern w:val="24"/>
                <w:sz w:val="22"/>
                <w:szCs w:val="22"/>
                <w:lang w:eastAsia="en-GB"/>
              </w:rPr>
              <w:t xml:space="preserve"> </w:t>
            </w:r>
            <w:r w:rsidR="0087051E">
              <w:rPr>
                <w:rFonts w:eastAsia="Arial" w:cstheme="minorHAnsi"/>
                <w:color w:val="000000"/>
                <w:kern w:val="24"/>
                <w:sz w:val="22"/>
                <w:szCs w:val="22"/>
                <w:lang w:eastAsia="en-GB"/>
              </w:rPr>
              <w:t>are</w:t>
            </w:r>
            <w:r w:rsidRPr="00C00DD6">
              <w:rPr>
                <w:rFonts w:eastAsia="Arial" w:cstheme="minorHAnsi"/>
                <w:color w:val="000000"/>
                <w:kern w:val="24"/>
                <w:sz w:val="22"/>
                <w:szCs w:val="22"/>
                <w:lang w:eastAsia="en-GB"/>
              </w:rPr>
              <w:t xml:space="preserve"> treated with </w:t>
            </w:r>
            <w:r w:rsidRPr="000A3A89">
              <w:rPr>
                <w:rFonts w:eastAsia="Arial" w:cstheme="minorHAnsi"/>
                <w:color w:val="000000"/>
                <w:kern w:val="24"/>
                <w:sz w:val="22"/>
                <w:szCs w:val="22"/>
                <w:lang w:eastAsia="en-GB"/>
              </w:rPr>
              <w:t>immunosuppressive treatment using either</w:t>
            </w:r>
            <w:r w:rsidR="00D20CBA" w:rsidRPr="000A3A89">
              <w:rPr>
                <w:rFonts w:eastAsia="Arial" w:cstheme="minorHAnsi"/>
                <w:color w:val="000000"/>
                <w:kern w:val="24"/>
                <w:sz w:val="22"/>
                <w:szCs w:val="22"/>
                <w:lang w:eastAsia="en-GB"/>
              </w:rPr>
              <w:t xml:space="preserve"> or both of the </w:t>
            </w:r>
            <w:proofErr w:type="gramStart"/>
            <w:r w:rsidR="00D20CBA" w:rsidRPr="000A3A89">
              <w:rPr>
                <w:rFonts w:eastAsia="Arial" w:cstheme="minorHAnsi"/>
                <w:color w:val="000000"/>
                <w:kern w:val="24"/>
                <w:sz w:val="22"/>
                <w:szCs w:val="22"/>
                <w:lang w:eastAsia="en-GB"/>
              </w:rPr>
              <w:t>following</w:t>
            </w:r>
            <w:r w:rsidRPr="000A3A89">
              <w:rPr>
                <w:rFonts w:eastAsia="Arial" w:cstheme="minorHAnsi"/>
                <w:color w:val="000000"/>
                <w:kern w:val="24"/>
                <w:sz w:val="22"/>
                <w:szCs w:val="22"/>
                <w:lang w:eastAsia="en-GB"/>
              </w:rPr>
              <w:t>;</w:t>
            </w:r>
            <w:proofErr w:type="gramEnd"/>
            <w:r w:rsidRPr="000A3A89">
              <w:rPr>
                <w:rFonts w:eastAsia="Arial" w:cstheme="minorHAnsi"/>
                <w:color w:val="000000"/>
                <w:kern w:val="24"/>
                <w:sz w:val="22"/>
                <w:szCs w:val="22"/>
                <w:lang w:eastAsia="en-GB"/>
              </w:rPr>
              <w:t xml:space="preserve"> </w:t>
            </w:r>
          </w:p>
          <w:p w14:paraId="5CEB94EC" w14:textId="433702C8" w:rsidR="005D1469" w:rsidRPr="000A3A89" w:rsidRDefault="001630D4" w:rsidP="003F494F">
            <w:pPr>
              <w:pStyle w:val="ListParagraph"/>
              <w:numPr>
                <w:ilvl w:val="0"/>
                <w:numId w:val="30"/>
              </w:numPr>
              <w:spacing w:line="360" w:lineRule="auto"/>
              <w:jc w:val="both"/>
              <w:rPr>
                <w:rFonts w:cstheme="minorHAnsi"/>
                <w:sz w:val="22"/>
                <w:szCs w:val="22"/>
              </w:rPr>
            </w:pPr>
            <w:r w:rsidRPr="000A3A89">
              <w:rPr>
                <w:rFonts w:eastAsia="Arial" w:cstheme="minorHAnsi"/>
                <w:color w:val="000000"/>
                <w:kern w:val="24"/>
                <w:sz w:val="22"/>
                <w:szCs w:val="22"/>
                <w:lang w:eastAsia="en-GB"/>
              </w:rPr>
              <w:t>O</w:t>
            </w:r>
            <w:r w:rsidR="00601B86" w:rsidRPr="000A3A89">
              <w:rPr>
                <w:rFonts w:eastAsia="Arial" w:cstheme="minorHAnsi"/>
                <w:color w:val="000000"/>
                <w:kern w:val="24"/>
                <w:sz w:val="22"/>
                <w:szCs w:val="22"/>
                <w:lang w:eastAsia="en-GB"/>
              </w:rPr>
              <w:t>ral prednisone</w:t>
            </w:r>
            <w:r w:rsidR="00D20CBA" w:rsidRPr="000A3A89">
              <w:rPr>
                <w:rFonts w:cstheme="minorHAnsi"/>
                <w:sz w:val="22"/>
                <w:szCs w:val="22"/>
              </w:rPr>
              <w:t>.</w:t>
            </w:r>
          </w:p>
          <w:p w14:paraId="2B1079BA" w14:textId="0AC0D26C" w:rsidR="00441F6A" w:rsidRPr="003F494F" w:rsidRDefault="001630D4" w:rsidP="003F494F">
            <w:pPr>
              <w:pStyle w:val="ListParagraph"/>
              <w:numPr>
                <w:ilvl w:val="0"/>
                <w:numId w:val="30"/>
              </w:numPr>
              <w:spacing w:line="360" w:lineRule="auto"/>
              <w:jc w:val="both"/>
              <w:rPr>
                <w:rFonts w:cstheme="minorHAnsi"/>
                <w:sz w:val="22"/>
                <w:szCs w:val="22"/>
              </w:rPr>
            </w:pPr>
            <w:r w:rsidRPr="000A3A89">
              <w:rPr>
                <w:rFonts w:eastAsia="Arial" w:cstheme="minorHAnsi"/>
                <w:color w:val="000000"/>
                <w:kern w:val="24"/>
                <w:sz w:val="22"/>
                <w:szCs w:val="22"/>
              </w:rPr>
              <w:t xml:space="preserve">Oral </w:t>
            </w:r>
            <w:r w:rsidR="003C5A57">
              <w:rPr>
                <w:rFonts w:eastAsia="Arial" w:cstheme="minorHAnsi"/>
                <w:color w:val="000000"/>
                <w:kern w:val="24"/>
                <w:sz w:val="22"/>
                <w:szCs w:val="22"/>
              </w:rPr>
              <w:t>MMF or tacrolimus</w:t>
            </w:r>
            <w:r w:rsidR="00104C86">
              <w:rPr>
                <w:rFonts w:eastAsia="Arial" w:cstheme="minorHAnsi"/>
                <w:color w:val="000000"/>
                <w:kern w:val="24"/>
                <w:sz w:val="22"/>
                <w:szCs w:val="22"/>
              </w:rPr>
              <w:t xml:space="preserve"> (preferred CNI)</w:t>
            </w:r>
            <w:r w:rsidR="00D20CBA" w:rsidRPr="000A3A89">
              <w:rPr>
                <w:rFonts w:eastAsia="Arial" w:cstheme="minorHAnsi"/>
                <w:color w:val="000000"/>
                <w:kern w:val="24"/>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321A9BC1" w14:textId="791D7832" w:rsidR="00601B86" w:rsidRPr="00D20CBA" w:rsidRDefault="001630D4" w:rsidP="003F494F">
            <w:pPr>
              <w:spacing w:before="240" w:line="360" w:lineRule="auto"/>
              <w:jc w:val="center"/>
              <w:rPr>
                <w:rFonts w:eastAsia="Arial" w:cstheme="minorHAnsi"/>
                <w:b/>
                <w:bCs/>
                <w:sz w:val="22"/>
                <w:szCs w:val="22"/>
                <w:lang w:val="en" w:eastAsia="en-GB"/>
              </w:rPr>
            </w:pPr>
            <w:r w:rsidRPr="00D20CBA">
              <w:rPr>
                <w:rFonts w:eastAsia="Arial" w:cstheme="minorHAnsi"/>
                <w:b/>
                <w:bCs/>
                <w:sz w:val="22"/>
                <w:szCs w:val="22"/>
                <w:lang w:val="en" w:eastAsia="en-GB"/>
              </w:rPr>
              <w:t>2C</w:t>
            </w:r>
          </w:p>
        </w:tc>
      </w:tr>
      <w:tr w:rsidR="00837E18" w14:paraId="2903A444" w14:textId="77777777" w:rsidTr="00C00DD6">
        <w:trPr>
          <w:trHeight w:val="915"/>
        </w:trPr>
        <w:tc>
          <w:tcPr>
            <w:tcW w:w="117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011FBE7C" w14:textId="078B03F2" w:rsidR="00601B86" w:rsidRPr="00C00DD6" w:rsidRDefault="001630D4" w:rsidP="003F494F">
            <w:pPr>
              <w:spacing w:before="240" w:line="360" w:lineRule="auto"/>
              <w:jc w:val="center"/>
              <w:rPr>
                <w:rFonts w:eastAsia="Arial" w:cstheme="minorHAnsi"/>
                <w:sz w:val="22"/>
                <w:szCs w:val="22"/>
                <w:lang w:val="en" w:eastAsia="en-GB"/>
              </w:rPr>
            </w:pPr>
            <w:proofErr w:type="spellStart"/>
            <w:r>
              <w:rPr>
                <w:rFonts w:eastAsia="Arial" w:cstheme="minorHAnsi"/>
                <w:sz w:val="22"/>
                <w:szCs w:val="22"/>
                <w:lang w:val="en" w:eastAsia="en-GB"/>
              </w:rPr>
              <w:t>IgA</w:t>
            </w:r>
            <w:r w:rsidR="00857A64">
              <w:rPr>
                <w:rFonts w:eastAsia="Arial" w:cstheme="minorHAnsi"/>
                <w:sz w:val="22"/>
                <w:szCs w:val="22"/>
                <w:lang w:val="en" w:eastAsia="en-GB"/>
              </w:rPr>
              <w:t>N</w:t>
            </w:r>
            <w:proofErr w:type="spellEnd"/>
            <w:r>
              <w:rPr>
                <w:rFonts w:eastAsia="Arial" w:cstheme="minorHAnsi"/>
                <w:sz w:val="22"/>
                <w:szCs w:val="22"/>
                <w:lang w:val="en" w:eastAsia="en-GB"/>
              </w:rPr>
              <w:t xml:space="preserve"> </w:t>
            </w:r>
            <w:r w:rsidR="005D1469">
              <w:rPr>
                <w:rFonts w:eastAsia="Arial" w:cstheme="minorHAnsi"/>
                <w:sz w:val="22"/>
                <w:szCs w:val="22"/>
                <w:lang w:val="en" w:eastAsia="en-GB"/>
              </w:rPr>
              <w:t>2.</w:t>
            </w:r>
            <w:r w:rsidR="003C5A57">
              <w:rPr>
                <w:rFonts w:eastAsia="Arial" w:cstheme="minorHAnsi"/>
                <w:sz w:val="22"/>
                <w:szCs w:val="22"/>
                <w:lang w:val="en" w:eastAsia="en-GB"/>
              </w:rPr>
              <w:t>5</w:t>
            </w:r>
          </w:p>
        </w:tc>
        <w:tc>
          <w:tcPr>
            <w:tcW w:w="7897"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39DB472E" w14:textId="7B230C70" w:rsidR="00601B86" w:rsidRPr="00C00DD6" w:rsidRDefault="001630D4" w:rsidP="003F494F">
            <w:pPr>
              <w:spacing w:line="360" w:lineRule="auto"/>
              <w:jc w:val="both"/>
              <w:rPr>
                <w:rFonts w:eastAsia="Arial" w:cstheme="minorHAnsi"/>
                <w:color w:val="000000"/>
                <w:kern w:val="24"/>
                <w:sz w:val="22"/>
                <w:szCs w:val="22"/>
                <w:u w:val="single"/>
                <w:lang w:eastAsia="en-GB"/>
              </w:rPr>
            </w:pPr>
            <w:r w:rsidRPr="00C00DD6">
              <w:rPr>
                <w:rFonts w:eastAsiaTheme="minorEastAsia" w:cstheme="minorHAnsi"/>
                <w:color w:val="000000" w:themeColor="text1"/>
                <w:kern w:val="24"/>
                <w:sz w:val="22"/>
                <w:szCs w:val="22"/>
                <w:u w:val="single"/>
                <w:lang w:eastAsia="en-GB"/>
              </w:rPr>
              <w:t>We suggest</w:t>
            </w:r>
            <w:r w:rsidRPr="00C00DD6">
              <w:rPr>
                <w:rFonts w:eastAsiaTheme="minorEastAsia" w:cstheme="minorHAnsi"/>
                <w:color w:val="000000" w:themeColor="text1"/>
                <w:kern w:val="24"/>
                <w:sz w:val="22"/>
                <w:szCs w:val="22"/>
                <w:lang w:eastAsia="en-GB"/>
              </w:rPr>
              <w:t xml:space="preserve"> </w:t>
            </w:r>
            <w:r w:rsidR="005D1469">
              <w:rPr>
                <w:rFonts w:eastAsiaTheme="minorEastAsia" w:cstheme="minorHAnsi"/>
                <w:color w:val="000000" w:themeColor="text1"/>
                <w:kern w:val="24"/>
                <w:sz w:val="22"/>
                <w:szCs w:val="22"/>
                <w:lang w:eastAsia="en-GB"/>
              </w:rPr>
              <w:t>using</w:t>
            </w:r>
            <w:r w:rsidRPr="00C00DD6">
              <w:rPr>
                <w:rFonts w:eastAsiaTheme="minorEastAsia" w:cstheme="minorHAnsi"/>
                <w:color w:val="000000" w:themeColor="text1"/>
                <w:kern w:val="24"/>
                <w:sz w:val="22"/>
                <w:szCs w:val="22"/>
                <w:lang w:eastAsia="en-GB"/>
              </w:rPr>
              <w:t xml:space="preserve"> </w:t>
            </w:r>
            <w:r w:rsidR="00D20CBA">
              <w:rPr>
                <w:rFonts w:eastAsiaTheme="minorEastAsia" w:cstheme="minorHAnsi"/>
                <w:color w:val="000000" w:themeColor="text1"/>
                <w:kern w:val="24"/>
                <w:sz w:val="22"/>
                <w:szCs w:val="22"/>
                <w:lang w:eastAsia="en-GB"/>
              </w:rPr>
              <w:t xml:space="preserve">both </w:t>
            </w:r>
            <w:r w:rsidRPr="00C00DD6">
              <w:rPr>
                <w:rFonts w:eastAsiaTheme="minorEastAsia" w:cstheme="minorHAnsi"/>
                <w:color w:val="000000" w:themeColor="text1"/>
                <w:kern w:val="24"/>
                <w:sz w:val="22"/>
                <w:szCs w:val="22"/>
                <w:lang w:eastAsia="en-GB"/>
              </w:rPr>
              <w:t>oral prednisolone and</w:t>
            </w:r>
            <w:r w:rsidR="00441F6A">
              <w:rPr>
                <w:rFonts w:eastAsiaTheme="minorEastAsia" w:cstheme="minorHAnsi"/>
                <w:color w:val="000000" w:themeColor="text1"/>
                <w:kern w:val="24"/>
                <w:sz w:val="22"/>
                <w:szCs w:val="22"/>
                <w:lang w:eastAsia="en-GB"/>
              </w:rPr>
              <w:t xml:space="preserve"> an immunosuppressive agent such as tacrolimus or MMF</w:t>
            </w:r>
            <w:r w:rsidRPr="00C00DD6">
              <w:rPr>
                <w:rFonts w:eastAsiaTheme="minorEastAsia" w:cstheme="minorHAnsi"/>
                <w:color w:val="000000" w:themeColor="text1"/>
                <w:kern w:val="24"/>
                <w:sz w:val="22"/>
                <w:szCs w:val="22"/>
                <w:lang w:eastAsia="en-GB"/>
              </w:rPr>
              <w:t xml:space="preserve"> if there is poor response </w:t>
            </w:r>
            <w:r w:rsidR="005D1469">
              <w:rPr>
                <w:rFonts w:eastAsiaTheme="minorEastAsia" w:cstheme="minorHAnsi"/>
                <w:color w:val="000000" w:themeColor="text1"/>
                <w:kern w:val="24"/>
                <w:sz w:val="22"/>
                <w:szCs w:val="22"/>
                <w:lang w:eastAsia="en-GB"/>
              </w:rPr>
              <w:t xml:space="preserve">to </w:t>
            </w:r>
            <w:r w:rsidR="00D20CBA">
              <w:rPr>
                <w:rFonts w:eastAsiaTheme="minorEastAsia" w:cstheme="minorHAnsi"/>
                <w:color w:val="000000" w:themeColor="text1"/>
                <w:kern w:val="24"/>
                <w:sz w:val="22"/>
                <w:szCs w:val="22"/>
                <w:lang w:eastAsia="en-GB"/>
              </w:rPr>
              <w:t>one agent</w:t>
            </w:r>
            <w:r w:rsidR="005D1469">
              <w:rPr>
                <w:rFonts w:eastAsiaTheme="minorEastAsia" w:cstheme="minorHAnsi"/>
                <w:color w:val="000000" w:themeColor="text1"/>
                <w:kern w:val="24"/>
                <w:sz w:val="22"/>
                <w:szCs w:val="22"/>
                <w:lang w:eastAsia="en-GB"/>
              </w:rPr>
              <w:t xml:space="preserve"> </w:t>
            </w:r>
            <w:r w:rsidRPr="00C00DD6">
              <w:rPr>
                <w:rFonts w:eastAsiaTheme="minorEastAsia" w:cstheme="minorHAnsi"/>
                <w:color w:val="000000" w:themeColor="text1"/>
                <w:kern w:val="24"/>
                <w:sz w:val="22"/>
                <w:szCs w:val="22"/>
                <w:lang w:eastAsia="en-GB"/>
              </w:rPr>
              <w:t>or</w:t>
            </w:r>
            <w:r w:rsidR="005D1469">
              <w:rPr>
                <w:rFonts w:eastAsiaTheme="minorEastAsia" w:cstheme="minorHAnsi"/>
                <w:color w:val="000000" w:themeColor="text1"/>
                <w:kern w:val="24"/>
                <w:sz w:val="22"/>
                <w:szCs w:val="22"/>
                <w:lang w:eastAsia="en-GB"/>
              </w:rPr>
              <w:t xml:space="preserve"> as a steroid sparing management</w:t>
            </w:r>
            <w:r w:rsidR="0087051E">
              <w:rPr>
                <w:rFonts w:eastAsiaTheme="minorEastAsia" w:cstheme="minorHAnsi"/>
                <w:color w:val="000000" w:themeColor="text1"/>
                <w:kern w:val="24"/>
                <w:sz w:val="22"/>
                <w:szCs w:val="22"/>
                <w:lang w:eastAsia="en-GB"/>
              </w:rPr>
              <w:t xml:space="preserve"> strategy</w:t>
            </w:r>
            <w:r w:rsidR="005D1469">
              <w:rPr>
                <w:rFonts w:eastAsiaTheme="minorEastAsia" w:cstheme="minorHAnsi"/>
                <w:color w:val="000000" w:themeColor="text1"/>
                <w:kern w:val="24"/>
                <w:sz w:val="22"/>
                <w:szCs w:val="22"/>
                <w:lang w:eastAsia="en-GB"/>
              </w:rPr>
              <w: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2C468907" w14:textId="5A83ADC8" w:rsidR="00601B86" w:rsidRPr="00D20CBA" w:rsidRDefault="001630D4" w:rsidP="003F494F">
            <w:pPr>
              <w:spacing w:before="240" w:line="360" w:lineRule="auto"/>
              <w:jc w:val="center"/>
              <w:rPr>
                <w:rFonts w:eastAsia="Arial" w:cstheme="minorHAnsi"/>
                <w:b/>
                <w:bCs/>
                <w:sz w:val="22"/>
                <w:szCs w:val="22"/>
                <w:lang w:val="en" w:eastAsia="en-GB"/>
              </w:rPr>
            </w:pPr>
            <w:r w:rsidRPr="00D20CBA">
              <w:rPr>
                <w:rFonts w:eastAsia="Arial" w:cstheme="minorHAnsi"/>
                <w:b/>
                <w:bCs/>
                <w:sz w:val="22"/>
                <w:szCs w:val="22"/>
                <w:lang w:val="en" w:eastAsia="en-GB"/>
              </w:rPr>
              <w:t>2D</w:t>
            </w:r>
          </w:p>
        </w:tc>
      </w:tr>
      <w:tr w:rsidR="00837E18" w14:paraId="117F0259" w14:textId="77777777" w:rsidTr="00C00DD6">
        <w:trPr>
          <w:trHeight w:val="915"/>
        </w:trPr>
        <w:tc>
          <w:tcPr>
            <w:tcW w:w="117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76E1B642" w14:textId="0AA1275E" w:rsidR="00D20CBA" w:rsidRDefault="001630D4" w:rsidP="003F494F">
            <w:pPr>
              <w:spacing w:before="240" w:line="360" w:lineRule="auto"/>
              <w:jc w:val="center"/>
              <w:rPr>
                <w:rFonts w:eastAsia="Arial" w:cstheme="minorHAnsi"/>
                <w:sz w:val="22"/>
                <w:szCs w:val="22"/>
                <w:lang w:val="en" w:eastAsia="en-GB"/>
              </w:rPr>
            </w:pPr>
            <w:proofErr w:type="spellStart"/>
            <w:r>
              <w:rPr>
                <w:rFonts w:eastAsia="Arial" w:cstheme="minorHAnsi"/>
                <w:sz w:val="22"/>
                <w:szCs w:val="22"/>
                <w:lang w:val="en" w:eastAsia="en-GB"/>
              </w:rPr>
              <w:t>IgA</w:t>
            </w:r>
            <w:r w:rsidR="00857A64">
              <w:rPr>
                <w:rFonts w:eastAsia="Arial" w:cstheme="minorHAnsi"/>
                <w:sz w:val="22"/>
                <w:szCs w:val="22"/>
                <w:lang w:val="en" w:eastAsia="en-GB"/>
              </w:rPr>
              <w:t>N</w:t>
            </w:r>
            <w:proofErr w:type="spellEnd"/>
            <w:r>
              <w:rPr>
                <w:rFonts w:eastAsia="Arial" w:cstheme="minorHAnsi"/>
                <w:sz w:val="22"/>
                <w:szCs w:val="22"/>
                <w:lang w:val="en" w:eastAsia="en-GB"/>
              </w:rPr>
              <w:t xml:space="preserve"> 2.</w:t>
            </w:r>
            <w:r w:rsidR="003C5A57">
              <w:rPr>
                <w:rFonts w:eastAsia="Arial" w:cstheme="minorHAnsi"/>
                <w:sz w:val="22"/>
                <w:szCs w:val="22"/>
                <w:lang w:val="en" w:eastAsia="en-GB"/>
              </w:rPr>
              <w:t>6</w:t>
            </w:r>
          </w:p>
        </w:tc>
        <w:tc>
          <w:tcPr>
            <w:tcW w:w="7897"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4C19F4EB" w14:textId="62C360BA" w:rsidR="00D20CBA" w:rsidRPr="00C00DD6" w:rsidRDefault="001630D4" w:rsidP="003F494F">
            <w:pPr>
              <w:spacing w:line="360" w:lineRule="auto"/>
              <w:jc w:val="both"/>
              <w:rPr>
                <w:rFonts w:eastAsiaTheme="minorEastAsia" w:cstheme="minorHAnsi"/>
                <w:color w:val="000000" w:themeColor="text1"/>
                <w:kern w:val="24"/>
                <w:sz w:val="22"/>
                <w:szCs w:val="22"/>
                <w:u w:val="single"/>
                <w:lang w:eastAsia="en-GB"/>
              </w:rPr>
            </w:pPr>
            <w:r>
              <w:rPr>
                <w:rFonts w:eastAsia="Arial" w:cstheme="minorHAnsi"/>
                <w:sz w:val="22"/>
                <w:szCs w:val="22"/>
                <w:lang w:val="en" w:eastAsia="en-GB"/>
              </w:rPr>
              <w:t>W</w:t>
            </w:r>
            <w:r w:rsidRPr="00117750">
              <w:rPr>
                <w:rFonts w:eastAsia="Arial" w:cstheme="minorHAnsi"/>
                <w:sz w:val="22"/>
                <w:szCs w:val="22"/>
                <w:lang w:val="en" w:eastAsia="en-GB"/>
              </w:rPr>
              <w:t xml:space="preserve">e </w:t>
            </w:r>
            <w:r w:rsidRPr="00117750">
              <w:rPr>
                <w:rFonts w:eastAsia="Arial" w:cstheme="minorHAnsi"/>
                <w:sz w:val="22"/>
                <w:szCs w:val="22"/>
                <w:u w:val="single"/>
                <w:lang w:val="en" w:eastAsia="en-GB"/>
              </w:rPr>
              <w:t>suggest</w:t>
            </w:r>
            <w:r w:rsidRPr="00117750">
              <w:rPr>
                <w:rFonts w:eastAsia="Arial" w:cstheme="minorHAnsi"/>
                <w:sz w:val="22"/>
                <w:szCs w:val="22"/>
                <w:lang w:val="en" w:eastAsia="en-GB"/>
              </w:rPr>
              <w:t xml:space="preserve"> </w:t>
            </w:r>
            <w:r w:rsidR="00441F6A">
              <w:rPr>
                <w:rFonts w:eastAsia="Arial" w:cstheme="minorHAnsi"/>
                <w:sz w:val="22"/>
                <w:szCs w:val="22"/>
                <w:lang w:val="en" w:eastAsia="en-GB"/>
              </w:rPr>
              <w:t xml:space="preserve">a review of management options </w:t>
            </w:r>
            <w:r>
              <w:rPr>
                <w:rFonts w:eastAsia="Arial" w:cstheme="minorHAnsi"/>
                <w:sz w:val="22"/>
                <w:szCs w:val="22"/>
                <w:lang w:val="en" w:eastAsia="en-GB"/>
              </w:rPr>
              <w:t>i</w:t>
            </w:r>
            <w:r w:rsidRPr="00117750">
              <w:rPr>
                <w:rFonts w:eastAsia="Arial" w:cstheme="minorHAnsi"/>
                <w:sz w:val="22"/>
                <w:szCs w:val="22"/>
                <w:lang w:val="en" w:eastAsia="en-GB"/>
              </w:rPr>
              <w:t xml:space="preserve">n children where there is no response after </w:t>
            </w:r>
            <w:r>
              <w:rPr>
                <w:rFonts w:eastAsia="Arial" w:cstheme="minorHAnsi"/>
                <w:sz w:val="22"/>
                <w:szCs w:val="22"/>
                <w:lang w:val="en" w:eastAsia="en-GB"/>
              </w:rPr>
              <w:t>3</w:t>
            </w:r>
            <w:r w:rsidRPr="00117750">
              <w:rPr>
                <w:rFonts w:eastAsia="Arial" w:cstheme="minorHAnsi"/>
                <w:sz w:val="22"/>
                <w:szCs w:val="22"/>
                <w:lang w:val="en" w:eastAsia="en-GB"/>
              </w:rPr>
              <w:t xml:space="preserve"> months of treatment</w:t>
            </w:r>
            <w:r w:rsidR="009A62D8">
              <w:rPr>
                <w:rFonts w:eastAsia="Arial" w:cstheme="minorHAnsi"/>
                <w:sz w:val="22"/>
                <w:szCs w:val="22"/>
                <w:lang w:val="en" w:eastAsia="en-GB"/>
              </w:rPr>
              <w:t xml:space="preserve"> and concerns about </w:t>
            </w:r>
            <w:proofErr w:type="spellStart"/>
            <w:r w:rsidR="009A62D8">
              <w:rPr>
                <w:rFonts w:eastAsia="Arial" w:cstheme="minorHAnsi"/>
                <w:sz w:val="22"/>
                <w:szCs w:val="22"/>
                <w:lang w:val="en" w:eastAsia="en-GB"/>
              </w:rPr>
              <w:t>on going</w:t>
            </w:r>
            <w:proofErr w:type="spellEnd"/>
            <w:r w:rsidR="009A62D8">
              <w:rPr>
                <w:rFonts w:eastAsia="Arial" w:cstheme="minorHAnsi"/>
                <w:sz w:val="22"/>
                <w:szCs w:val="22"/>
                <w:lang w:val="en" w:eastAsia="en-GB"/>
              </w:rPr>
              <w:t xml:space="preserve"> active disease</w:t>
            </w:r>
            <w:r w:rsidRPr="00117750">
              <w:rPr>
                <w:rFonts w:eastAsia="Arial" w:cstheme="minorHAnsi"/>
                <w:sz w:val="22"/>
                <w:szCs w:val="22"/>
                <w:lang w:val="en" w:eastAsia="en-GB"/>
              </w:rPr>
              <w: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1AD5A747" w14:textId="0372BE32" w:rsidR="00D20CBA" w:rsidRPr="00D20CBA" w:rsidRDefault="001630D4" w:rsidP="003F494F">
            <w:pPr>
              <w:spacing w:before="240" w:line="360" w:lineRule="auto"/>
              <w:jc w:val="center"/>
              <w:rPr>
                <w:rFonts w:eastAsia="Arial" w:cstheme="minorHAnsi"/>
                <w:b/>
                <w:bCs/>
                <w:sz w:val="22"/>
                <w:szCs w:val="22"/>
                <w:lang w:val="en" w:eastAsia="en-GB"/>
              </w:rPr>
            </w:pPr>
            <w:r>
              <w:rPr>
                <w:rFonts w:eastAsia="Arial" w:cstheme="minorHAnsi"/>
                <w:b/>
                <w:bCs/>
                <w:sz w:val="22"/>
                <w:szCs w:val="22"/>
                <w:lang w:val="en" w:eastAsia="en-GB"/>
              </w:rPr>
              <w:t>2D</w:t>
            </w:r>
          </w:p>
        </w:tc>
      </w:tr>
      <w:tr w:rsidR="00837E18" w14:paraId="7E277700" w14:textId="77777777" w:rsidTr="00C00DD6">
        <w:trPr>
          <w:trHeight w:val="915"/>
        </w:trPr>
        <w:tc>
          <w:tcPr>
            <w:tcW w:w="117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2D8BA615" w14:textId="7C62A698" w:rsidR="0087051E" w:rsidRDefault="001630D4" w:rsidP="003F494F">
            <w:pPr>
              <w:spacing w:before="240" w:line="360" w:lineRule="auto"/>
              <w:jc w:val="center"/>
              <w:rPr>
                <w:rFonts w:eastAsia="Arial" w:cstheme="minorHAnsi"/>
                <w:sz w:val="22"/>
                <w:szCs w:val="22"/>
                <w:lang w:val="en" w:eastAsia="en-GB"/>
              </w:rPr>
            </w:pPr>
            <w:proofErr w:type="spellStart"/>
            <w:r>
              <w:rPr>
                <w:rFonts w:eastAsia="Arial" w:cstheme="minorHAnsi"/>
                <w:sz w:val="22"/>
                <w:szCs w:val="22"/>
                <w:lang w:val="en" w:eastAsia="en-GB"/>
              </w:rPr>
              <w:t>IgA</w:t>
            </w:r>
            <w:r w:rsidR="00857A64">
              <w:rPr>
                <w:rFonts w:eastAsia="Arial" w:cstheme="minorHAnsi"/>
                <w:sz w:val="22"/>
                <w:szCs w:val="22"/>
                <w:lang w:val="en" w:eastAsia="en-GB"/>
              </w:rPr>
              <w:t>N</w:t>
            </w:r>
            <w:proofErr w:type="spellEnd"/>
            <w:r>
              <w:rPr>
                <w:rFonts w:eastAsia="Arial" w:cstheme="minorHAnsi"/>
                <w:sz w:val="22"/>
                <w:szCs w:val="22"/>
                <w:lang w:val="en" w:eastAsia="en-GB"/>
              </w:rPr>
              <w:t xml:space="preserve"> 2.</w:t>
            </w:r>
            <w:r w:rsidR="003C5A57">
              <w:rPr>
                <w:rFonts w:eastAsia="Arial" w:cstheme="minorHAnsi"/>
                <w:sz w:val="22"/>
                <w:szCs w:val="22"/>
                <w:lang w:val="en" w:eastAsia="en-GB"/>
              </w:rPr>
              <w:t>7</w:t>
            </w:r>
          </w:p>
        </w:tc>
        <w:tc>
          <w:tcPr>
            <w:tcW w:w="7897"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616F36EA" w14:textId="381719FF" w:rsidR="0087051E" w:rsidRDefault="001630D4" w:rsidP="003F494F">
            <w:pPr>
              <w:spacing w:line="360" w:lineRule="auto"/>
              <w:jc w:val="both"/>
              <w:rPr>
                <w:rFonts w:eastAsia="Arial" w:cstheme="minorHAnsi"/>
                <w:sz w:val="22"/>
                <w:szCs w:val="22"/>
                <w:lang w:val="en" w:eastAsia="en-GB"/>
              </w:rPr>
            </w:pPr>
            <w:r w:rsidRPr="0087051E">
              <w:rPr>
                <w:rFonts w:eastAsia="Arial" w:cstheme="minorHAnsi"/>
                <w:sz w:val="22"/>
                <w:szCs w:val="22"/>
                <w:u w:val="single"/>
                <w:lang w:val="en" w:eastAsia="en-GB"/>
              </w:rPr>
              <w:t>We suggest</w:t>
            </w:r>
            <w:r>
              <w:rPr>
                <w:rFonts w:eastAsia="Arial" w:cstheme="minorHAnsi"/>
                <w:sz w:val="22"/>
                <w:szCs w:val="22"/>
                <w:lang w:val="en" w:eastAsia="en-GB"/>
              </w:rPr>
              <w:t xml:space="preserve"> that in children with rapidly progressive glomerulonephritis secondary to </w:t>
            </w:r>
            <w:proofErr w:type="spellStart"/>
            <w:r>
              <w:rPr>
                <w:rFonts w:eastAsia="Arial" w:cstheme="minorHAnsi"/>
                <w:sz w:val="22"/>
                <w:szCs w:val="22"/>
                <w:lang w:val="en" w:eastAsia="en-GB"/>
              </w:rPr>
              <w:t>IgAN</w:t>
            </w:r>
            <w:proofErr w:type="spellEnd"/>
            <w:r>
              <w:rPr>
                <w:rFonts w:eastAsia="Arial" w:cstheme="minorHAnsi"/>
                <w:sz w:val="22"/>
                <w:szCs w:val="22"/>
                <w:lang w:val="en" w:eastAsia="en-GB"/>
              </w:rPr>
              <w:t xml:space="preserve"> who present with kidney failure or who are considered at high risk of rapid progression to kidney failure are managed with intravenous methylprednisolone, cyclophosphamide, and/or rituximab.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029A8D32" w14:textId="3E4B0A61" w:rsidR="0087051E" w:rsidRDefault="001630D4" w:rsidP="003F494F">
            <w:pPr>
              <w:spacing w:before="240" w:line="360" w:lineRule="auto"/>
              <w:jc w:val="center"/>
              <w:rPr>
                <w:rFonts w:eastAsia="Arial" w:cstheme="minorHAnsi"/>
                <w:b/>
                <w:bCs/>
                <w:sz w:val="22"/>
                <w:szCs w:val="22"/>
                <w:lang w:val="en" w:eastAsia="en-GB"/>
              </w:rPr>
            </w:pPr>
            <w:r>
              <w:rPr>
                <w:rFonts w:eastAsia="Arial" w:cstheme="minorHAnsi"/>
                <w:b/>
                <w:bCs/>
                <w:sz w:val="22"/>
                <w:szCs w:val="22"/>
                <w:lang w:val="en" w:eastAsia="en-GB"/>
              </w:rPr>
              <w:t>2D</w:t>
            </w:r>
          </w:p>
        </w:tc>
      </w:tr>
      <w:tr w:rsidR="00837E18" w14:paraId="107C1BB9" w14:textId="77777777" w:rsidTr="00C00DD6">
        <w:trPr>
          <w:trHeight w:val="915"/>
        </w:trPr>
        <w:tc>
          <w:tcPr>
            <w:tcW w:w="117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7C069713" w14:textId="6DF66669" w:rsidR="00601B86" w:rsidRPr="00C00DD6" w:rsidRDefault="001630D4" w:rsidP="003F494F">
            <w:pPr>
              <w:spacing w:before="240" w:line="360" w:lineRule="auto"/>
              <w:jc w:val="center"/>
              <w:rPr>
                <w:rFonts w:eastAsia="Arial" w:cstheme="minorHAnsi"/>
                <w:sz w:val="22"/>
                <w:szCs w:val="22"/>
                <w:lang w:val="en" w:eastAsia="en-GB"/>
              </w:rPr>
            </w:pPr>
            <w:proofErr w:type="spellStart"/>
            <w:r>
              <w:rPr>
                <w:rFonts w:eastAsia="Arial" w:cstheme="minorHAnsi"/>
                <w:sz w:val="22"/>
                <w:szCs w:val="22"/>
                <w:lang w:val="en" w:eastAsia="en-GB"/>
              </w:rPr>
              <w:t>IgA</w:t>
            </w:r>
            <w:r w:rsidR="00857A64">
              <w:rPr>
                <w:rFonts w:eastAsia="Arial" w:cstheme="minorHAnsi"/>
                <w:sz w:val="22"/>
                <w:szCs w:val="22"/>
                <w:lang w:val="en" w:eastAsia="en-GB"/>
              </w:rPr>
              <w:t>N</w:t>
            </w:r>
            <w:proofErr w:type="spellEnd"/>
            <w:r w:rsidR="00857A64">
              <w:rPr>
                <w:rFonts w:eastAsia="Arial" w:cstheme="minorHAnsi"/>
                <w:sz w:val="22"/>
                <w:szCs w:val="22"/>
                <w:lang w:val="en" w:eastAsia="en-GB"/>
              </w:rPr>
              <w:t xml:space="preserve"> </w:t>
            </w:r>
            <w:r w:rsidR="005D1469">
              <w:rPr>
                <w:rFonts w:eastAsia="Arial" w:cstheme="minorHAnsi"/>
                <w:sz w:val="22"/>
                <w:szCs w:val="22"/>
                <w:lang w:val="en" w:eastAsia="en-GB"/>
              </w:rPr>
              <w:t>2.</w:t>
            </w:r>
            <w:r w:rsidR="003C5A57">
              <w:rPr>
                <w:rFonts w:eastAsia="Arial" w:cstheme="minorHAnsi"/>
                <w:sz w:val="22"/>
                <w:szCs w:val="22"/>
                <w:lang w:val="en" w:eastAsia="en-GB"/>
              </w:rPr>
              <w:t>8</w:t>
            </w:r>
          </w:p>
        </w:tc>
        <w:tc>
          <w:tcPr>
            <w:tcW w:w="7897"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23DEC15E" w14:textId="4234D0F5" w:rsidR="00601B86" w:rsidRPr="00C00DD6" w:rsidRDefault="001630D4" w:rsidP="003F494F">
            <w:pPr>
              <w:spacing w:line="360" w:lineRule="auto"/>
              <w:jc w:val="both"/>
              <w:rPr>
                <w:rFonts w:eastAsia="Arial" w:cstheme="minorHAnsi"/>
                <w:color w:val="000000"/>
                <w:kern w:val="24"/>
                <w:sz w:val="22"/>
                <w:szCs w:val="22"/>
                <w:u w:val="single"/>
                <w:lang w:eastAsia="en-GB"/>
              </w:rPr>
            </w:pPr>
            <w:r w:rsidRPr="00C00DD6">
              <w:rPr>
                <w:rFonts w:eastAsia="Arial" w:cstheme="minorHAnsi"/>
                <w:color w:val="000000" w:themeColor="text1"/>
                <w:kern w:val="24"/>
                <w:sz w:val="22"/>
                <w:szCs w:val="22"/>
                <w:u w:val="single"/>
                <w:lang w:eastAsia="en-GB"/>
              </w:rPr>
              <w:t>We recommend</w:t>
            </w:r>
            <w:r w:rsidRPr="00C00DD6">
              <w:rPr>
                <w:rFonts w:eastAsia="Arial" w:cstheme="minorHAnsi"/>
                <w:color w:val="000000" w:themeColor="text1"/>
                <w:kern w:val="24"/>
                <w:sz w:val="22"/>
                <w:szCs w:val="22"/>
                <w:lang w:eastAsia="en-GB"/>
              </w:rPr>
              <w:t xml:space="preserve"> </w:t>
            </w:r>
            <w:r w:rsidR="00D20CBA">
              <w:rPr>
                <w:rFonts w:eastAsia="Arial" w:cstheme="minorHAnsi"/>
                <w:color w:val="000000" w:themeColor="text1"/>
                <w:kern w:val="24"/>
                <w:sz w:val="22"/>
                <w:szCs w:val="22"/>
                <w:lang w:eastAsia="en-GB"/>
              </w:rPr>
              <w:t xml:space="preserve">that </w:t>
            </w:r>
            <w:r w:rsidRPr="00C00DD6">
              <w:rPr>
                <w:rFonts w:eastAsia="Arial" w:cstheme="minorHAnsi"/>
                <w:color w:val="000000" w:themeColor="text1"/>
                <w:kern w:val="24"/>
                <w:sz w:val="22"/>
                <w:szCs w:val="22"/>
                <w:lang w:eastAsia="en-GB"/>
              </w:rPr>
              <w:t xml:space="preserve">tonsillectomy </w:t>
            </w:r>
            <w:r w:rsidR="00D20CBA">
              <w:rPr>
                <w:rFonts w:eastAsia="Arial" w:cstheme="minorHAnsi"/>
                <w:color w:val="000000" w:themeColor="text1"/>
                <w:kern w:val="24"/>
                <w:sz w:val="22"/>
                <w:szCs w:val="22"/>
                <w:lang w:eastAsia="en-GB"/>
              </w:rPr>
              <w:t xml:space="preserve">is not routinely performed </w:t>
            </w:r>
            <w:r w:rsidRPr="00C00DD6">
              <w:rPr>
                <w:rFonts w:eastAsia="Arial" w:cstheme="minorHAnsi"/>
                <w:color w:val="000000" w:themeColor="text1"/>
                <w:kern w:val="24"/>
                <w:sz w:val="22"/>
                <w:szCs w:val="22"/>
                <w:lang w:eastAsia="en-GB"/>
              </w:rPr>
              <w:t xml:space="preserve">as a treatment for </w:t>
            </w:r>
            <w:proofErr w:type="spellStart"/>
            <w:r w:rsidRPr="00C00DD6">
              <w:rPr>
                <w:rFonts w:eastAsia="Arial" w:cstheme="minorHAnsi"/>
                <w:color w:val="000000" w:themeColor="text1"/>
                <w:kern w:val="24"/>
                <w:sz w:val="22"/>
                <w:szCs w:val="22"/>
                <w:lang w:eastAsia="en-GB"/>
              </w:rPr>
              <w:t>IgAN</w:t>
            </w:r>
            <w:proofErr w:type="spellEnd"/>
            <w:r w:rsidRPr="00C00DD6">
              <w:rPr>
                <w:rFonts w:eastAsia="Arial" w:cstheme="minorHAnsi"/>
                <w:color w:val="000000" w:themeColor="text1"/>
                <w:kern w:val="24"/>
                <w:sz w:val="22"/>
                <w:szCs w:val="22"/>
                <w:lang w:eastAsia="en-GB"/>
              </w:rPr>
              <w:t xml:space="preserve"> in </w:t>
            </w:r>
            <w:r w:rsidR="005D1469">
              <w:rPr>
                <w:rFonts w:eastAsia="Arial" w:cstheme="minorHAnsi"/>
                <w:color w:val="000000" w:themeColor="text1"/>
                <w:kern w:val="24"/>
                <w:sz w:val="22"/>
                <w:szCs w:val="22"/>
                <w:lang w:eastAsia="en-GB"/>
              </w:rPr>
              <w:t xml:space="preserve">UK </w:t>
            </w:r>
            <w:r w:rsidRPr="00C00DD6">
              <w:rPr>
                <w:rFonts w:eastAsia="Arial" w:cstheme="minorHAnsi"/>
                <w:color w:val="000000" w:themeColor="text1"/>
                <w:kern w:val="24"/>
                <w:sz w:val="22"/>
                <w:szCs w:val="22"/>
                <w:lang w:eastAsia="en-GB"/>
              </w:rPr>
              <w:t xml:space="preserve">children however </w:t>
            </w:r>
            <w:r w:rsidR="005D1469">
              <w:rPr>
                <w:rFonts w:eastAsia="Arial" w:cstheme="minorHAnsi"/>
                <w:color w:val="000000" w:themeColor="text1"/>
                <w:kern w:val="24"/>
                <w:sz w:val="22"/>
                <w:szCs w:val="22"/>
                <w:lang w:eastAsia="en-GB"/>
              </w:rPr>
              <w:t>this may be appropriate in individual cases</w:t>
            </w:r>
            <w:r w:rsidRPr="00C00DD6">
              <w:rPr>
                <w:rFonts w:eastAsia="Arial" w:cstheme="minorHAnsi"/>
                <w:color w:val="000000" w:themeColor="text1"/>
                <w:kern w:val="24"/>
                <w:sz w:val="22"/>
                <w:szCs w:val="22"/>
                <w:lang w:eastAsia="en-GB"/>
              </w:rPr>
              <w:t xml:space="preserve"> </w:t>
            </w:r>
            <w:r w:rsidR="005D1469">
              <w:rPr>
                <w:rFonts w:eastAsia="Arial" w:cstheme="minorHAnsi"/>
                <w:color w:val="000000" w:themeColor="text1"/>
                <w:kern w:val="24"/>
                <w:sz w:val="22"/>
                <w:szCs w:val="22"/>
                <w:lang w:eastAsia="en-GB"/>
              </w:rPr>
              <w:t>with</w:t>
            </w:r>
            <w:r w:rsidRPr="00C00DD6">
              <w:rPr>
                <w:rFonts w:eastAsia="Arial" w:cstheme="minorHAnsi"/>
                <w:color w:val="000000" w:themeColor="text1"/>
                <w:kern w:val="24"/>
                <w:sz w:val="22"/>
                <w:szCs w:val="22"/>
                <w:lang w:eastAsia="en-GB"/>
              </w:rPr>
              <w:t xml:space="preserve"> recurrent tonsillitis</w:t>
            </w:r>
            <w:r w:rsidR="005D1469">
              <w:rPr>
                <w:rFonts w:eastAsia="Arial" w:cstheme="minorHAnsi"/>
                <w:color w:val="000000" w:themeColor="text1"/>
                <w:kern w:val="24"/>
                <w:sz w:val="22"/>
                <w:szCs w:val="22"/>
                <w:lang w:eastAsia="en-GB"/>
              </w:rPr>
              <w: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33AD0A97" w14:textId="7EF22305" w:rsidR="00601B86" w:rsidRPr="00D20CBA" w:rsidRDefault="001630D4" w:rsidP="003F494F">
            <w:pPr>
              <w:spacing w:before="240" w:line="360" w:lineRule="auto"/>
              <w:jc w:val="center"/>
              <w:rPr>
                <w:rFonts w:eastAsia="Arial" w:cstheme="minorHAnsi"/>
                <w:b/>
                <w:bCs/>
                <w:sz w:val="22"/>
                <w:szCs w:val="22"/>
                <w:lang w:val="en" w:eastAsia="en-GB"/>
              </w:rPr>
            </w:pPr>
            <w:r w:rsidRPr="00D20CBA">
              <w:rPr>
                <w:rFonts w:eastAsia="Arial" w:cstheme="minorHAnsi"/>
                <w:b/>
                <w:bCs/>
                <w:sz w:val="22"/>
                <w:szCs w:val="22"/>
                <w:lang w:val="en" w:eastAsia="en-GB"/>
              </w:rPr>
              <w:t>1D</w:t>
            </w:r>
          </w:p>
        </w:tc>
      </w:tr>
      <w:tr w:rsidR="00837E18" w14:paraId="4B773C42" w14:textId="77777777" w:rsidTr="00D20CBA">
        <w:trPr>
          <w:trHeight w:val="693"/>
        </w:trPr>
        <w:tc>
          <w:tcPr>
            <w:tcW w:w="117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1723AA12" w14:textId="103F80A4" w:rsidR="00601B86" w:rsidRPr="00C00DD6" w:rsidRDefault="001630D4" w:rsidP="003F494F">
            <w:pPr>
              <w:spacing w:before="240" w:line="360" w:lineRule="auto"/>
              <w:jc w:val="center"/>
              <w:rPr>
                <w:rFonts w:eastAsia="Arial" w:cstheme="minorHAnsi"/>
                <w:sz w:val="22"/>
                <w:szCs w:val="22"/>
                <w:lang w:val="en" w:eastAsia="en-GB"/>
              </w:rPr>
            </w:pPr>
            <w:proofErr w:type="spellStart"/>
            <w:r>
              <w:rPr>
                <w:rFonts w:eastAsia="Arial" w:cstheme="minorHAnsi"/>
                <w:sz w:val="22"/>
                <w:szCs w:val="22"/>
                <w:lang w:val="en" w:eastAsia="en-GB"/>
              </w:rPr>
              <w:t>IgA</w:t>
            </w:r>
            <w:r w:rsidR="00857A64">
              <w:rPr>
                <w:rFonts w:eastAsia="Arial" w:cstheme="minorHAnsi"/>
                <w:sz w:val="22"/>
                <w:szCs w:val="22"/>
                <w:lang w:val="en" w:eastAsia="en-GB"/>
              </w:rPr>
              <w:t>N</w:t>
            </w:r>
            <w:proofErr w:type="spellEnd"/>
            <w:r>
              <w:rPr>
                <w:rFonts w:eastAsia="Arial" w:cstheme="minorHAnsi"/>
                <w:sz w:val="22"/>
                <w:szCs w:val="22"/>
                <w:lang w:val="en" w:eastAsia="en-GB"/>
              </w:rPr>
              <w:t xml:space="preserve"> </w:t>
            </w:r>
            <w:r w:rsidR="005D1469">
              <w:rPr>
                <w:rFonts w:eastAsia="Arial" w:cstheme="minorHAnsi"/>
                <w:sz w:val="22"/>
                <w:szCs w:val="22"/>
                <w:lang w:val="en" w:eastAsia="en-GB"/>
              </w:rPr>
              <w:t>2.</w:t>
            </w:r>
            <w:r w:rsidR="003C5A57">
              <w:rPr>
                <w:rFonts w:eastAsia="Arial" w:cstheme="minorHAnsi"/>
                <w:sz w:val="22"/>
                <w:szCs w:val="22"/>
                <w:lang w:val="en" w:eastAsia="en-GB"/>
              </w:rPr>
              <w:t>9</w:t>
            </w:r>
          </w:p>
        </w:tc>
        <w:tc>
          <w:tcPr>
            <w:tcW w:w="7897"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4E4036ED" w14:textId="3C1CF9E4" w:rsidR="00601B86" w:rsidRPr="00D20CBA" w:rsidRDefault="001630D4" w:rsidP="003F494F">
            <w:pPr>
              <w:spacing w:line="360" w:lineRule="auto"/>
              <w:jc w:val="both"/>
              <w:rPr>
                <w:rFonts w:eastAsiaTheme="minorEastAsia" w:cstheme="minorHAnsi"/>
                <w:color w:val="000000" w:themeColor="text1"/>
                <w:kern w:val="24"/>
                <w:sz w:val="22"/>
                <w:szCs w:val="22"/>
                <w:lang w:eastAsia="en-GB"/>
              </w:rPr>
            </w:pPr>
            <w:r w:rsidRPr="00C00DD6">
              <w:rPr>
                <w:rFonts w:eastAsiaTheme="minorEastAsia" w:cstheme="minorHAnsi"/>
                <w:color w:val="000000" w:themeColor="text1"/>
                <w:kern w:val="24"/>
                <w:sz w:val="22"/>
                <w:szCs w:val="22"/>
                <w:u w:val="single"/>
                <w:lang w:eastAsia="en-GB"/>
              </w:rPr>
              <w:t>We suggest</w:t>
            </w:r>
            <w:r w:rsidRPr="00C00DD6">
              <w:rPr>
                <w:rFonts w:eastAsiaTheme="minorEastAsia" w:cstheme="minorHAnsi"/>
                <w:color w:val="000000" w:themeColor="text1"/>
                <w:kern w:val="24"/>
                <w:sz w:val="22"/>
                <w:szCs w:val="22"/>
                <w:lang w:eastAsia="en-GB"/>
              </w:rPr>
              <w:t xml:space="preserve"> </w:t>
            </w:r>
            <w:r w:rsidR="005D1469">
              <w:rPr>
                <w:rFonts w:eastAsiaTheme="minorEastAsia" w:cstheme="minorHAnsi"/>
                <w:color w:val="000000" w:themeColor="text1"/>
                <w:kern w:val="24"/>
                <w:sz w:val="22"/>
                <w:szCs w:val="22"/>
                <w:lang w:eastAsia="en-GB"/>
              </w:rPr>
              <w:t>using</w:t>
            </w:r>
            <w:r w:rsidRPr="00C00DD6">
              <w:rPr>
                <w:rFonts w:eastAsiaTheme="minorEastAsia" w:cstheme="minorHAnsi"/>
                <w:color w:val="000000" w:themeColor="text1"/>
                <w:kern w:val="24"/>
                <w:sz w:val="22"/>
                <w:szCs w:val="22"/>
                <w:lang w:eastAsia="en-GB"/>
              </w:rPr>
              <w:t xml:space="preserve"> immunosuppressive treatment in children with </w:t>
            </w:r>
            <w:proofErr w:type="spellStart"/>
            <w:r w:rsidRPr="00C00DD6">
              <w:rPr>
                <w:rFonts w:eastAsiaTheme="minorEastAsia" w:cstheme="minorHAnsi"/>
                <w:color w:val="000000" w:themeColor="text1"/>
                <w:kern w:val="24"/>
                <w:sz w:val="22"/>
                <w:szCs w:val="22"/>
                <w:lang w:eastAsia="en-GB"/>
              </w:rPr>
              <w:t>IgAN</w:t>
            </w:r>
            <w:proofErr w:type="spellEnd"/>
            <w:r w:rsidRPr="00C00DD6">
              <w:rPr>
                <w:rFonts w:eastAsiaTheme="minorEastAsia" w:cstheme="minorHAnsi"/>
                <w:color w:val="000000" w:themeColor="text1"/>
                <w:kern w:val="24"/>
                <w:sz w:val="22"/>
                <w:szCs w:val="22"/>
                <w:lang w:eastAsia="en-GB"/>
              </w:rPr>
              <w:t xml:space="preserve"> </w:t>
            </w:r>
            <w:r w:rsidR="005D1469" w:rsidRPr="00C00DD6">
              <w:rPr>
                <w:rFonts w:eastAsiaTheme="minorEastAsia" w:cstheme="minorHAnsi"/>
                <w:color w:val="000000" w:themeColor="text1"/>
                <w:kern w:val="24"/>
                <w:sz w:val="22"/>
                <w:szCs w:val="22"/>
                <w:lang w:eastAsia="en-GB"/>
              </w:rPr>
              <w:t xml:space="preserve">for </w:t>
            </w:r>
            <w:r w:rsidR="0087051E">
              <w:rPr>
                <w:rFonts w:eastAsiaTheme="minorEastAsia" w:cstheme="minorHAnsi"/>
                <w:color w:val="000000" w:themeColor="text1"/>
                <w:kern w:val="24"/>
                <w:sz w:val="22"/>
                <w:szCs w:val="22"/>
                <w:lang w:eastAsia="en-GB"/>
              </w:rPr>
              <w:t xml:space="preserve">at least </w:t>
            </w:r>
            <w:r w:rsidR="005D1469" w:rsidRPr="00C00DD6">
              <w:rPr>
                <w:rFonts w:eastAsiaTheme="minorEastAsia" w:cstheme="minorHAnsi"/>
                <w:color w:val="000000" w:themeColor="text1"/>
                <w:kern w:val="24"/>
                <w:sz w:val="22"/>
                <w:szCs w:val="22"/>
                <w:lang w:eastAsia="en-GB"/>
              </w:rPr>
              <w:t>12 months</w:t>
            </w:r>
            <w:r w:rsidR="006D198D">
              <w:rPr>
                <w:rFonts w:eastAsiaTheme="minorEastAsia" w:cstheme="minorHAnsi"/>
                <w:color w:val="000000" w:themeColor="text1"/>
                <w:kern w:val="24"/>
                <w:sz w:val="22"/>
                <w:szCs w:val="22"/>
                <w:lang w:eastAsia="en-GB"/>
              </w:rPr>
              <w:t xml:space="preserve"> or until complete re</w:t>
            </w:r>
            <w:r w:rsidR="003C5A57">
              <w:rPr>
                <w:rFonts w:eastAsiaTheme="minorEastAsia" w:cstheme="minorHAnsi"/>
                <w:color w:val="000000" w:themeColor="text1"/>
                <w:kern w:val="24"/>
                <w:sz w:val="22"/>
                <w:szCs w:val="22"/>
                <w:lang w:eastAsia="en-GB"/>
              </w:rPr>
              <w:t>sponse</w:t>
            </w:r>
            <w:r w:rsidR="006D198D">
              <w:rPr>
                <w:rFonts w:eastAsiaTheme="minorEastAsia" w:cstheme="minorHAnsi"/>
                <w:color w:val="000000" w:themeColor="text1"/>
                <w:kern w:val="24"/>
                <w:sz w:val="22"/>
                <w:szCs w:val="22"/>
                <w:lang w:eastAsia="en-GB"/>
              </w:rPr>
              <w:t xml:space="preserve"> has been </w:t>
            </w:r>
            <w:r w:rsidR="00E2561D">
              <w:rPr>
                <w:rFonts w:eastAsiaTheme="minorEastAsia" w:cstheme="minorHAnsi"/>
                <w:color w:val="000000" w:themeColor="text1"/>
                <w:kern w:val="24"/>
                <w:sz w:val="22"/>
                <w:szCs w:val="22"/>
                <w:lang w:eastAsia="en-GB"/>
              </w:rPr>
              <w:t>maintained</w:t>
            </w:r>
            <w:r w:rsidR="005D1469">
              <w:rPr>
                <w:rFonts w:eastAsiaTheme="minorEastAsia" w:cstheme="minorHAnsi"/>
                <w:color w:val="000000" w:themeColor="text1"/>
                <w:kern w:val="24"/>
                <w:sz w:val="22"/>
                <w:szCs w:val="22"/>
                <w:lang w:eastAsia="en-GB"/>
              </w:rPr>
              <w:t>.</w:t>
            </w:r>
            <w:r w:rsidR="005D1469" w:rsidRPr="00C00DD6">
              <w:rPr>
                <w:rFonts w:eastAsiaTheme="minorEastAsia" w:cstheme="minorHAnsi"/>
                <w:color w:val="000000" w:themeColor="text1"/>
                <w:kern w:val="24"/>
                <w:sz w:val="22"/>
                <w:szCs w:val="22"/>
                <w:lang w:eastAsia="en-GB"/>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1087F964" w14:textId="380784B2" w:rsidR="00601B86" w:rsidRPr="00D20CBA" w:rsidRDefault="001630D4" w:rsidP="003F494F">
            <w:pPr>
              <w:spacing w:before="240" w:line="360" w:lineRule="auto"/>
              <w:jc w:val="center"/>
              <w:rPr>
                <w:rFonts w:eastAsia="Arial" w:cstheme="minorHAnsi"/>
                <w:b/>
                <w:bCs/>
                <w:sz w:val="22"/>
                <w:szCs w:val="22"/>
                <w:lang w:val="en" w:eastAsia="en-GB"/>
              </w:rPr>
            </w:pPr>
            <w:r w:rsidRPr="00D20CBA">
              <w:rPr>
                <w:rFonts w:eastAsia="Arial" w:cstheme="minorHAnsi"/>
                <w:b/>
                <w:bCs/>
                <w:sz w:val="22"/>
                <w:szCs w:val="22"/>
                <w:lang w:val="en" w:eastAsia="en-GB"/>
              </w:rPr>
              <w:t>2D</w:t>
            </w:r>
          </w:p>
        </w:tc>
      </w:tr>
      <w:tr w:rsidR="00837E18" w14:paraId="0145D4B0" w14:textId="77777777" w:rsidTr="00C00DD6">
        <w:trPr>
          <w:trHeight w:val="915"/>
        </w:trPr>
        <w:tc>
          <w:tcPr>
            <w:tcW w:w="117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37FBF658" w14:textId="6F36BEE2" w:rsidR="003D10C2" w:rsidRDefault="001630D4" w:rsidP="003F494F">
            <w:pPr>
              <w:spacing w:before="240" w:line="360" w:lineRule="auto"/>
              <w:jc w:val="center"/>
              <w:rPr>
                <w:rFonts w:eastAsia="Arial" w:cstheme="minorHAnsi"/>
                <w:sz w:val="22"/>
                <w:szCs w:val="22"/>
                <w:lang w:val="en" w:eastAsia="en-GB"/>
              </w:rPr>
            </w:pPr>
            <w:proofErr w:type="spellStart"/>
            <w:r>
              <w:rPr>
                <w:rFonts w:eastAsia="Arial" w:cstheme="minorHAnsi"/>
                <w:sz w:val="22"/>
                <w:szCs w:val="22"/>
                <w:lang w:val="en" w:eastAsia="en-GB"/>
              </w:rPr>
              <w:t>IgA</w:t>
            </w:r>
            <w:r w:rsidR="00857A64">
              <w:rPr>
                <w:rFonts w:eastAsia="Arial" w:cstheme="minorHAnsi"/>
                <w:sz w:val="22"/>
                <w:szCs w:val="22"/>
                <w:lang w:val="en" w:eastAsia="en-GB"/>
              </w:rPr>
              <w:t>N</w:t>
            </w:r>
            <w:proofErr w:type="spellEnd"/>
            <w:r>
              <w:rPr>
                <w:rFonts w:eastAsia="Arial" w:cstheme="minorHAnsi"/>
                <w:sz w:val="22"/>
                <w:szCs w:val="22"/>
                <w:lang w:val="en" w:eastAsia="en-GB"/>
              </w:rPr>
              <w:t xml:space="preserve"> 2.1</w:t>
            </w:r>
            <w:r w:rsidR="007F44F2">
              <w:rPr>
                <w:rFonts w:eastAsia="Arial" w:cstheme="minorHAnsi"/>
                <w:sz w:val="22"/>
                <w:szCs w:val="22"/>
                <w:lang w:val="en" w:eastAsia="en-GB"/>
              </w:rPr>
              <w:t>0</w:t>
            </w:r>
          </w:p>
        </w:tc>
        <w:tc>
          <w:tcPr>
            <w:tcW w:w="7897"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58264E42" w14:textId="3E414089" w:rsidR="003D10C2" w:rsidRPr="003D10C2" w:rsidRDefault="001630D4" w:rsidP="003F494F">
            <w:pPr>
              <w:spacing w:line="360" w:lineRule="auto"/>
              <w:jc w:val="both"/>
              <w:rPr>
                <w:rFonts w:eastAsiaTheme="minorEastAsia" w:cstheme="minorHAnsi"/>
                <w:color w:val="000000" w:themeColor="text1"/>
                <w:kern w:val="24"/>
                <w:sz w:val="22"/>
                <w:szCs w:val="22"/>
                <w:lang w:eastAsia="en-GB"/>
              </w:rPr>
            </w:pPr>
            <w:r>
              <w:rPr>
                <w:rFonts w:eastAsiaTheme="minorEastAsia" w:cstheme="minorHAnsi"/>
                <w:color w:val="000000" w:themeColor="text1"/>
                <w:kern w:val="24"/>
                <w:sz w:val="22"/>
                <w:szCs w:val="22"/>
                <w:u w:val="single"/>
                <w:lang w:eastAsia="en-GB"/>
              </w:rPr>
              <w:t>We suggest</w:t>
            </w:r>
            <w:r>
              <w:rPr>
                <w:rFonts w:eastAsiaTheme="minorEastAsia" w:cstheme="minorHAnsi"/>
                <w:color w:val="000000" w:themeColor="text1"/>
                <w:kern w:val="24"/>
                <w:sz w:val="22"/>
                <w:szCs w:val="22"/>
                <w:lang w:eastAsia="en-GB"/>
              </w:rPr>
              <w:t xml:space="preserve"> consideration of </w:t>
            </w:r>
            <w:r w:rsidR="00D20CBA">
              <w:rPr>
                <w:rFonts w:eastAsiaTheme="minorEastAsia" w:cstheme="minorHAnsi"/>
                <w:color w:val="000000" w:themeColor="text1"/>
                <w:kern w:val="24"/>
                <w:sz w:val="22"/>
                <w:szCs w:val="22"/>
                <w:lang w:eastAsia="en-GB"/>
              </w:rPr>
              <w:t xml:space="preserve">recruitment to clinical trials, </w:t>
            </w:r>
            <w:r>
              <w:rPr>
                <w:rFonts w:eastAsiaTheme="minorEastAsia" w:cstheme="minorHAnsi"/>
                <w:color w:val="000000" w:themeColor="text1"/>
                <w:kern w:val="24"/>
                <w:sz w:val="22"/>
                <w:szCs w:val="22"/>
                <w:lang w:eastAsia="en-GB"/>
              </w:rPr>
              <w:t>off-label treatments available for adults</w:t>
            </w:r>
            <w:r w:rsidR="00D20CBA">
              <w:rPr>
                <w:rFonts w:eastAsiaTheme="minorEastAsia" w:cstheme="minorHAnsi"/>
                <w:color w:val="000000" w:themeColor="text1"/>
                <w:kern w:val="24"/>
                <w:sz w:val="22"/>
                <w:szCs w:val="22"/>
                <w:lang w:eastAsia="en-GB"/>
              </w:rPr>
              <w:t>,</w:t>
            </w:r>
            <w:r>
              <w:rPr>
                <w:rFonts w:eastAsiaTheme="minorEastAsia" w:cstheme="minorHAnsi"/>
                <w:color w:val="000000" w:themeColor="text1"/>
                <w:kern w:val="24"/>
                <w:sz w:val="22"/>
                <w:szCs w:val="22"/>
                <w:lang w:eastAsia="en-GB"/>
              </w:rPr>
              <w:t xml:space="preserve"> or </w:t>
            </w:r>
            <w:r w:rsidR="00D20CBA">
              <w:rPr>
                <w:rFonts w:eastAsiaTheme="minorEastAsia" w:cstheme="minorHAnsi"/>
                <w:color w:val="000000" w:themeColor="text1"/>
                <w:kern w:val="24"/>
                <w:sz w:val="22"/>
                <w:szCs w:val="22"/>
                <w:lang w:eastAsia="en-GB"/>
              </w:rPr>
              <w:t xml:space="preserve">the </w:t>
            </w:r>
            <w:r>
              <w:rPr>
                <w:rFonts w:eastAsiaTheme="minorEastAsia" w:cstheme="minorHAnsi"/>
                <w:color w:val="000000" w:themeColor="text1"/>
                <w:kern w:val="24"/>
                <w:sz w:val="22"/>
                <w:szCs w:val="22"/>
                <w:lang w:eastAsia="en-GB"/>
              </w:rPr>
              <w:t>compassionate use of agents under evaluation</w:t>
            </w:r>
            <w:r w:rsidR="00D20CBA">
              <w:rPr>
                <w:rFonts w:eastAsiaTheme="minorEastAsia" w:cstheme="minorHAnsi"/>
                <w:color w:val="000000" w:themeColor="text1"/>
                <w:kern w:val="24"/>
                <w:sz w:val="22"/>
                <w:szCs w:val="22"/>
                <w:lang w:eastAsia="en-GB"/>
              </w:rPr>
              <w:t>,</w:t>
            </w:r>
            <w:r>
              <w:rPr>
                <w:rFonts w:eastAsiaTheme="minorEastAsia" w:cstheme="minorHAnsi"/>
                <w:color w:val="000000" w:themeColor="text1"/>
                <w:kern w:val="24"/>
                <w:sz w:val="22"/>
                <w:szCs w:val="22"/>
                <w:lang w:eastAsia="en-GB"/>
              </w:rPr>
              <w:t xml:space="preserve"> in children who have failed to demonstrate any improvement and continue to have active disease.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50950DF8" w14:textId="395E676C" w:rsidR="003D10C2" w:rsidRPr="00D20CBA" w:rsidRDefault="001630D4" w:rsidP="003F494F">
            <w:pPr>
              <w:spacing w:before="240" w:line="360" w:lineRule="auto"/>
              <w:jc w:val="center"/>
              <w:rPr>
                <w:rFonts w:eastAsia="Arial" w:cstheme="minorHAnsi"/>
                <w:b/>
                <w:bCs/>
                <w:sz w:val="22"/>
                <w:szCs w:val="22"/>
                <w:lang w:val="en" w:eastAsia="en-GB"/>
              </w:rPr>
            </w:pPr>
            <w:r w:rsidRPr="00D20CBA">
              <w:rPr>
                <w:rFonts w:eastAsia="Arial" w:cstheme="minorHAnsi"/>
                <w:b/>
                <w:bCs/>
                <w:sz w:val="22"/>
                <w:szCs w:val="22"/>
                <w:lang w:val="en" w:eastAsia="en-GB"/>
              </w:rPr>
              <w:t>2D</w:t>
            </w:r>
          </w:p>
        </w:tc>
      </w:tr>
    </w:tbl>
    <w:p w14:paraId="6109C5B8" w14:textId="77777777" w:rsidR="00913B14" w:rsidRPr="00C00DD6" w:rsidRDefault="00913B14" w:rsidP="003F494F">
      <w:pPr>
        <w:pStyle w:val="NormalWeb"/>
        <w:spacing w:before="0" w:beforeAutospacing="0" w:after="0" w:afterAutospacing="0" w:line="360" w:lineRule="auto"/>
        <w:rPr>
          <w:rFonts w:asciiTheme="minorHAnsi" w:hAnsiTheme="minorHAnsi" w:cstheme="minorHAnsi"/>
          <w:sz w:val="22"/>
          <w:szCs w:val="22"/>
        </w:rPr>
      </w:pPr>
    </w:p>
    <w:p w14:paraId="605E8E17" w14:textId="77777777" w:rsidR="00601B86" w:rsidRPr="00C00DD6" w:rsidRDefault="001630D4" w:rsidP="003F494F">
      <w:pPr>
        <w:spacing w:line="360" w:lineRule="auto"/>
        <w:rPr>
          <w:rFonts w:cstheme="minorHAnsi"/>
          <w:b/>
          <w:bCs/>
          <w:sz w:val="22"/>
          <w:szCs w:val="22"/>
          <w:lang w:val="en" w:eastAsia="en-GB"/>
        </w:rPr>
      </w:pPr>
      <w:r w:rsidRPr="00C00DD6">
        <w:rPr>
          <w:rFonts w:cstheme="minorHAnsi"/>
          <w:b/>
          <w:bCs/>
          <w:sz w:val="22"/>
          <w:szCs w:val="22"/>
          <w:lang w:val="en" w:eastAsia="en-GB"/>
        </w:rPr>
        <w:t>Rationale</w:t>
      </w:r>
    </w:p>
    <w:p w14:paraId="3FA96398" w14:textId="25233417" w:rsidR="00601B86" w:rsidRPr="00C00DD6" w:rsidRDefault="001630D4" w:rsidP="003F494F">
      <w:pPr>
        <w:spacing w:line="360" w:lineRule="auto"/>
        <w:jc w:val="both"/>
        <w:rPr>
          <w:rFonts w:eastAsiaTheme="minorEastAsia" w:cstheme="minorHAnsi"/>
          <w:color w:val="000000" w:themeColor="text1"/>
          <w:kern w:val="24"/>
          <w:sz w:val="22"/>
          <w:szCs w:val="22"/>
          <w:lang w:val="en-US" w:eastAsia="en-GB"/>
        </w:rPr>
      </w:pPr>
      <w:r>
        <w:rPr>
          <w:rFonts w:eastAsiaTheme="minorEastAsia" w:cstheme="minorHAnsi"/>
          <w:color w:val="000000" w:themeColor="text1"/>
          <w:kern w:val="24"/>
          <w:sz w:val="22"/>
          <w:szCs w:val="22"/>
          <w:lang w:val="en-US" w:eastAsia="en-GB"/>
        </w:rPr>
        <w:t xml:space="preserve">There is no non-invasive method to diagnose </w:t>
      </w:r>
      <w:proofErr w:type="spellStart"/>
      <w:r w:rsidR="00C32A8A">
        <w:rPr>
          <w:rFonts w:eastAsiaTheme="minorEastAsia" w:cstheme="minorHAnsi"/>
          <w:color w:val="000000" w:themeColor="text1"/>
          <w:kern w:val="24"/>
          <w:sz w:val="22"/>
          <w:szCs w:val="22"/>
          <w:lang w:val="en-US" w:eastAsia="en-GB"/>
        </w:rPr>
        <w:t>IgAN</w:t>
      </w:r>
      <w:proofErr w:type="spellEnd"/>
      <w:r w:rsidR="00C32A8A">
        <w:rPr>
          <w:rFonts w:eastAsiaTheme="minorEastAsia" w:cstheme="minorHAnsi"/>
          <w:color w:val="000000" w:themeColor="text1"/>
          <w:kern w:val="24"/>
          <w:sz w:val="22"/>
          <w:szCs w:val="22"/>
          <w:lang w:val="en-US" w:eastAsia="en-GB"/>
        </w:rPr>
        <w:t xml:space="preserve"> and therefore the </w:t>
      </w:r>
      <w:r w:rsidR="007F44F2">
        <w:rPr>
          <w:rFonts w:eastAsiaTheme="minorEastAsia" w:cstheme="minorHAnsi"/>
          <w:color w:val="000000" w:themeColor="text1"/>
          <w:kern w:val="24"/>
          <w:sz w:val="22"/>
          <w:szCs w:val="22"/>
          <w:lang w:val="en-US" w:eastAsia="en-GB"/>
        </w:rPr>
        <w:t xml:space="preserve">kidney </w:t>
      </w:r>
      <w:r w:rsidR="00D33AC6">
        <w:rPr>
          <w:rFonts w:eastAsiaTheme="minorEastAsia" w:cstheme="minorHAnsi"/>
          <w:color w:val="000000" w:themeColor="text1"/>
          <w:kern w:val="24"/>
          <w:sz w:val="22"/>
          <w:szCs w:val="22"/>
          <w:lang w:val="en-US" w:eastAsia="en-GB"/>
        </w:rPr>
        <w:t xml:space="preserve">biopsy is an essential part of the treatment pathway because the </w:t>
      </w:r>
      <w:r w:rsidR="00C32A8A">
        <w:rPr>
          <w:rFonts w:eastAsiaTheme="minorEastAsia" w:cstheme="minorHAnsi"/>
          <w:color w:val="000000" w:themeColor="text1"/>
          <w:kern w:val="24"/>
          <w:sz w:val="22"/>
          <w:szCs w:val="22"/>
          <w:lang w:val="en-US" w:eastAsia="en-GB"/>
        </w:rPr>
        <w:t xml:space="preserve">diagnosis relies on the histological appearances. </w:t>
      </w:r>
      <w:r w:rsidR="00D33AC6">
        <w:rPr>
          <w:rFonts w:eastAsiaTheme="minorEastAsia" w:cstheme="minorHAnsi"/>
          <w:color w:val="000000" w:themeColor="text1"/>
          <w:kern w:val="24"/>
          <w:sz w:val="22"/>
          <w:szCs w:val="22"/>
          <w:lang w:val="en-US" w:eastAsia="en-GB"/>
        </w:rPr>
        <w:t xml:space="preserve">The criteria for when to conduct a biopsy was agreed to be taken from the IPNA guidelines </w:t>
      </w:r>
      <w:r w:rsidR="00D33AC6">
        <w:rPr>
          <w:rFonts w:eastAsiaTheme="minorEastAsia" w:cstheme="minorHAnsi"/>
          <w:color w:val="000000" w:themeColor="text1"/>
          <w:kern w:val="24"/>
          <w:sz w:val="22"/>
          <w:szCs w:val="22"/>
          <w:lang w:val="en-US" w:eastAsia="en-GB"/>
        </w:rPr>
        <w:fldChar w:fldCharType="begin"/>
      </w:r>
      <w:r w:rsidR="00642970">
        <w:rPr>
          <w:rFonts w:eastAsiaTheme="minorEastAsia" w:cstheme="minorHAnsi"/>
          <w:color w:val="000000" w:themeColor="text1"/>
          <w:kern w:val="24"/>
          <w:sz w:val="22"/>
          <w:szCs w:val="22"/>
          <w:lang w:val="en-US" w:eastAsia="en-GB"/>
        </w:rPr>
        <w:instrText xml:space="preserve"> ADDIN ZOTERO_ITEM CSL_CITATION {"citationID":"2UWg0GQR","properties":{"formattedCitation":"(9)","plainCitation":"(9)","noteIndex":0},"citationItems":[{"id":21,"uris":["http://zotero.org/users/local/lvPLY4Gu/items/UUZER4UI"],"itemData":{"id":21,"type":"article-journal","abstract":"IgA nephropathy and IgA vasculitis with nephritis, albeit rare, represent two relatively frequent glomerular conditions in childhood. Compared to adults, pediatric IgA nephropathy has a more acute presentation, most frequently with synpharyngitic macrohematuria and histologically with more intense inflammation and less intense chronic damage. Management of these conditions is controversial and supported by little high-quality evidence. The paucity of evidence is due to the disease heterogeneity, its inter-ethnic variability, and the difficulty of extrapolating data from adult studies due to the peculiarities of the condition in children. IgA vasculitis with nephritis is a kidney manifestation of a systemic disorder, typical of the pediatric age, in which both the diagnosis of kidney involvement and its management are poorly defined, and an interdisciplinary approach is crucial. Both conditions can have a profound and long-lasting impact on kidney function and the global health of affected children. The International Pediatric Nephrology Association has therefore convened a diverse international group of experts from different disciplines to provide guidance on the recommended management of these conditions in children and to establish common definitions and define priorities for future high-quality, evidence-based collaborative studies for the benefit of children.","container-title":"Pediatric Nephrology (Berlin, Germany)","DOI":"10.1007/s00467-024-06502-6","ISSN":"1432-198X","journalAbbreviation":"Pediatr Nephrol","language":"eng","note":"PMID: 39331079","source":"PubMed","title":"IPNA clinical practice recommendations for the diagnosis and management of children with IgA nephropathy and IgA vasculitis nephritis","author":[{"family":"Vivarelli","given":"Marina"},{"family":"Samuel","given":"Susan"},{"family":"Coppo","given":"Rosanna"},{"family":"Barratt","given":"Jonathan"},{"family":"Bonilla-Felix","given":"Melvin"},{"family":"Haffner","given":"Dieter"},{"family":"Gibson","given":"Keisha"},{"family":"Haas","given":"Mark"},{"family":"Abdel-Hafez","given":"Maher Ahmed"},{"family":"Adragna","given":"Marta"},{"family":"Brogan","given":"Paul"},{"family":"Kim","given":"Siah"},{"family":"Liu","given":"Isaac"},{"family":"Liu","given":"Zhi-Hong"},{"family":"Mantan","given":"Mukta"},{"family":"Shima","given":"Yuko"},{"family":"Shimuzu","given":"Masaki"},{"family":"Shen","given":"Qian"},{"family":"Trimarchi","given":"Hernan"},{"family":"Hahn","given":"Deirdre"},{"family":"Hodson","given":"Elisabeth"},{"family":"Pfister","given":"Ken"},{"family":"Alladin","given":"Areefa"},{"family":"Boyer","given":"Olivia"},{"family":"Nakanishi","given":"Koichi"},{"literal":"International Pediatric Nephrology Association"}],"issued":{"date-parts":[["2024",9,27]]}}}],"schema":"https://github.com/citation-style-language/schema/raw/master/csl-citation.json"} </w:instrText>
      </w:r>
      <w:r w:rsidR="00D33AC6">
        <w:rPr>
          <w:rFonts w:eastAsiaTheme="minorEastAsia" w:cstheme="minorHAnsi"/>
          <w:color w:val="000000" w:themeColor="text1"/>
          <w:kern w:val="24"/>
          <w:sz w:val="22"/>
          <w:szCs w:val="22"/>
          <w:lang w:val="en-US" w:eastAsia="en-GB"/>
        </w:rPr>
        <w:fldChar w:fldCharType="separate"/>
      </w:r>
      <w:r w:rsidR="00642970">
        <w:rPr>
          <w:rFonts w:eastAsiaTheme="minorEastAsia" w:cstheme="minorHAnsi"/>
          <w:noProof/>
          <w:color w:val="000000" w:themeColor="text1"/>
          <w:kern w:val="24"/>
          <w:sz w:val="22"/>
          <w:szCs w:val="22"/>
          <w:lang w:val="en-US" w:eastAsia="en-GB"/>
        </w:rPr>
        <w:t>(9)</w:t>
      </w:r>
      <w:r w:rsidR="00D33AC6">
        <w:rPr>
          <w:rFonts w:eastAsiaTheme="minorEastAsia" w:cstheme="minorHAnsi"/>
          <w:color w:val="000000" w:themeColor="text1"/>
          <w:kern w:val="24"/>
          <w:sz w:val="22"/>
          <w:szCs w:val="22"/>
          <w:lang w:val="en-US" w:eastAsia="en-GB"/>
        </w:rPr>
        <w:fldChar w:fldCharType="end"/>
      </w:r>
      <w:r w:rsidR="00D33AC6">
        <w:rPr>
          <w:rFonts w:eastAsiaTheme="minorEastAsia" w:cstheme="minorHAnsi"/>
          <w:color w:val="000000" w:themeColor="text1"/>
          <w:kern w:val="24"/>
          <w:sz w:val="22"/>
          <w:szCs w:val="22"/>
          <w:lang w:val="en-US" w:eastAsia="en-GB"/>
        </w:rPr>
        <w:t xml:space="preserve">. The MEST-C scoring system is consistent with current clinical practice in the UK sites and supported by international guidelines </w:t>
      </w:r>
      <w:r w:rsidR="00D33AC6">
        <w:rPr>
          <w:rFonts w:eastAsiaTheme="minorEastAsia" w:cstheme="minorHAnsi"/>
          <w:color w:val="000000" w:themeColor="text1"/>
          <w:kern w:val="24"/>
          <w:sz w:val="22"/>
          <w:szCs w:val="22"/>
          <w:lang w:val="en-US" w:eastAsia="en-GB"/>
        </w:rPr>
        <w:fldChar w:fldCharType="begin"/>
      </w:r>
      <w:r w:rsidR="00642970">
        <w:rPr>
          <w:rFonts w:eastAsiaTheme="minorEastAsia" w:cstheme="minorHAnsi"/>
          <w:color w:val="000000" w:themeColor="text1"/>
          <w:kern w:val="24"/>
          <w:sz w:val="22"/>
          <w:szCs w:val="22"/>
          <w:lang w:val="en-US" w:eastAsia="en-GB"/>
        </w:rPr>
        <w:instrText xml:space="preserve"> ADDIN ZOTERO_ITEM CSL_CITATION {"citationID":"sq0j4rdt","properties":{"formattedCitation":"(5,9)","plainCitation":"(5,9)","noteIndex":0},"citationItems":[{"id":11,"uris":["http://zotero.org/users/local/lvPLY4Gu/items/PZVAFVT2"],"itemData":{"id":11,"type":"article-journal","container-title":"Kidney International","DOI":"10.1016/j.kint.2021.05.021","ISSN":"1523-1755","issue":"4S","journalAbbreviation":"Kidney Int","language":"eng","note":"PMID: 34556256","page":"S1-S276","source":"PubMed","title":"KDIGO 2021 Clinical Practice Guideline for the Management of Glomerular Diseases","volume":"100","author":[{"literal":"Kidney Disease: Improving Global Outcomes (KDIGO) Glomerular Diseases Work Group"}],"issued":{"date-parts":[["2021",10]]}}},{"id":21,"uris":["http://zotero.org/users/local/lvPLY4Gu/items/UUZER4UI"],"itemData":{"id":21,"type":"article-journal","abstract":"IgA nephropathy and IgA vasculitis with nephritis, albeit rare, represent two relatively frequent glomerular conditions in childhood. Compared to adults, pediatric IgA nephropathy has a more acute presentation, most frequently with synpharyngitic macrohematuria and histologically with more intense inflammation and less intense chronic damage. Management of these conditions is controversial and supported by little high-quality evidence. The paucity of evidence is due to the disease heterogeneity, its inter-ethnic variability, and the difficulty of extrapolating data from adult studies due to the peculiarities of the condition in children. IgA vasculitis with nephritis is a kidney manifestation of a systemic disorder, typical of the pediatric age, in which both the diagnosis of kidney involvement and its management are poorly defined, and an interdisciplinary approach is crucial. Both conditions can have a profound and long-lasting impact on kidney function and the global health of affected children. The International Pediatric Nephrology Association has therefore convened a diverse international group of experts from different disciplines to provide guidance on the recommended management of these conditions in children and to establish common definitions and define priorities for future high-quality, evidence-based collaborative studies for the benefit of children.","container-title":"Pediatric Nephrology (Berlin, Germany)","DOI":"10.1007/s00467-024-06502-6","ISSN":"1432-198X","journalAbbreviation":"Pediatr Nephrol","language":"eng","note":"PMID: 39331079","source":"PubMed","title":"IPNA clinical practice recommendations for the diagnosis and management of children with IgA nephropathy and IgA vasculitis nephritis","author":[{"family":"Vivarelli","given":"Marina"},{"family":"Samuel","given":"Susan"},{"family":"Coppo","given":"Rosanna"},{"family":"Barratt","given":"Jonathan"},{"family":"Bonilla-Felix","given":"Melvin"},{"family":"Haffner","given":"Dieter"},{"family":"Gibson","given":"Keisha"},{"family":"Haas","given":"Mark"},{"family":"Abdel-Hafez","given":"Maher Ahmed"},{"family":"Adragna","given":"Marta"},{"family":"Brogan","given":"Paul"},{"family":"Kim","given":"Siah"},{"family":"Liu","given":"Isaac"},{"family":"Liu","given":"Zhi-Hong"},{"family":"Mantan","given":"Mukta"},{"family":"Shima","given":"Yuko"},{"family":"Shimuzu","given":"Masaki"},{"family":"Shen","given":"Qian"},{"family":"Trimarchi","given":"Hernan"},{"family":"Hahn","given":"Deirdre"},{"family":"Hodson","given":"Elisabeth"},{"family":"Pfister","given":"Ken"},{"family":"Alladin","given":"Areefa"},{"family":"Boyer","given":"Olivia"},{"family":"Nakanishi","given":"Koichi"},{"literal":"International Pediatric Nephrology Association"}],"issued":{"date-parts":[["2024",9,27]]}}}],"schema":"https://github.com/citation-style-language/schema/raw/master/csl-citation.json"} </w:instrText>
      </w:r>
      <w:r w:rsidR="00D33AC6">
        <w:rPr>
          <w:rFonts w:eastAsiaTheme="minorEastAsia" w:cstheme="minorHAnsi"/>
          <w:color w:val="000000" w:themeColor="text1"/>
          <w:kern w:val="24"/>
          <w:sz w:val="22"/>
          <w:szCs w:val="22"/>
          <w:lang w:val="en-US" w:eastAsia="en-GB"/>
        </w:rPr>
        <w:fldChar w:fldCharType="separate"/>
      </w:r>
      <w:r w:rsidR="00642970">
        <w:rPr>
          <w:rFonts w:eastAsiaTheme="minorEastAsia" w:cstheme="minorHAnsi"/>
          <w:noProof/>
          <w:color w:val="000000" w:themeColor="text1"/>
          <w:kern w:val="24"/>
          <w:sz w:val="22"/>
          <w:szCs w:val="22"/>
          <w:lang w:val="en-US" w:eastAsia="en-GB"/>
        </w:rPr>
        <w:t>(5,9)</w:t>
      </w:r>
      <w:r w:rsidR="00D33AC6">
        <w:rPr>
          <w:rFonts w:eastAsiaTheme="minorEastAsia" w:cstheme="minorHAnsi"/>
          <w:color w:val="000000" w:themeColor="text1"/>
          <w:kern w:val="24"/>
          <w:sz w:val="22"/>
          <w:szCs w:val="22"/>
          <w:lang w:val="en-US" w:eastAsia="en-GB"/>
        </w:rPr>
        <w:fldChar w:fldCharType="end"/>
      </w:r>
      <w:r w:rsidR="00D33AC6">
        <w:rPr>
          <w:rFonts w:eastAsiaTheme="minorEastAsia" w:cstheme="minorHAnsi"/>
          <w:color w:val="000000" w:themeColor="text1"/>
          <w:kern w:val="24"/>
          <w:sz w:val="22"/>
          <w:szCs w:val="22"/>
          <w:lang w:val="en-US" w:eastAsia="en-GB"/>
        </w:rPr>
        <w:t xml:space="preserve">. </w:t>
      </w:r>
      <w:r w:rsidR="0074648A">
        <w:rPr>
          <w:rFonts w:eastAsiaTheme="minorEastAsia" w:cstheme="minorHAnsi"/>
          <w:color w:val="000000" w:themeColor="text1"/>
          <w:kern w:val="24"/>
          <w:sz w:val="22"/>
          <w:szCs w:val="22"/>
          <w:lang w:val="en-US" w:eastAsia="en-GB"/>
        </w:rPr>
        <w:t xml:space="preserve">Clinical indicators and histological indicators of when to commence immunosuppressive treatment were taken from guidelines and discussed by the GDG to achieve agreement on thresholds without being too restrictive. </w:t>
      </w:r>
      <w:r w:rsidR="00316449">
        <w:rPr>
          <w:rFonts w:eastAsiaTheme="minorEastAsia" w:cstheme="minorHAnsi"/>
          <w:color w:val="000000" w:themeColor="text1"/>
          <w:kern w:val="24"/>
          <w:sz w:val="22"/>
          <w:szCs w:val="22"/>
          <w:lang w:val="en-US" w:eastAsia="en-GB"/>
        </w:rPr>
        <w:t xml:space="preserve">The </w:t>
      </w:r>
      <w:proofErr w:type="spellStart"/>
      <w:r w:rsidR="00316449">
        <w:rPr>
          <w:rFonts w:eastAsiaTheme="minorEastAsia" w:cstheme="minorHAnsi"/>
          <w:color w:val="000000" w:themeColor="text1"/>
          <w:kern w:val="24"/>
          <w:sz w:val="22"/>
          <w:szCs w:val="22"/>
          <w:lang w:val="en-US" w:eastAsia="en-GB"/>
        </w:rPr>
        <w:t>IgAN</w:t>
      </w:r>
      <w:proofErr w:type="spellEnd"/>
      <w:r w:rsidR="00316449">
        <w:rPr>
          <w:rFonts w:eastAsiaTheme="minorEastAsia" w:cstheme="minorHAnsi"/>
          <w:color w:val="000000" w:themeColor="text1"/>
          <w:kern w:val="24"/>
          <w:sz w:val="22"/>
          <w:szCs w:val="22"/>
          <w:lang w:val="en-US" w:eastAsia="en-GB"/>
        </w:rPr>
        <w:t xml:space="preserve"> prediction tool can predict the risk of 30% decline in eGFR or kidney failure in children at the time of biopsy using clinical risk factors and the Oxford MEST histology score </w:t>
      </w:r>
      <w:r w:rsidR="00316449">
        <w:rPr>
          <w:rFonts w:eastAsiaTheme="minorEastAsia" w:cstheme="minorHAnsi"/>
          <w:color w:val="000000" w:themeColor="text1"/>
          <w:kern w:val="24"/>
          <w:sz w:val="22"/>
          <w:szCs w:val="22"/>
          <w:lang w:val="en-US" w:eastAsia="en-GB"/>
        </w:rPr>
        <w:fldChar w:fldCharType="begin"/>
      </w:r>
      <w:r w:rsidR="00642970">
        <w:rPr>
          <w:rFonts w:eastAsiaTheme="minorEastAsia" w:cstheme="minorHAnsi"/>
          <w:color w:val="000000" w:themeColor="text1"/>
          <w:kern w:val="24"/>
          <w:sz w:val="22"/>
          <w:szCs w:val="22"/>
          <w:lang w:val="en-US" w:eastAsia="en-GB"/>
        </w:rPr>
        <w:instrText xml:space="preserve"> ADDIN ZOTERO_ITEM CSL_CITATION {"citationID":"nHLZ7ATS","properties":{"formattedCitation":"(139)","plainCitation":"(139)","noteIndex":0},"citationItems":[{"id":339,"uris":["http://zotero.org/users/local/lvPLY4Gu/items/5RJW3UM2"],"itemData":{"id":339,"type":"article-journal","abstract":"Although IgA nephropathy (IgAN) is a common cause of glomerulonephritis in children, the absence of a method to predict disease progression limits personalized risk-based treatment decisions. The adult International IgAN Prediction Tool comprises two validated Cox survival models that predict a 50% decline in estimated glomerular filtration rate (eGFR) or end stage kidney disease (ESKD) using clinical risk factors and Oxford MEST histology scores. Here, we updated the Prediction Tool for use in children using a multiethnic international cohort of 1,060 children with IgAN followed into adulthood. The updated pediatric Prediction Tool had better model fit than the original adult tool with lower Akaike Information Criterion, higher R2D and similar C-statistics. However, calibration showed very poor agreement between predicted and observed risks likely due to the observed disease trajectory in children. Therefore, the Tool was updated using a secondary outcome of a 30% reduction in eGFR or ESKD, resulting in better R2D (30.3%/22.2%) and similar C-statistics (0.74/0.68) compared to the adult tool but with good calibration. The trajectory of eGFR over time in children differed from adults being highly non-linear with an increase until 18 years old followed by a linear decline similar to that of adults. A higher predicted risk was associated with a smaller increase in eGFR followed by a more rapid decline, suggesting that children at risk of a 30% decrease in eGFR will eventually experience a larger 50% decrease in eGFR when followed into adulthood. As such, these two outcomes are analogous between pediatric and adult Prediction Tools. Thus, our pediatric Prediction Tool can accurately predict the risk of a 30% decline in eGFR or ESKD in children with IgAN.","container-title":"Kidney International","DOI":"10.1016/j.kint.2020.10.033","ISSN":"1523-1755","issue":"6","journalAbbreviation":"Kidney Int","language":"eng","note":"PMID: 33220356","page":"1439-1450","source":"PubMed","title":"Updating the International IgA Nephropathy Prediction Tool for use in children","volume":"99","author":[{"family":"Barbour","given":"Sean J."},{"family":"Coppo","given":"Rosanna"},{"family":"Er","given":"Lee"},{"family":"Russo","given":"Maria Luisa"},{"family":"Liu","given":"Zhi-Hong"},{"family":"Ding","given":"Jie"},{"family":"Katafuchi","given":"Ritsuko"},{"family":"Yoshikawa","given":"Norishige"},{"family":"Xu","given":"Hong"},{"family":"Kagami","given":"Shoji"},{"family":"Yuzawa","given":"Yukio"},{"family":"Emma","given":"Francesco"},{"family":"Cambier","given":"Alexandra"},{"family":"Peruzzi","given":"Licia"},{"family":"Wyatt","given":"Robert J."},{"family":"Cattran","given":"Daniel C."},{"literal":"International IgA Nephropathy Network"}],"issued":{"date-parts":[["2021",6]]}}}],"schema":"https://github.com/citation-style-language/schema/raw/master/csl-citation.json"} </w:instrText>
      </w:r>
      <w:r w:rsidR="00316449">
        <w:rPr>
          <w:rFonts w:eastAsiaTheme="minorEastAsia" w:cstheme="minorHAnsi"/>
          <w:color w:val="000000" w:themeColor="text1"/>
          <w:kern w:val="24"/>
          <w:sz w:val="22"/>
          <w:szCs w:val="22"/>
          <w:lang w:val="en-US" w:eastAsia="en-GB"/>
        </w:rPr>
        <w:fldChar w:fldCharType="separate"/>
      </w:r>
      <w:r w:rsidR="00642970">
        <w:rPr>
          <w:rFonts w:eastAsiaTheme="minorEastAsia" w:cstheme="minorHAnsi"/>
          <w:noProof/>
          <w:color w:val="000000" w:themeColor="text1"/>
          <w:kern w:val="24"/>
          <w:sz w:val="22"/>
          <w:szCs w:val="22"/>
          <w:lang w:val="en-US" w:eastAsia="en-GB"/>
        </w:rPr>
        <w:t>(139)</w:t>
      </w:r>
      <w:r w:rsidR="00316449">
        <w:rPr>
          <w:rFonts w:eastAsiaTheme="minorEastAsia" w:cstheme="minorHAnsi"/>
          <w:color w:val="000000" w:themeColor="text1"/>
          <w:kern w:val="24"/>
          <w:sz w:val="22"/>
          <w:szCs w:val="22"/>
          <w:lang w:val="en-US" w:eastAsia="en-GB"/>
        </w:rPr>
        <w:fldChar w:fldCharType="end"/>
      </w:r>
      <w:r w:rsidR="00316449">
        <w:rPr>
          <w:rFonts w:eastAsiaTheme="minorEastAsia" w:cstheme="minorHAnsi"/>
          <w:color w:val="000000" w:themeColor="text1"/>
          <w:kern w:val="24"/>
          <w:sz w:val="22"/>
          <w:szCs w:val="22"/>
          <w:lang w:val="en-US" w:eastAsia="en-GB"/>
        </w:rPr>
        <w:t xml:space="preserve">. There is updated literature to show that re-evaluation of risk at 1 or 2 years after biopsy is also accurate </w:t>
      </w:r>
      <w:r w:rsidR="00316449">
        <w:rPr>
          <w:rFonts w:eastAsiaTheme="minorEastAsia" w:cstheme="minorHAnsi"/>
          <w:color w:val="000000" w:themeColor="text1"/>
          <w:kern w:val="24"/>
          <w:sz w:val="22"/>
          <w:szCs w:val="22"/>
          <w:lang w:val="en-US" w:eastAsia="en-GB"/>
        </w:rPr>
        <w:fldChar w:fldCharType="begin"/>
      </w:r>
      <w:r w:rsidR="00642970">
        <w:rPr>
          <w:rFonts w:eastAsiaTheme="minorEastAsia" w:cstheme="minorHAnsi"/>
          <w:color w:val="000000" w:themeColor="text1"/>
          <w:kern w:val="24"/>
          <w:sz w:val="22"/>
          <w:szCs w:val="22"/>
          <w:lang w:val="en-US" w:eastAsia="en-GB"/>
        </w:rPr>
        <w:instrText xml:space="preserve"> ADDIN ZOTERO_ITEM CSL_CITATION {"citationID":"BfDK5jFC","properties":{"formattedCitation":"(140)","plainCitation":"(140)","noteIndex":0},"citationItems":[{"id":336,"uris":["http://zotero.org/users/local/lvPLY4Gu/items/QM723QN8"],"itemData":{"id":336,"type":"article-journal","container-title":"Kidney International","DOI":"10.1016/j.kint.2024.07.012","ISSN":"0085-2538","issue":"5","journalAbbreviation":"Kidney International","language":"English","note":"publisher: Elsevier\nPMID: 39094695","page":"913-927","source":"www.kidney-international.org","title":"Application of the updated International IgA Nephropathy Prediction Tool in children one or two years post-biopsy","volume":"106","author":[{"family":"Barbour","given":"Sean J."},{"family":"Coppo","given":"Rosanna"},{"family":"Er","given":"Lee"},{"family":"Russo","given":"Maria Luisa"},{"family":"Liu","given":"Zhi-Hong"},{"family":"Ding","given":"Jie"},{"family":"Zhong","given":"Xuhui"},{"family":"Katafuchi","given":"Ritsuko"},{"family":"Yoshikawa","given":"Norishige"},{"family":"Xu","given":"Hong"},{"family":"Kagami","given":"Shoji"},{"family":"Yuzawa","given":"Yukio"},{"family":"Emma","given":"Francesco"},{"family":"Cambier","given":"Alexandra"},{"family":"Peruzzi","given":"Licia"},{"family":"Wyatt","given":"Robert J."},{"family":"Cattran","given":"Daniel C."},{"family":"Zeng","given":"Caihong"},{"family":"Su","given":"Biage"},{"family":"Zhong","given":"Xuhui"},{"family":"Nakanishi","given":"Koichi"},{"family":"Zhai","given":"Yihui"},{"family":"Urushihara","given":"Maki"},{"family":"Hattori","given":"Motoshi"},{"family":"Camassei","given":"Francesca Diomedi"},{"family":"Barreca","given":"Antonella"},{"family":"Robert","given":"Thomas"},{"family":"Prikhodina","given":"Larisa"},{"family":"Berg","given":"Ulla"},{"family":"Topaloglu","given":"Rezan"},{"family":"Mizerska-Wasiak","given":"Malgorzata"},{"family":"Papagianni","given":"Aikaterini"},{"family":"Bellur","given":"Shubha S."},{"family":"Roberts","given":"Ian"}],"issued":{"date-parts":[["2024",11,1]]}}}],"schema":"https://github.com/citation-style-language/schema/raw/master/csl-citation.json"} </w:instrText>
      </w:r>
      <w:r w:rsidR="00316449">
        <w:rPr>
          <w:rFonts w:eastAsiaTheme="minorEastAsia" w:cstheme="minorHAnsi"/>
          <w:color w:val="000000" w:themeColor="text1"/>
          <w:kern w:val="24"/>
          <w:sz w:val="22"/>
          <w:szCs w:val="22"/>
          <w:lang w:val="en-US" w:eastAsia="en-GB"/>
        </w:rPr>
        <w:fldChar w:fldCharType="separate"/>
      </w:r>
      <w:r w:rsidR="00642970">
        <w:rPr>
          <w:rFonts w:eastAsiaTheme="minorEastAsia" w:cstheme="minorHAnsi"/>
          <w:noProof/>
          <w:color w:val="000000" w:themeColor="text1"/>
          <w:kern w:val="24"/>
          <w:sz w:val="22"/>
          <w:szCs w:val="22"/>
          <w:lang w:val="en-US" w:eastAsia="en-GB"/>
        </w:rPr>
        <w:t>(140)</w:t>
      </w:r>
      <w:r w:rsidR="00316449">
        <w:rPr>
          <w:rFonts w:eastAsiaTheme="minorEastAsia" w:cstheme="minorHAnsi"/>
          <w:color w:val="000000" w:themeColor="text1"/>
          <w:kern w:val="24"/>
          <w:sz w:val="22"/>
          <w:szCs w:val="22"/>
          <w:lang w:val="en-US" w:eastAsia="en-GB"/>
        </w:rPr>
        <w:fldChar w:fldCharType="end"/>
      </w:r>
      <w:r w:rsidR="00316449">
        <w:rPr>
          <w:rFonts w:eastAsiaTheme="minorEastAsia" w:cstheme="minorHAnsi"/>
          <w:color w:val="000000" w:themeColor="text1"/>
          <w:kern w:val="24"/>
          <w:sz w:val="22"/>
          <w:szCs w:val="22"/>
          <w:lang w:val="en-US" w:eastAsia="en-GB"/>
        </w:rPr>
        <w:t xml:space="preserve">. </w:t>
      </w:r>
      <w:r w:rsidR="00F3454F">
        <w:rPr>
          <w:rFonts w:eastAsiaTheme="minorEastAsia" w:cstheme="minorHAnsi"/>
          <w:color w:val="000000" w:themeColor="text1"/>
          <w:kern w:val="24"/>
          <w:sz w:val="22"/>
          <w:szCs w:val="22"/>
          <w:lang w:val="en-US" w:eastAsia="en-GB"/>
        </w:rPr>
        <w:lastRenderedPageBreak/>
        <w:t xml:space="preserve">Agreement was made that in the absence of any strong evidence </w:t>
      </w:r>
      <w:r w:rsidR="009D531C">
        <w:rPr>
          <w:rFonts w:eastAsiaTheme="minorEastAsia" w:cstheme="minorHAnsi"/>
          <w:color w:val="000000" w:themeColor="text1"/>
          <w:kern w:val="24"/>
          <w:sz w:val="22"/>
          <w:szCs w:val="22"/>
          <w:lang w:val="en-US" w:eastAsia="en-GB"/>
        </w:rPr>
        <w:t xml:space="preserve">that </w:t>
      </w:r>
      <w:r w:rsidR="00F3454F">
        <w:rPr>
          <w:rFonts w:eastAsiaTheme="minorEastAsia" w:cstheme="minorHAnsi"/>
          <w:color w:val="000000" w:themeColor="text1"/>
          <w:kern w:val="24"/>
          <w:sz w:val="22"/>
          <w:szCs w:val="22"/>
          <w:lang w:val="en-US" w:eastAsia="en-GB"/>
        </w:rPr>
        <w:t xml:space="preserve">the preferred agent for first line treatment would be corticosteroids and/or the use of MMF. This was </w:t>
      </w:r>
      <w:r w:rsidR="009D531C">
        <w:rPr>
          <w:rFonts w:eastAsiaTheme="minorEastAsia" w:cstheme="minorHAnsi"/>
          <w:color w:val="000000" w:themeColor="text1"/>
          <w:kern w:val="24"/>
          <w:sz w:val="22"/>
          <w:szCs w:val="22"/>
          <w:lang w:val="en-US" w:eastAsia="en-GB"/>
        </w:rPr>
        <w:t xml:space="preserve">partly to </w:t>
      </w:r>
      <w:r w:rsidR="00F3454F">
        <w:rPr>
          <w:rFonts w:eastAsiaTheme="minorEastAsia" w:cstheme="minorHAnsi"/>
          <w:color w:val="000000" w:themeColor="text1"/>
          <w:kern w:val="24"/>
          <w:sz w:val="22"/>
          <w:szCs w:val="22"/>
          <w:lang w:val="en-US" w:eastAsia="en-GB"/>
        </w:rPr>
        <w:t xml:space="preserve">align with the </w:t>
      </w:r>
      <w:r w:rsidR="009D531C">
        <w:rPr>
          <w:rFonts w:eastAsiaTheme="minorEastAsia" w:cstheme="minorHAnsi"/>
          <w:color w:val="000000" w:themeColor="text1"/>
          <w:kern w:val="24"/>
          <w:sz w:val="22"/>
          <w:szCs w:val="22"/>
          <w:lang w:val="en-US" w:eastAsia="en-GB"/>
        </w:rPr>
        <w:t xml:space="preserve">management of </w:t>
      </w:r>
      <w:r w:rsidR="00F3454F">
        <w:rPr>
          <w:rFonts w:eastAsiaTheme="minorEastAsia" w:cstheme="minorHAnsi"/>
          <w:color w:val="000000" w:themeColor="text1"/>
          <w:kern w:val="24"/>
          <w:sz w:val="22"/>
          <w:szCs w:val="22"/>
          <w:lang w:val="en-US" w:eastAsia="en-GB"/>
        </w:rPr>
        <w:t xml:space="preserve">IgA vasculitis </w:t>
      </w:r>
      <w:r w:rsidR="009D531C">
        <w:rPr>
          <w:rFonts w:eastAsiaTheme="minorEastAsia" w:cstheme="minorHAnsi"/>
          <w:color w:val="000000" w:themeColor="text1"/>
          <w:kern w:val="24"/>
          <w:sz w:val="22"/>
          <w:szCs w:val="22"/>
          <w:lang w:val="en-US" w:eastAsia="en-GB"/>
        </w:rPr>
        <w:t>nephritis</w:t>
      </w:r>
      <w:r w:rsidR="00014555">
        <w:rPr>
          <w:rFonts w:eastAsiaTheme="minorEastAsia" w:cstheme="minorHAnsi"/>
          <w:color w:val="000000" w:themeColor="text1"/>
          <w:kern w:val="24"/>
          <w:sz w:val="22"/>
          <w:szCs w:val="22"/>
          <w:lang w:val="en-US" w:eastAsia="en-GB"/>
        </w:rPr>
        <w:t xml:space="preserve"> and C3 glomerulopathy and</w:t>
      </w:r>
      <w:r w:rsidR="009D531C">
        <w:rPr>
          <w:rFonts w:eastAsiaTheme="minorEastAsia" w:cstheme="minorHAnsi"/>
          <w:color w:val="000000" w:themeColor="text1"/>
          <w:kern w:val="24"/>
          <w:sz w:val="22"/>
          <w:szCs w:val="22"/>
          <w:lang w:val="en-US" w:eastAsia="en-GB"/>
        </w:rPr>
        <w:t xml:space="preserve"> it was agreed that these agents were most commonly being used, </w:t>
      </w:r>
      <w:r w:rsidR="00014555">
        <w:rPr>
          <w:rFonts w:eastAsiaTheme="minorEastAsia" w:cstheme="minorHAnsi"/>
          <w:color w:val="000000" w:themeColor="text1"/>
          <w:kern w:val="24"/>
          <w:sz w:val="22"/>
          <w:szCs w:val="22"/>
          <w:lang w:val="en-US" w:eastAsia="en-GB"/>
        </w:rPr>
        <w:t>plus</w:t>
      </w:r>
      <w:r w:rsidR="009D531C">
        <w:rPr>
          <w:rFonts w:eastAsiaTheme="minorEastAsia" w:cstheme="minorHAnsi"/>
          <w:color w:val="000000" w:themeColor="text1"/>
          <w:kern w:val="24"/>
          <w:sz w:val="22"/>
          <w:szCs w:val="22"/>
          <w:lang w:val="en-US" w:eastAsia="en-GB"/>
        </w:rPr>
        <w:t xml:space="preserve"> the drug lacks nephrotoxicity which was seen as an advantage.</w:t>
      </w:r>
      <w:r w:rsidR="00F3454F">
        <w:rPr>
          <w:rFonts w:eastAsiaTheme="minorEastAsia" w:cstheme="minorHAnsi"/>
          <w:color w:val="000000" w:themeColor="text1"/>
          <w:kern w:val="24"/>
          <w:sz w:val="22"/>
          <w:szCs w:val="22"/>
          <w:lang w:val="en-US" w:eastAsia="en-GB"/>
        </w:rPr>
        <w:t xml:space="preserve"> Other agents</w:t>
      </w:r>
      <w:r w:rsidR="00DE1E82">
        <w:rPr>
          <w:rFonts w:eastAsiaTheme="minorEastAsia" w:cstheme="minorHAnsi"/>
          <w:color w:val="000000" w:themeColor="text1"/>
          <w:kern w:val="24"/>
          <w:sz w:val="22"/>
          <w:szCs w:val="22"/>
          <w:lang w:val="en-US" w:eastAsia="en-GB"/>
        </w:rPr>
        <w:t>, such as tacrolimus,</w:t>
      </w:r>
      <w:r w:rsidR="00F3454F">
        <w:rPr>
          <w:rFonts w:eastAsiaTheme="minorEastAsia" w:cstheme="minorHAnsi"/>
          <w:color w:val="000000" w:themeColor="text1"/>
          <w:kern w:val="24"/>
          <w:sz w:val="22"/>
          <w:szCs w:val="22"/>
          <w:lang w:val="en-US" w:eastAsia="en-GB"/>
        </w:rPr>
        <w:t xml:space="preserve"> </w:t>
      </w:r>
      <w:r w:rsidR="00DE1E82">
        <w:rPr>
          <w:rFonts w:eastAsiaTheme="minorEastAsia" w:cstheme="minorHAnsi"/>
          <w:color w:val="000000" w:themeColor="text1"/>
          <w:kern w:val="24"/>
          <w:sz w:val="22"/>
          <w:szCs w:val="22"/>
          <w:lang w:val="en-US" w:eastAsia="en-GB"/>
        </w:rPr>
        <w:t>remain unevaluated</w:t>
      </w:r>
      <w:r w:rsidR="00F3454F">
        <w:rPr>
          <w:rFonts w:eastAsiaTheme="minorEastAsia" w:cstheme="minorHAnsi"/>
          <w:color w:val="000000" w:themeColor="text1"/>
          <w:kern w:val="24"/>
          <w:sz w:val="22"/>
          <w:szCs w:val="22"/>
          <w:lang w:val="en-US" w:eastAsia="en-GB"/>
        </w:rPr>
        <w:t xml:space="preserve"> and are therefore included as </w:t>
      </w:r>
      <w:r w:rsidR="009D531C">
        <w:rPr>
          <w:rFonts w:eastAsiaTheme="minorEastAsia" w:cstheme="minorHAnsi"/>
          <w:color w:val="000000" w:themeColor="text1"/>
          <w:kern w:val="24"/>
          <w:sz w:val="22"/>
          <w:szCs w:val="22"/>
          <w:lang w:val="en-US" w:eastAsia="en-GB"/>
        </w:rPr>
        <w:t xml:space="preserve">potential alternative </w:t>
      </w:r>
      <w:r w:rsidR="00F3454F">
        <w:rPr>
          <w:rFonts w:eastAsiaTheme="minorEastAsia" w:cstheme="minorHAnsi"/>
          <w:color w:val="000000" w:themeColor="text1"/>
          <w:kern w:val="24"/>
          <w:sz w:val="22"/>
          <w:szCs w:val="22"/>
          <w:lang w:val="en-US" w:eastAsia="en-GB"/>
        </w:rPr>
        <w:t xml:space="preserve">options. For patients at very high risk of disease progression to organ failure the guidelines continue to recommend intravenous agents including the use of intravenous methylprednisolone and cyclophosphamide </w:t>
      </w:r>
      <w:r w:rsidR="00F3454F">
        <w:rPr>
          <w:rFonts w:eastAsiaTheme="minorEastAsia" w:cstheme="minorHAnsi"/>
          <w:color w:val="000000" w:themeColor="text1"/>
          <w:kern w:val="24"/>
          <w:sz w:val="22"/>
          <w:szCs w:val="22"/>
          <w:lang w:val="en-US" w:eastAsia="en-GB"/>
        </w:rPr>
        <w:fldChar w:fldCharType="begin"/>
      </w:r>
      <w:r w:rsidR="00642970">
        <w:rPr>
          <w:rFonts w:eastAsiaTheme="minorEastAsia" w:cstheme="minorHAnsi"/>
          <w:color w:val="000000" w:themeColor="text1"/>
          <w:kern w:val="24"/>
          <w:sz w:val="22"/>
          <w:szCs w:val="22"/>
          <w:lang w:val="en-US" w:eastAsia="en-GB"/>
        </w:rPr>
        <w:instrText xml:space="preserve"> ADDIN ZOTERO_ITEM CSL_CITATION {"citationID":"x1pgKM0F","properties":{"formattedCitation":"(5,9)","plainCitation":"(5,9)","noteIndex":0},"citationItems":[{"id":11,"uris":["http://zotero.org/users/local/lvPLY4Gu/items/PZVAFVT2"],"itemData":{"id":11,"type":"article-journal","container-title":"Kidney International","DOI":"10.1016/j.kint.2021.05.021","ISSN":"1523-1755","issue":"4S","journalAbbreviation":"Kidney Int","language":"eng","note":"PMID: 34556256","page":"S1-S276","source":"PubMed","title":"KDIGO 2021 Clinical Practice Guideline for the Management of Glomerular Diseases","volume":"100","author":[{"literal":"Kidney Disease: Improving Global Outcomes (KDIGO) Glomerular Diseases Work Group"}],"issued":{"date-parts":[["2021",10]]}}},{"id":21,"uris":["http://zotero.org/users/local/lvPLY4Gu/items/UUZER4UI"],"itemData":{"id":21,"type":"article-journal","abstract":"IgA nephropathy and IgA vasculitis with nephritis, albeit rare, represent two relatively frequent glomerular conditions in childhood. Compared to adults, pediatric IgA nephropathy has a more acute presentation, most frequently with synpharyngitic macrohematuria and histologically with more intense inflammation and less intense chronic damage. Management of these conditions is controversial and supported by little high-quality evidence. The paucity of evidence is due to the disease heterogeneity, its inter-ethnic variability, and the difficulty of extrapolating data from adult studies due to the peculiarities of the condition in children. IgA vasculitis with nephritis is a kidney manifestation of a systemic disorder, typical of the pediatric age, in which both the diagnosis of kidney involvement and its management are poorly defined, and an interdisciplinary approach is crucial. Both conditions can have a profound and long-lasting impact on kidney function and the global health of affected children. The International Pediatric Nephrology Association has therefore convened a diverse international group of experts from different disciplines to provide guidance on the recommended management of these conditions in children and to establish common definitions and define priorities for future high-quality, evidence-based collaborative studies for the benefit of children.","container-title":"Pediatric Nephrology (Berlin, Germany)","DOI":"10.1007/s00467-024-06502-6","ISSN":"1432-198X","journalAbbreviation":"Pediatr Nephrol","language":"eng","note":"PMID: 39331079","source":"PubMed","title":"IPNA clinical practice recommendations for the diagnosis and management of children with IgA nephropathy and IgA vasculitis nephritis","author":[{"family":"Vivarelli","given":"Marina"},{"family":"Samuel","given":"Susan"},{"family":"Coppo","given":"Rosanna"},{"family":"Barratt","given":"Jonathan"},{"family":"Bonilla-Felix","given":"Melvin"},{"family":"Haffner","given":"Dieter"},{"family":"Gibson","given":"Keisha"},{"family":"Haas","given":"Mark"},{"family":"Abdel-Hafez","given":"Maher Ahmed"},{"family":"Adragna","given":"Marta"},{"family":"Brogan","given":"Paul"},{"family":"Kim","given":"Siah"},{"family":"Liu","given":"Isaac"},{"family":"Liu","given":"Zhi-Hong"},{"family":"Mantan","given":"Mukta"},{"family":"Shima","given":"Yuko"},{"family":"Shimuzu","given":"Masaki"},{"family":"Shen","given":"Qian"},{"family":"Trimarchi","given":"Hernan"},{"family":"Hahn","given":"Deirdre"},{"family":"Hodson","given":"Elisabeth"},{"family":"Pfister","given":"Ken"},{"family":"Alladin","given":"Areefa"},{"family":"Boyer","given":"Olivia"},{"family":"Nakanishi","given":"Koichi"},{"literal":"International Pediatric Nephrology Association"}],"issued":{"date-parts":[["2024",9,27]]}}}],"schema":"https://github.com/citation-style-language/schema/raw/master/csl-citation.json"} </w:instrText>
      </w:r>
      <w:r w:rsidR="00F3454F">
        <w:rPr>
          <w:rFonts w:eastAsiaTheme="minorEastAsia" w:cstheme="minorHAnsi"/>
          <w:color w:val="000000" w:themeColor="text1"/>
          <w:kern w:val="24"/>
          <w:sz w:val="22"/>
          <w:szCs w:val="22"/>
          <w:lang w:val="en-US" w:eastAsia="en-GB"/>
        </w:rPr>
        <w:fldChar w:fldCharType="separate"/>
      </w:r>
      <w:r w:rsidR="00642970">
        <w:rPr>
          <w:rFonts w:eastAsiaTheme="minorEastAsia" w:cstheme="minorHAnsi"/>
          <w:noProof/>
          <w:color w:val="000000" w:themeColor="text1"/>
          <w:kern w:val="24"/>
          <w:sz w:val="22"/>
          <w:szCs w:val="22"/>
          <w:lang w:val="en-US" w:eastAsia="en-GB"/>
        </w:rPr>
        <w:t>(5,9)</w:t>
      </w:r>
      <w:r w:rsidR="00F3454F">
        <w:rPr>
          <w:rFonts w:eastAsiaTheme="minorEastAsia" w:cstheme="minorHAnsi"/>
          <w:color w:val="000000" w:themeColor="text1"/>
          <w:kern w:val="24"/>
          <w:sz w:val="22"/>
          <w:szCs w:val="22"/>
          <w:lang w:val="en-US" w:eastAsia="en-GB"/>
        </w:rPr>
        <w:fldChar w:fldCharType="end"/>
      </w:r>
      <w:r w:rsidR="00F3454F">
        <w:rPr>
          <w:rFonts w:eastAsiaTheme="minorEastAsia" w:cstheme="minorHAnsi"/>
          <w:color w:val="000000" w:themeColor="text1"/>
          <w:kern w:val="24"/>
          <w:sz w:val="22"/>
          <w:szCs w:val="22"/>
          <w:lang w:val="en-US" w:eastAsia="en-GB"/>
        </w:rPr>
        <w:t xml:space="preserve"> </w:t>
      </w:r>
      <w:r w:rsidR="00014555">
        <w:rPr>
          <w:rFonts w:eastAsiaTheme="minorEastAsia" w:cstheme="minorHAnsi"/>
          <w:color w:val="000000" w:themeColor="text1"/>
          <w:kern w:val="24"/>
          <w:sz w:val="22"/>
          <w:szCs w:val="22"/>
          <w:lang w:val="en-US" w:eastAsia="en-GB"/>
        </w:rPr>
        <w:t>or</w:t>
      </w:r>
      <w:r w:rsidR="00F3454F">
        <w:rPr>
          <w:rFonts w:eastAsiaTheme="minorEastAsia" w:cstheme="minorHAnsi"/>
          <w:color w:val="000000" w:themeColor="text1"/>
          <w:kern w:val="24"/>
          <w:sz w:val="22"/>
          <w:szCs w:val="22"/>
          <w:lang w:val="en-US" w:eastAsia="en-GB"/>
        </w:rPr>
        <w:t xml:space="preserve"> rituximab despite the negative trial data in adults </w:t>
      </w:r>
      <w:r w:rsidR="00F3454F">
        <w:rPr>
          <w:rFonts w:eastAsiaTheme="minorEastAsia" w:cstheme="minorHAnsi"/>
          <w:color w:val="000000" w:themeColor="text1"/>
          <w:kern w:val="24"/>
          <w:sz w:val="22"/>
          <w:szCs w:val="22"/>
          <w:lang w:val="en-US" w:eastAsia="en-GB"/>
        </w:rPr>
        <w:fldChar w:fldCharType="begin"/>
      </w:r>
      <w:r w:rsidR="00642970">
        <w:rPr>
          <w:rFonts w:eastAsiaTheme="minorEastAsia" w:cstheme="minorHAnsi"/>
          <w:color w:val="000000" w:themeColor="text1"/>
          <w:kern w:val="24"/>
          <w:sz w:val="22"/>
          <w:szCs w:val="22"/>
          <w:lang w:val="en-US" w:eastAsia="en-GB"/>
        </w:rPr>
        <w:instrText xml:space="preserve"> ADDIN ZOTERO_ITEM CSL_CITATION {"citationID":"csnOgJrK","properties":{"formattedCitation":"(141)","plainCitation":"(141)","noteIndex":0},"citationItems":[{"id":343,"uris":["http://zotero.org/users/local/lvPLY4Gu/items/XZT3A7SN"],"itemData":{"id":343,"type":"article-journal","abstract":"IgA nephropathy frequently leads to progressive CKD. Although interest surrounds use of immunosuppressive agents added to standard therapy, several recent studies have questioned efficacy of these agents. Depleting antibody-producing B cells potentially offers a new therapy. In this open label, multicenter study conducted over 1-year follow-up, we randomized 34 adult patients with biopsy-proven IgA nephropathy and proteinuria &gt;1 g/d, maintained on angiotensin-converting enzyme inhibitors or angiotensin receptor blockers with well controlled BP and eGFR&lt;90 ml/min per 1.73 m2, to receive standard therapy or rituximab with standard therapy. Primary outcome measures included change in proteinuria and change in eGFR. Median baseline serum creatinine level (range) was 1.4 (0.8-2.4) mg/dl, and proteinuria was 2.1 (0.6-5.3) g/d. Treatment with rituximab depleted B cells and was well tolerated. eGFR did not change in either group. Rituximab did not alter the level of proteinuria compared with that at baseline or in the control group; three patients in each group had ≥50% reduction in level of proteinuria. Serum levels of galactose-deficient IgA1 or antibodies against galactose-deficient IgA1 did not change. In this trial, rituximab therapy did not significantly improve renal function or proteinuria assessed over 1 year. Although rituximab effectively depleted B cells, it failed to reduce serum levels of galactose-deficient IgA1 and antigalactose-deficient IgA1 antibodies. Lack of efficacy of rituximab, at least at this stage and severity of IgA nephropathy, may reflect a failure of rituximab to reduce levels of specific antibodies assigned salient pathogenetic roles in IgA nephropathy.","container-title":"Journal of the American Society of Nephrology: JASN","DOI":"10.1681/ASN.2016060640","ISSN":"1533-3450","issue":"4","journalAbbreviation":"J Am Soc Nephrol","language":"eng","note":"PMID: 27821627\nPMCID: PMC5373458","page":"1306-1313","source":"PubMed","title":"A Randomized, Controlled Trial of Rituximab in IgA Nephropathy with Proteinuria and Renal Dysfunction","volume":"28","author":[{"family":"Lafayette","given":"Richard A."},{"family":"Canetta","given":"Pietro A."},{"family":"Rovin","given":"Brad H."},{"family":"Appel","given":"Gerald B."},{"family":"Novak","given":"Jan"},{"family":"Nath","given":"Karl A."},{"family":"Sethi","given":"Sanjeev"},{"family":"Tumlin","given":"James A."},{"family":"Mehta","given":"Kshama"},{"family":"Hogan","given":"Marie"},{"family":"Erickson","given":"Stephen"},{"family":"Julian","given":"Bruce A."},{"family":"Leung","given":"Nelson"},{"family":"Enders","given":"Felicity T."},{"family":"Brown","given":"Rhubell"},{"family":"Knoppova","given":"Barbora"},{"family":"Hall","given":"Stacy"},{"family":"Fervenza","given":"Fernando C."}],"issued":{"date-parts":[["2017",4]]}}}],"schema":"https://github.com/citation-style-language/schema/raw/master/csl-citation.json"} </w:instrText>
      </w:r>
      <w:r w:rsidR="00F3454F">
        <w:rPr>
          <w:rFonts w:eastAsiaTheme="minorEastAsia" w:cstheme="minorHAnsi"/>
          <w:color w:val="000000" w:themeColor="text1"/>
          <w:kern w:val="24"/>
          <w:sz w:val="22"/>
          <w:szCs w:val="22"/>
          <w:lang w:val="en-US" w:eastAsia="en-GB"/>
        </w:rPr>
        <w:fldChar w:fldCharType="separate"/>
      </w:r>
      <w:r w:rsidR="00642970">
        <w:rPr>
          <w:rFonts w:eastAsiaTheme="minorEastAsia" w:cstheme="minorHAnsi"/>
          <w:noProof/>
          <w:color w:val="000000" w:themeColor="text1"/>
          <w:kern w:val="24"/>
          <w:sz w:val="22"/>
          <w:szCs w:val="22"/>
          <w:lang w:val="en-US" w:eastAsia="en-GB"/>
        </w:rPr>
        <w:t>(141)</w:t>
      </w:r>
      <w:r w:rsidR="00F3454F">
        <w:rPr>
          <w:rFonts w:eastAsiaTheme="minorEastAsia" w:cstheme="minorHAnsi"/>
          <w:color w:val="000000" w:themeColor="text1"/>
          <w:kern w:val="24"/>
          <w:sz w:val="22"/>
          <w:szCs w:val="22"/>
          <w:lang w:val="en-US" w:eastAsia="en-GB"/>
        </w:rPr>
        <w:fldChar w:fldCharType="end"/>
      </w:r>
      <w:r w:rsidR="00014555">
        <w:rPr>
          <w:rFonts w:eastAsiaTheme="minorEastAsia" w:cstheme="minorHAnsi"/>
          <w:color w:val="000000" w:themeColor="text1"/>
          <w:kern w:val="24"/>
          <w:sz w:val="22"/>
          <w:szCs w:val="22"/>
          <w:lang w:val="en-US" w:eastAsia="en-GB"/>
        </w:rPr>
        <w:t xml:space="preserve">, it was felt that adult trials </w:t>
      </w:r>
      <w:r w:rsidR="00DE1E82">
        <w:rPr>
          <w:rFonts w:eastAsiaTheme="minorEastAsia" w:cstheme="minorHAnsi"/>
          <w:color w:val="000000" w:themeColor="text1"/>
          <w:kern w:val="24"/>
          <w:sz w:val="22"/>
          <w:szCs w:val="22"/>
          <w:lang w:val="en-US" w:eastAsia="en-GB"/>
        </w:rPr>
        <w:t>may not reflect the</w:t>
      </w:r>
      <w:r w:rsidR="00F3454F">
        <w:rPr>
          <w:rFonts w:eastAsiaTheme="minorEastAsia" w:cstheme="minorHAnsi"/>
          <w:color w:val="000000" w:themeColor="text1"/>
          <w:kern w:val="24"/>
          <w:sz w:val="22"/>
          <w:szCs w:val="22"/>
          <w:lang w:val="en-US" w:eastAsia="en-GB"/>
        </w:rPr>
        <w:t xml:space="preserve"> very acute, inflammatory disease</w:t>
      </w:r>
      <w:r w:rsidR="00DE1E82">
        <w:rPr>
          <w:rFonts w:eastAsiaTheme="minorEastAsia" w:cstheme="minorHAnsi"/>
          <w:color w:val="000000" w:themeColor="text1"/>
          <w:kern w:val="24"/>
          <w:sz w:val="22"/>
          <w:szCs w:val="22"/>
          <w:lang w:val="en-US" w:eastAsia="en-GB"/>
        </w:rPr>
        <w:t xml:space="preserve"> seen in </w:t>
      </w:r>
      <w:r w:rsidR="00014555">
        <w:rPr>
          <w:rFonts w:eastAsiaTheme="minorEastAsia" w:cstheme="minorHAnsi"/>
          <w:color w:val="000000" w:themeColor="text1"/>
          <w:kern w:val="24"/>
          <w:sz w:val="22"/>
          <w:szCs w:val="22"/>
          <w:lang w:val="en-US" w:eastAsia="en-GB"/>
        </w:rPr>
        <w:t>CYP</w:t>
      </w:r>
      <w:r w:rsidR="00DE1E82">
        <w:rPr>
          <w:rFonts w:eastAsiaTheme="minorEastAsia" w:cstheme="minorHAnsi"/>
          <w:color w:val="000000" w:themeColor="text1"/>
          <w:kern w:val="24"/>
          <w:sz w:val="22"/>
          <w:szCs w:val="22"/>
          <w:lang w:val="en-US" w:eastAsia="en-GB"/>
        </w:rPr>
        <w:t xml:space="preserve">. </w:t>
      </w:r>
      <w:r w:rsidR="00F3454F">
        <w:rPr>
          <w:rFonts w:eastAsiaTheme="minorEastAsia" w:cstheme="minorHAnsi"/>
          <w:color w:val="000000" w:themeColor="text1"/>
          <w:kern w:val="24"/>
          <w:sz w:val="22"/>
          <w:szCs w:val="22"/>
          <w:lang w:val="en-US" w:eastAsia="en-GB"/>
        </w:rPr>
        <w:t xml:space="preserve"> Tonsillectomy is suggested in international guidelines for Japanese patients however due to the invasive nature of the procedure this should not be performed routinely in the UK and should be reserved for children who have recurrent tonsillitis</w:t>
      </w:r>
      <w:r w:rsidR="00014555">
        <w:rPr>
          <w:rFonts w:eastAsiaTheme="minorEastAsia" w:cstheme="minorHAnsi"/>
          <w:color w:val="000000" w:themeColor="text1"/>
          <w:kern w:val="24"/>
          <w:sz w:val="22"/>
          <w:szCs w:val="22"/>
          <w:lang w:val="en-US" w:eastAsia="en-GB"/>
        </w:rPr>
        <w:t xml:space="preserve"> as a trigger</w:t>
      </w:r>
      <w:r w:rsidR="00F3454F">
        <w:rPr>
          <w:rFonts w:eastAsiaTheme="minorEastAsia" w:cstheme="minorHAnsi"/>
          <w:color w:val="000000" w:themeColor="text1"/>
          <w:kern w:val="24"/>
          <w:sz w:val="22"/>
          <w:szCs w:val="22"/>
          <w:lang w:val="en-US" w:eastAsia="en-GB"/>
        </w:rPr>
        <w:t xml:space="preserve"> </w:t>
      </w:r>
      <w:r w:rsidR="00F3454F">
        <w:rPr>
          <w:rFonts w:eastAsiaTheme="minorEastAsia" w:cstheme="minorHAnsi"/>
          <w:color w:val="000000" w:themeColor="text1"/>
          <w:kern w:val="24"/>
          <w:sz w:val="22"/>
          <w:szCs w:val="22"/>
          <w:lang w:val="en-US" w:eastAsia="en-GB"/>
        </w:rPr>
        <w:fldChar w:fldCharType="begin"/>
      </w:r>
      <w:r w:rsidR="00642970">
        <w:rPr>
          <w:rFonts w:eastAsiaTheme="minorEastAsia" w:cstheme="minorHAnsi"/>
          <w:color w:val="000000" w:themeColor="text1"/>
          <w:kern w:val="24"/>
          <w:sz w:val="22"/>
          <w:szCs w:val="22"/>
          <w:lang w:val="en-US" w:eastAsia="en-GB"/>
        </w:rPr>
        <w:instrText xml:space="preserve"> ADDIN ZOTERO_ITEM CSL_CITATION {"citationID":"X044OlIQ","properties":{"formattedCitation":"(5)","plainCitation":"(5)","noteIndex":0},"citationItems":[{"id":11,"uris":["http://zotero.org/users/local/lvPLY4Gu/items/PZVAFVT2"],"itemData":{"id":11,"type":"article-journal","container-title":"Kidney International","DOI":"10.1016/j.kint.2021.05.021","ISSN":"1523-1755","issue":"4S","journalAbbreviation":"Kidney Int","language":"eng","note":"PMID: 34556256","page":"S1-S276","source":"PubMed","title":"KDIGO 2021 Clinical Practice Guideline for the Management of Glomerular Diseases","volume":"100","author":[{"literal":"Kidney Disease: Improving Global Outcomes (KDIGO) Glomerular Diseases Work Group"}],"issued":{"date-parts":[["2021",10]]}}}],"schema":"https://github.com/citation-style-language/schema/raw/master/csl-citation.json"} </w:instrText>
      </w:r>
      <w:r w:rsidR="00F3454F">
        <w:rPr>
          <w:rFonts w:eastAsiaTheme="minorEastAsia" w:cstheme="minorHAnsi"/>
          <w:color w:val="000000" w:themeColor="text1"/>
          <w:kern w:val="24"/>
          <w:sz w:val="22"/>
          <w:szCs w:val="22"/>
          <w:lang w:val="en-US" w:eastAsia="en-GB"/>
        </w:rPr>
        <w:fldChar w:fldCharType="separate"/>
      </w:r>
      <w:r w:rsidR="00642970">
        <w:rPr>
          <w:rFonts w:eastAsiaTheme="minorEastAsia" w:cstheme="minorHAnsi"/>
          <w:noProof/>
          <w:color w:val="000000" w:themeColor="text1"/>
          <w:kern w:val="24"/>
          <w:sz w:val="22"/>
          <w:szCs w:val="22"/>
          <w:lang w:val="en-US" w:eastAsia="en-GB"/>
        </w:rPr>
        <w:t>(5)</w:t>
      </w:r>
      <w:r w:rsidR="00F3454F">
        <w:rPr>
          <w:rFonts w:eastAsiaTheme="minorEastAsia" w:cstheme="minorHAnsi"/>
          <w:color w:val="000000" w:themeColor="text1"/>
          <w:kern w:val="24"/>
          <w:sz w:val="22"/>
          <w:szCs w:val="22"/>
          <w:lang w:val="en-US" w:eastAsia="en-GB"/>
        </w:rPr>
        <w:fldChar w:fldCharType="end"/>
      </w:r>
      <w:r w:rsidR="00F3454F">
        <w:rPr>
          <w:rFonts w:eastAsiaTheme="minorEastAsia" w:cstheme="minorHAnsi"/>
          <w:color w:val="000000" w:themeColor="text1"/>
          <w:kern w:val="24"/>
          <w:sz w:val="22"/>
          <w:szCs w:val="22"/>
          <w:lang w:val="en-US" w:eastAsia="en-GB"/>
        </w:rPr>
        <w:t xml:space="preserve">. </w:t>
      </w:r>
    </w:p>
    <w:p w14:paraId="4EF31F40" w14:textId="2D7E04A1" w:rsidR="00913B14" w:rsidRPr="00C00DD6" w:rsidRDefault="00913B14" w:rsidP="003F494F">
      <w:pPr>
        <w:spacing w:line="360" w:lineRule="auto"/>
        <w:rPr>
          <w:rFonts w:eastAsia="Times New Roman" w:cstheme="minorHAnsi"/>
          <w:sz w:val="22"/>
          <w:szCs w:val="22"/>
          <w:lang w:eastAsia="en-GB"/>
        </w:rPr>
      </w:pPr>
    </w:p>
    <w:p w14:paraId="59323DE5" w14:textId="229F5FD8" w:rsidR="00913B14" w:rsidRPr="003F494F" w:rsidRDefault="001630D4" w:rsidP="003F494F">
      <w:pPr>
        <w:spacing w:line="360" w:lineRule="auto"/>
        <w:rPr>
          <w:rFonts w:eastAsiaTheme="minorEastAsia" w:cstheme="minorHAnsi"/>
          <w:b/>
          <w:bCs/>
          <w:color w:val="000000" w:themeColor="text1"/>
          <w:kern w:val="24"/>
          <w:sz w:val="22"/>
          <w:szCs w:val="22"/>
          <w:lang w:val="fr-FR"/>
        </w:rPr>
      </w:pPr>
      <w:proofErr w:type="spellStart"/>
      <w:r w:rsidRPr="003F494F">
        <w:rPr>
          <w:rFonts w:cstheme="minorHAnsi"/>
          <w:b/>
          <w:bCs/>
          <w:sz w:val="22"/>
          <w:szCs w:val="22"/>
          <w:lang w:val="fr-FR"/>
        </w:rPr>
        <w:t>IgA</w:t>
      </w:r>
      <w:proofErr w:type="spellEnd"/>
      <w:r w:rsidRPr="003F494F">
        <w:rPr>
          <w:rFonts w:cstheme="minorHAnsi"/>
          <w:b/>
          <w:bCs/>
          <w:sz w:val="22"/>
          <w:szCs w:val="22"/>
          <w:lang w:val="fr-FR"/>
        </w:rPr>
        <w:t xml:space="preserve"> </w:t>
      </w:r>
      <w:proofErr w:type="spellStart"/>
      <w:r w:rsidRPr="003F494F">
        <w:rPr>
          <w:rFonts w:cstheme="minorHAnsi"/>
          <w:b/>
          <w:bCs/>
          <w:sz w:val="22"/>
          <w:szCs w:val="22"/>
          <w:lang w:val="fr-FR"/>
        </w:rPr>
        <w:t>vasculitis</w:t>
      </w:r>
      <w:proofErr w:type="spellEnd"/>
      <w:r w:rsidRPr="003F494F">
        <w:rPr>
          <w:rFonts w:cstheme="minorHAnsi"/>
          <w:b/>
          <w:bCs/>
          <w:sz w:val="22"/>
          <w:szCs w:val="22"/>
          <w:lang w:val="fr-FR"/>
        </w:rPr>
        <w:t xml:space="preserve"> </w:t>
      </w:r>
      <w:proofErr w:type="spellStart"/>
      <w:r w:rsidRPr="003F494F">
        <w:rPr>
          <w:rFonts w:cstheme="minorHAnsi"/>
          <w:b/>
          <w:bCs/>
          <w:sz w:val="22"/>
          <w:szCs w:val="22"/>
          <w:lang w:val="fr-FR"/>
        </w:rPr>
        <w:t>nephritis</w:t>
      </w:r>
      <w:proofErr w:type="spellEnd"/>
      <w:r w:rsidR="00732764" w:rsidRPr="003F494F">
        <w:rPr>
          <w:rFonts w:cstheme="minorHAnsi"/>
          <w:b/>
          <w:bCs/>
          <w:sz w:val="22"/>
          <w:szCs w:val="22"/>
          <w:lang w:val="fr-FR"/>
        </w:rPr>
        <w:t xml:space="preserve"> (</w:t>
      </w:r>
      <w:proofErr w:type="spellStart"/>
      <w:r w:rsidR="00732764" w:rsidRPr="003F494F">
        <w:rPr>
          <w:rFonts w:cstheme="minorHAnsi"/>
          <w:b/>
          <w:bCs/>
          <w:sz w:val="22"/>
          <w:szCs w:val="22"/>
          <w:lang w:val="fr-FR"/>
        </w:rPr>
        <w:t>IgAV</w:t>
      </w:r>
      <w:proofErr w:type="spellEnd"/>
      <w:r w:rsidR="00732764" w:rsidRPr="003F494F">
        <w:rPr>
          <w:rFonts w:cstheme="minorHAnsi"/>
          <w:b/>
          <w:bCs/>
          <w:sz w:val="22"/>
          <w:szCs w:val="22"/>
          <w:lang w:val="fr-FR"/>
        </w:rPr>
        <w:t>-N)</w:t>
      </w:r>
    </w:p>
    <w:p w14:paraId="777D5A52" w14:textId="77777777" w:rsidR="00913B14" w:rsidRPr="003F494F" w:rsidRDefault="00913B14" w:rsidP="003F494F">
      <w:pPr>
        <w:pStyle w:val="NormalWeb"/>
        <w:spacing w:before="0" w:beforeAutospacing="0" w:after="0" w:afterAutospacing="0" w:line="360" w:lineRule="auto"/>
        <w:rPr>
          <w:rFonts w:asciiTheme="minorHAnsi" w:eastAsiaTheme="minorEastAsia" w:hAnsiTheme="minorHAnsi" w:cstheme="minorHAnsi"/>
          <w:color w:val="000000" w:themeColor="text1"/>
          <w:kern w:val="24"/>
          <w:sz w:val="22"/>
          <w:szCs w:val="22"/>
          <w:lang w:val="fr-FR"/>
        </w:rPr>
      </w:pPr>
    </w:p>
    <w:p w14:paraId="2223B944" w14:textId="0DC41EA7" w:rsidR="00601B86" w:rsidRDefault="001630D4" w:rsidP="003F494F">
      <w:pPr>
        <w:pStyle w:val="NormalWeb"/>
        <w:spacing w:before="0" w:beforeAutospacing="0" w:after="0" w:afterAutospacing="0" w:line="360" w:lineRule="auto"/>
        <w:rPr>
          <w:rFonts w:asciiTheme="minorHAnsi" w:eastAsiaTheme="minorEastAsia" w:hAnsiTheme="minorHAnsi" w:cstheme="minorHAnsi"/>
          <w:b/>
          <w:bCs/>
          <w:color w:val="000000" w:themeColor="text1"/>
          <w:kern w:val="24"/>
          <w:sz w:val="22"/>
          <w:szCs w:val="22"/>
          <w:lang w:val="en-US"/>
        </w:rPr>
      </w:pPr>
      <w:r w:rsidRPr="00C00DD6">
        <w:rPr>
          <w:rFonts w:asciiTheme="minorHAnsi" w:eastAsiaTheme="minorEastAsia" w:hAnsiTheme="minorHAnsi" w:cstheme="minorHAnsi"/>
          <w:b/>
          <w:bCs/>
          <w:color w:val="000000" w:themeColor="text1"/>
          <w:kern w:val="24"/>
          <w:sz w:val="22"/>
          <w:szCs w:val="22"/>
          <w:lang w:val="en-US"/>
        </w:rPr>
        <w:t xml:space="preserve">Definitions </w:t>
      </w:r>
    </w:p>
    <w:p w14:paraId="49F90031" w14:textId="3F2BDF02" w:rsidR="00601B86" w:rsidRPr="00732764" w:rsidRDefault="74A0DB8C" w:rsidP="003F494F">
      <w:pPr>
        <w:spacing w:before="240" w:after="240" w:line="360" w:lineRule="auto"/>
        <w:jc w:val="both"/>
        <w:rPr>
          <w:rFonts w:eastAsia="Arial"/>
          <w:sz w:val="22"/>
          <w:szCs w:val="22"/>
          <w:lang w:val="en-US" w:eastAsia="en-GB"/>
        </w:rPr>
      </w:pPr>
      <w:r w:rsidRPr="102F4F22">
        <w:rPr>
          <w:rFonts w:eastAsia="Arial"/>
          <w:sz w:val="22"/>
          <w:szCs w:val="22"/>
          <w:lang w:val="en-US" w:eastAsia="en-GB"/>
        </w:rPr>
        <w:t xml:space="preserve">To align terminology, we suggest that the following definitions for </w:t>
      </w:r>
      <w:proofErr w:type="spellStart"/>
      <w:r w:rsidRPr="102F4F22">
        <w:rPr>
          <w:rFonts w:eastAsia="Arial"/>
          <w:sz w:val="22"/>
          <w:szCs w:val="22"/>
          <w:lang w:val="en-US" w:eastAsia="en-GB"/>
        </w:rPr>
        <w:t>IgAV</w:t>
      </w:r>
      <w:proofErr w:type="spellEnd"/>
      <w:r w:rsidRPr="102F4F22">
        <w:rPr>
          <w:rFonts w:eastAsia="Arial"/>
          <w:sz w:val="22"/>
          <w:szCs w:val="22"/>
          <w:lang w:val="en-US" w:eastAsia="en-GB"/>
        </w:rPr>
        <w:t>-N are used. Definitions are taken from the IPNA guidelines with minor modifications by the GDG for standard UK practice</w:t>
      </w:r>
      <w:r w:rsidR="47BD7B47" w:rsidRPr="102F4F22">
        <w:rPr>
          <w:rFonts w:eastAsia="Arial"/>
          <w:sz w:val="22"/>
          <w:szCs w:val="22"/>
          <w:lang w:val="en-US" w:eastAsia="en-GB"/>
        </w:rPr>
        <w:t xml:space="preserve"> </w:t>
      </w:r>
      <w:r w:rsidR="001630D4" w:rsidRPr="102F4F22">
        <w:rPr>
          <w:rFonts w:eastAsia="Arial"/>
          <w:sz w:val="22"/>
          <w:szCs w:val="22"/>
          <w:lang w:val="en" w:eastAsia="en-GB"/>
        </w:rPr>
        <w:fldChar w:fldCharType="begin"/>
      </w:r>
      <w:r w:rsidR="00642970">
        <w:rPr>
          <w:rFonts w:eastAsia="Arial"/>
          <w:sz w:val="22"/>
          <w:szCs w:val="22"/>
          <w:lang w:val="en" w:eastAsia="en-GB"/>
        </w:rPr>
        <w:instrText xml:space="preserve"> ADDIN ZOTERO_ITEM CSL_CITATION {"citationID":"12KBIYbT","properties":{"formattedCitation":"(9)","plainCitation":"(9)","noteIndex":0},"citationItems":[{"id":21,"uris":["http://zotero.org/users/local/lvPLY4Gu/items/UUZER4UI"],"itemData":{"id":21,"type":"article-journal","abstract":"IgA nephropathy and IgA vasculitis with nephritis, albeit rare, represent two relatively frequent glomerular conditions in childhood. Compared to adults, pediatric IgA nephropathy has a more acute presentation, most frequently with synpharyngitic macrohematuria and histologically with more intense inflammation and less intense chronic damage. Management of these conditions is controversial and supported by little high-quality evidence. The paucity of evidence is due to the disease heterogeneity, its inter-ethnic variability, and the difficulty of extrapolating data from adult studies due to the peculiarities of the condition in children. IgA vasculitis with nephritis is a kidney manifestation of a systemic disorder, typical of the pediatric age, in which both the diagnosis of kidney involvement and its management are poorly defined, and an interdisciplinary approach is crucial. Both conditions can have a profound and long-lasting impact on kidney function and the global health of affected children. The International Pediatric Nephrology Association has therefore convened a diverse international group of experts from different disciplines to provide guidance on the recommended management of these conditions in children and to establish common definitions and define priorities for future high-quality, evidence-based collaborative studies for the benefit of children.","container-title":"Pediatric Nephrology (Berlin, Germany)","DOI":"10.1007/s00467-024-06502-6","ISSN":"1432-198X","journalAbbreviation":"Pediatr Nephrol","language":"eng","note":"PMID: 39331079","source":"PubMed","title":"IPNA clinical practice recommendations for the diagnosis and management of children with IgA nephropathy and IgA vasculitis nephritis","author":[{"family":"Vivarelli","given":"Marina"},{"family":"Samuel","given":"Susan"},{"family":"Coppo","given":"Rosanna"},{"family":"Barratt","given":"Jonathan"},{"family":"Bonilla-Felix","given":"Melvin"},{"family":"Haffner","given":"Dieter"},{"family":"Gibson","given":"Keisha"},{"family":"Haas","given":"Mark"},{"family":"Abdel-Hafez","given":"Maher Ahmed"},{"family":"Adragna","given":"Marta"},{"family":"Brogan","given":"Paul"},{"family":"Kim","given":"Siah"},{"family":"Liu","given":"Isaac"},{"family":"Liu","given":"Zhi-Hong"},{"family":"Mantan","given":"Mukta"},{"family":"Shima","given":"Yuko"},{"family":"Shimuzu","given":"Masaki"},{"family":"Shen","given":"Qian"},{"family":"Trimarchi","given":"Hernan"},{"family":"Hahn","given":"Deirdre"},{"family":"Hodson","given":"Elisabeth"},{"family":"Pfister","given":"Ken"},{"family":"Alladin","given":"Areefa"},{"family":"Boyer","given":"Olivia"},{"family":"Nakanishi","given":"Koichi"},{"literal":"International Pediatric Nephrology Association"}],"issued":{"date-parts":[["2024",9,27]]}}}],"schema":"https://github.com/citation-style-language/schema/raw/master/csl-citation.json"} </w:instrText>
      </w:r>
      <w:r w:rsidR="001630D4" w:rsidRPr="102F4F22">
        <w:rPr>
          <w:rFonts w:eastAsia="Arial"/>
          <w:sz w:val="22"/>
          <w:szCs w:val="22"/>
          <w:lang w:val="en" w:eastAsia="en-GB"/>
        </w:rPr>
        <w:fldChar w:fldCharType="separate"/>
      </w:r>
      <w:r w:rsidR="00642970">
        <w:rPr>
          <w:rFonts w:eastAsia="Arial"/>
          <w:noProof/>
          <w:sz w:val="22"/>
          <w:szCs w:val="22"/>
          <w:lang w:val="en-US" w:eastAsia="en-GB"/>
        </w:rPr>
        <w:t>(9)</w:t>
      </w:r>
      <w:r w:rsidR="001630D4" w:rsidRPr="102F4F22">
        <w:rPr>
          <w:rFonts w:eastAsia="Arial"/>
          <w:sz w:val="22"/>
          <w:szCs w:val="22"/>
          <w:lang w:val="en" w:eastAsia="en-GB"/>
        </w:rPr>
        <w:fldChar w:fldCharType="end"/>
      </w:r>
      <w:r w:rsidRPr="102F4F22">
        <w:rPr>
          <w:rFonts w:eastAsia="Arial"/>
          <w:sz w:val="22"/>
          <w:szCs w:val="22"/>
          <w:lang w:val="en-US" w:eastAsia="en-GB"/>
        </w:rPr>
        <w:t xml:space="preserve">.  </w:t>
      </w:r>
    </w:p>
    <w:tbl>
      <w:tblPr>
        <w:tblStyle w:val="TableGrid"/>
        <w:tblW w:w="10485" w:type="dxa"/>
        <w:tblLook w:val="04A0" w:firstRow="1" w:lastRow="0" w:firstColumn="1" w:lastColumn="0" w:noHBand="0" w:noVBand="1"/>
      </w:tblPr>
      <w:tblGrid>
        <w:gridCol w:w="846"/>
        <w:gridCol w:w="9639"/>
      </w:tblGrid>
      <w:tr w:rsidR="00837E18" w14:paraId="0A60F9CC" w14:textId="77777777" w:rsidTr="00C00DD6">
        <w:tc>
          <w:tcPr>
            <w:tcW w:w="10485" w:type="dxa"/>
            <w:gridSpan w:val="2"/>
          </w:tcPr>
          <w:p w14:paraId="6A48EAB4" w14:textId="491CBFD6" w:rsidR="00601B86" w:rsidRPr="00C00DD6" w:rsidRDefault="001630D4" w:rsidP="003F494F">
            <w:pPr>
              <w:spacing w:before="240" w:line="360" w:lineRule="auto"/>
              <w:rPr>
                <w:rFonts w:eastAsia="Arial" w:cstheme="minorHAnsi"/>
                <w:b/>
                <w:sz w:val="22"/>
                <w:szCs w:val="22"/>
                <w:lang w:val="en" w:eastAsia="en-GB"/>
              </w:rPr>
            </w:pPr>
            <w:r w:rsidRPr="00C00DD6">
              <w:rPr>
                <w:rFonts w:eastAsia="Arial" w:cstheme="minorHAnsi"/>
                <w:b/>
                <w:sz w:val="22"/>
                <w:szCs w:val="22"/>
                <w:lang w:val="en" w:eastAsia="en-GB"/>
              </w:rPr>
              <w:t xml:space="preserve">Diagnosis </w:t>
            </w:r>
          </w:p>
        </w:tc>
      </w:tr>
      <w:tr w:rsidR="00837E18" w14:paraId="7DC160B3" w14:textId="77777777" w:rsidTr="00C00DD6">
        <w:tc>
          <w:tcPr>
            <w:tcW w:w="846" w:type="dxa"/>
          </w:tcPr>
          <w:p w14:paraId="455BCAFF" w14:textId="77777777" w:rsidR="00601B86" w:rsidRPr="00C00DD6" w:rsidRDefault="001630D4" w:rsidP="003F494F">
            <w:pPr>
              <w:spacing w:before="240" w:line="360" w:lineRule="auto"/>
              <w:jc w:val="center"/>
              <w:rPr>
                <w:rFonts w:eastAsia="Arial" w:cstheme="minorHAnsi"/>
                <w:sz w:val="22"/>
                <w:szCs w:val="22"/>
                <w:lang w:val="en" w:eastAsia="en-GB"/>
              </w:rPr>
            </w:pPr>
            <w:r w:rsidRPr="00C00DD6">
              <w:rPr>
                <w:rFonts w:eastAsia="Arial" w:cstheme="minorHAnsi"/>
                <w:sz w:val="22"/>
                <w:szCs w:val="22"/>
                <w:lang w:val="en" w:eastAsia="en-GB"/>
              </w:rPr>
              <w:t>a</w:t>
            </w:r>
          </w:p>
        </w:tc>
        <w:tc>
          <w:tcPr>
            <w:tcW w:w="9639" w:type="dxa"/>
          </w:tcPr>
          <w:p w14:paraId="6D8761D7" w14:textId="4830E923" w:rsidR="00601B86" w:rsidRPr="00D20CBA" w:rsidRDefault="001630D4" w:rsidP="003F494F">
            <w:pPr>
              <w:spacing w:before="240" w:line="360" w:lineRule="auto"/>
              <w:rPr>
                <w:rFonts w:eastAsia="Arial" w:cstheme="minorHAnsi"/>
                <w:bCs/>
                <w:iCs/>
                <w:color w:val="000000"/>
                <w:sz w:val="22"/>
                <w:szCs w:val="22"/>
              </w:rPr>
            </w:pPr>
            <w:r>
              <w:rPr>
                <w:rFonts w:eastAsia="Arial" w:cstheme="minorHAnsi"/>
                <w:bCs/>
                <w:iCs/>
                <w:color w:val="000000"/>
                <w:sz w:val="22"/>
                <w:szCs w:val="22"/>
              </w:rPr>
              <w:t>The</w:t>
            </w:r>
            <w:r w:rsidR="00732764">
              <w:rPr>
                <w:rFonts w:eastAsia="Arial" w:cstheme="minorHAnsi"/>
                <w:bCs/>
                <w:iCs/>
                <w:color w:val="000000"/>
                <w:sz w:val="22"/>
                <w:szCs w:val="22"/>
              </w:rPr>
              <w:t xml:space="preserve"> d</w:t>
            </w:r>
            <w:r w:rsidRPr="00C00DD6">
              <w:rPr>
                <w:rFonts w:eastAsia="Arial" w:cstheme="minorHAnsi"/>
                <w:bCs/>
                <w:iCs/>
                <w:color w:val="000000"/>
                <w:sz w:val="22"/>
                <w:szCs w:val="22"/>
              </w:rPr>
              <w:t xml:space="preserve">iagnosis </w:t>
            </w:r>
            <w:r w:rsidR="00732764">
              <w:rPr>
                <w:rFonts w:eastAsia="Arial" w:cstheme="minorHAnsi"/>
                <w:bCs/>
                <w:iCs/>
                <w:color w:val="000000"/>
                <w:sz w:val="22"/>
                <w:szCs w:val="22"/>
              </w:rPr>
              <w:t xml:space="preserve">of </w:t>
            </w:r>
            <w:proofErr w:type="spellStart"/>
            <w:r w:rsidR="00732764">
              <w:rPr>
                <w:rFonts w:eastAsia="Arial" w:cstheme="minorHAnsi"/>
                <w:bCs/>
                <w:iCs/>
                <w:color w:val="000000"/>
                <w:sz w:val="22"/>
                <w:szCs w:val="22"/>
              </w:rPr>
              <w:t>IgAV</w:t>
            </w:r>
            <w:proofErr w:type="spellEnd"/>
            <w:r>
              <w:rPr>
                <w:rFonts w:eastAsia="Arial" w:cstheme="minorHAnsi"/>
                <w:bCs/>
                <w:iCs/>
                <w:color w:val="000000"/>
                <w:sz w:val="22"/>
                <w:szCs w:val="22"/>
              </w:rPr>
              <w:t xml:space="preserve"> is based on the EULAR/PRINTO/PRES classification criteria </w:t>
            </w:r>
            <w:r w:rsidR="00A13B72">
              <w:rPr>
                <w:rFonts w:eastAsia="Arial" w:cstheme="minorHAnsi"/>
                <w:bCs/>
                <w:iCs/>
                <w:color w:val="000000"/>
                <w:sz w:val="22"/>
                <w:szCs w:val="22"/>
              </w:rPr>
              <w:fldChar w:fldCharType="begin"/>
            </w:r>
            <w:r w:rsidR="00642970">
              <w:rPr>
                <w:rFonts w:eastAsia="Arial" w:cstheme="minorHAnsi"/>
                <w:bCs/>
                <w:iCs/>
                <w:color w:val="000000"/>
                <w:sz w:val="22"/>
                <w:szCs w:val="22"/>
              </w:rPr>
              <w:instrText xml:space="preserve"> ADDIN ZOTERO_ITEM CSL_CITATION {"citationID":"N0R7z1H7","properties":{"formattedCitation":"(142)","plainCitation":"(142)","noteIndex":0},"citationItems":[{"id":333,"uris":["http://zotero.org/users/local/lvPLY4Gu/items/7ELBPXG3"],"itemData":{"id":333,"type":"article-journal","abstract":"OBJECTIVES: To validate the previously proposed classification criteria for Henoch-Schönlein purpura (HSP), childhood polyarteritis nodosa (c-PAN), c-Wegener granulomatosis (c-WG) and c-Takayasu arteritis (c-TA).\nMETHODS: Step 1: retrospective/prospective web-data collection for children with HSP, c-PAN, c-WG and c-TA with age at diagnosis &lt;or=18 years. Step 2: blinded classification by consensus panel of a representative sample of 280 cases. Step 3: statistical (sensitivity, specificity, area under the curve and kappa-agreement) and nominal group technique consensus evaluations.\nRESULTS: 827 patients with HSP, 150 with c-PAN, 60 with c-WG, 87 with c-TA and 52 with c-other were compared with each other. A patient was classified as HSP in the presence of purpura or petechiae (mandatory) with lower limb predominance plus one of four criteria: (1) abdominal pain; (2) histopathology (IgA); (3) arthritis or arthralgia; (4) renal involvement. Classification of c-PAN required a systemic inflammatory disease with evidence of necrotising vasculitis OR angiographic abnormalities of medium-/small-sized arteries (mandatory criterion) plus one of five criteria: (1) skin involvement; (2) myalgia/muscle tenderness; (3) hypertension; (4) peripheral neuropathy; (5) renal involvement. Classification of c-WG required three of six criteria: (1) histopathological evidence of granulomatous inflammation; (2) upper airway involvement; (3) laryngo-tracheo-bronchial involvement; (4) pulmonary involvement (x-ray/CT); (5) antineutrophilic cytoplasmic antibody positivity; (6) renal involvement. Classification of c-TA required typical angiographic abnormalities of the aorta or its main branches and pulmonary arteries (mandatory criterion) plus one of five criteria: (1) pulse deficit or claudication; (2) blood pressure discrepancy in any limb; (3) bruits; (4) hypertension; (5) elevated acute phase reactant.\nCONCLUSION: European League Against Rheumatism/Paediatric Rheumatology International Trials Organisation/Paediatric Rheumatology European Society propose validated classification criteria for HSP, c-PAN, c-WG and c-TA with high sensitivity/specificity.","container-title":"Annals of the Rheumatic Diseases","DOI":"10.1136/ard.2009.116657","ISSN":"1468-2060","issue":"5","journalAbbreviation":"Ann Rheum Dis","language":"eng","note":"PMID: 20413568","page":"798-806","source":"PubMed","title":"EULAR/PRINTO/PRES criteria for Henoch-Schönlein purpura, childhood polyarteritis nodosa, childhood Wegener granulomatosis and childhood Takayasu arteritis: Ankara 2008. Part II: Final classification criteria","title-short":"EULAR/PRINTO/PRES criteria for Henoch-Schönlein purpura, childhood polyarteritis nodosa, childhood Wegener granulomatosis and childhood Takayasu arteritis","volume":"69","author":[{"family":"Ozen","given":"Seza"},{"family":"Pistorio","given":"Angela"},{"family":"Iusan","given":"Silvia M."},{"family":"Bakkaloglu","given":"Aysin"},{"family":"Herlin","given":"Troels"},{"family":"Brik","given":"Riva"},{"family":"Buoncompagni","given":"Antonella"},{"family":"Lazar","given":"Calin"},{"family":"Bilge","given":"Ilmay"},{"family":"Uziel","given":"Yosef"},{"family":"Rigante","given":"Donato"},{"family":"Cantarini","given":"Luca"},{"family":"Hilario","given":"Maria Odete"},{"family":"Silva","given":"Clovis A."},{"family":"Alegria","given":"Mauricio"},{"family":"Norambuena","given":"Ximena"},{"family":"Belot","given":"Alexandre"},{"family":"Berkun","given":"Yackov"},{"family":"Estrella","given":"Amparo Ibanez"},{"family":"Olivieri","given":"Alma Nunzia"},{"family":"Alpigiani","given":"Maria Giannina"},{"family":"Rumba","given":"Ingrida"},{"family":"Sztajnbok","given":"Flavio"},{"family":"Tambic-Bukovac","given":"Lana"},{"family":"Breda","given":"Luciana"},{"family":"Al-Mayouf","given":"Sulaiman"},{"family":"Mihaylova","given":"Dimitrina"},{"family":"Chasnyk","given":"Vyacheslav"},{"family":"Sengler","given":"Claudia"},{"family":"Klein-Gitelman","given":"Maria"},{"family":"Djeddi","given":"Djamal"},{"family":"Nuno","given":"Laura"},{"family":"Pruunsild","given":"Chris"},{"family":"Brunner","given":"Jurgen"},{"family":"Kondi","given":"Anuela"},{"family":"Pagava","given":"Karaman"},{"family":"Pederzoli","given":"Silvia"},{"family":"Martini","given":"Alberto"},{"family":"Ruperto","given":"Nicolino"},{"literal":"Paediatric Rheumatology International Trials Organisation (PRINTO)"}],"issued":{"date-parts":[["2010",5]]}}}],"schema":"https://github.com/citation-style-language/schema/raw/master/csl-citation.json"} </w:instrText>
            </w:r>
            <w:r w:rsidR="00A13B72">
              <w:rPr>
                <w:rFonts w:eastAsia="Arial" w:cstheme="minorHAnsi"/>
                <w:bCs/>
                <w:iCs/>
                <w:color w:val="000000"/>
                <w:sz w:val="22"/>
                <w:szCs w:val="22"/>
              </w:rPr>
              <w:fldChar w:fldCharType="separate"/>
            </w:r>
            <w:r w:rsidR="00642970">
              <w:rPr>
                <w:rFonts w:eastAsia="Arial" w:cstheme="minorHAnsi"/>
                <w:bCs/>
                <w:iCs/>
                <w:noProof/>
                <w:color w:val="000000"/>
                <w:sz w:val="22"/>
                <w:szCs w:val="22"/>
              </w:rPr>
              <w:t>(142)</w:t>
            </w:r>
            <w:r w:rsidR="00A13B72">
              <w:rPr>
                <w:rFonts w:eastAsia="Arial" w:cstheme="minorHAnsi"/>
                <w:bCs/>
                <w:iCs/>
                <w:color w:val="000000"/>
                <w:sz w:val="22"/>
                <w:szCs w:val="22"/>
              </w:rPr>
              <w:fldChar w:fldCharType="end"/>
            </w:r>
            <w:r w:rsidR="00A13B72">
              <w:rPr>
                <w:rFonts w:eastAsia="Arial" w:cstheme="minorHAnsi"/>
                <w:bCs/>
                <w:iCs/>
                <w:color w:val="000000"/>
                <w:sz w:val="22"/>
                <w:szCs w:val="22"/>
              </w:rPr>
              <w:t>.</w:t>
            </w:r>
          </w:p>
        </w:tc>
      </w:tr>
      <w:tr w:rsidR="00837E18" w14:paraId="13C74DFA" w14:textId="77777777" w:rsidTr="00C00DD6">
        <w:tc>
          <w:tcPr>
            <w:tcW w:w="846" w:type="dxa"/>
          </w:tcPr>
          <w:p w14:paraId="30F4772E" w14:textId="7F7BB9E2" w:rsidR="00D20CBA" w:rsidRPr="00C00DD6" w:rsidRDefault="001630D4" w:rsidP="003F494F">
            <w:pPr>
              <w:spacing w:before="240" w:line="360" w:lineRule="auto"/>
              <w:jc w:val="center"/>
              <w:rPr>
                <w:rFonts w:eastAsia="Arial" w:cstheme="minorHAnsi"/>
                <w:sz w:val="22"/>
                <w:szCs w:val="22"/>
                <w:lang w:val="en" w:eastAsia="en-GB"/>
              </w:rPr>
            </w:pPr>
            <w:r>
              <w:rPr>
                <w:rFonts w:eastAsia="Arial" w:cstheme="minorHAnsi"/>
                <w:sz w:val="22"/>
                <w:szCs w:val="22"/>
                <w:lang w:val="en" w:eastAsia="en-GB"/>
              </w:rPr>
              <w:t>b</w:t>
            </w:r>
          </w:p>
        </w:tc>
        <w:tc>
          <w:tcPr>
            <w:tcW w:w="9639" w:type="dxa"/>
          </w:tcPr>
          <w:p w14:paraId="2D8CF608" w14:textId="390B3EF9" w:rsidR="00D20CBA" w:rsidRDefault="001630D4" w:rsidP="003F494F">
            <w:pPr>
              <w:spacing w:before="240" w:line="360" w:lineRule="auto"/>
              <w:rPr>
                <w:rFonts w:eastAsia="Arial" w:cstheme="minorHAnsi"/>
                <w:bCs/>
                <w:iCs/>
                <w:color w:val="000000"/>
                <w:sz w:val="22"/>
                <w:szCs w:val="22"/>
              </w:rPr>
            </w:pPr>
            <w:r>
              <w:rPr>
                <w:rFonts w:eastAsia="Arial" w:cstheme="minorHAnsi"/>
                <w:bCs/>
                <w:iCs/>
                <w:color w:val="000000"/>
                <w:sz w:val="22"/>
                <w:szCs w:val="22"/>
              </w:rPr>
              <w:t>The d</w:t>
            </w:r>
            <w:r w:rsidRPr="00C00DD6">
              <w:rPr>
                <w:rFonts w:eastAsia="Arial" w:cstheme="minorHAnsi"/>
                <w:bCs/>
                <w:iCs/>
                <w:color w:val="000000"/>
                <w:sz w:val="22"/>
                <w:szCs w:val="22"/>
              </w:rPr>
              <w:t xml:space="preserve">iagnosis </w:t>
            </w:r>
            <w:r>
              <w:rPr>
                <w:rFonts w:eastAsia="Arial" w:cstheme="minorHAnsi"/>
                <w:bCs/>
                <w:iCs/>
                <w:color w:val="000000"/>
                <w:sz w:val="22"/>
                <w:szCs w:val="22"/>
              </w:rPr>
              <w:t xml:space="preserve">of </w:t>
            </w:r>
            <w:proofErr w:type="spellStart"/>
            <w:r>
              <w:rPr>
                <w:rFonts w:eastAsia="Arial" w:cstheme="minorHAnsi"/>
                <w:bCs/>
                <w:iCs/>
                <w:color w:val="000000"/>
                <w:sz w:val="22"/>
                <w:szCs w:val="22"/>
              </w:rPr>
              <w:t>IgAV</w:t>
            </w:r>
            <w:proofErr w:type="spellEnd"/>
            <w:r>
              <w:rPr>
                <w:rFonts w:eastAsia="Arial" w:cstheme="minorHAnsi"/>
                <w:bCs/>
                <w:iCs/>
                <w:color w:val="000000"/>
                <w:sz w:val="22"/>
                <w:szCs w:val="22"/>
              </w:rPr>
              <w:t>-N</w:t>
            </w:r>
            <w:r w:rsidRPr="00C00DD6">
              <w:rPr>
                <w:rFonts w:eastAsia="Arial" w:cstheme="minorHAnsi"/>
                <w:bCs/>
                <w:iCs/>
                <w:color w:val="000000"/>
                <w:sz w:val="22"/>
                <w:szCs w:val="22"/>
              </w:rPr>
              <w:t xml:space="preserve"> relies on </w:t>
            </w:r>
            <w:r>
              <w:rPr>
                <w:rFonts w:eastAsia="Arial" w:cstheme="minorHAnsi"/>
                <w:bCs/>
                <w:iCs/>
                <w:color w:val="000000"/>
                <w:sz w:val="22"/>
                <w:szCs w:val="22"/>
              </w:rPr>
              <w:t xml:space="preserve">the initial diagnosis and </w:t>
            </w:r>
            <w:r w:rsidRPr="00C00DD6">
              <w:rPr>
                <w:rFonts w:eastAsia="Arial" w:cstheme="minorHAnsi"/>
                <w:bCs/>
                <w:iCs/>
                <w:color w:val="000000"/>
                <w:sz w:val="22"/>
                <w:szCs w:val="22"/>
              </w:rPr>
              <w:t xml:space="preserve">clinical </w:t>
            </w:r>
            <w:r>
              <w:rPr>
                <w:rFonts w:eastAsia="Arial" w:cstheme="minorHAnsi"/>
                <w:bCs/>
                <w:iCs/>
                <w:color w:val="000000"/>
                <w:sz w:val="22"/>
                <w:szCs w:val="22"/>
              </w:rPr>
              <w:t>and/or</w:t>
            </w:r>
            <w:r w:rsidRPr="00C00DD6">
              <w:rPr>
                <w:rFonts w:eastAsia="Arial" w:cstheme="minorHAnsi"/>
                <w:bCs/>
                <w:iCs/>
                <w:color w:val="000000"/>
                <w:sz w:val="22"/>
                <w:szCs w:val="22"/>
              </w:rPr>
              <w:t xml:space="preserve"> laboratory </w:t>
            </w:r>
            <w:r>
              <w:rPr>
                <w:rFonts w:eastAsia="Arial" w:cstheme="minorHAnsi"/>
                <w:bCs/>
                <w:iCs/>
                <w:color w:val="000000"/>
                <w:sz w:val="22"/>
                <w:szCs w:val="22"/>
              </w:rPr>
              <w:t>evidence of nephritis</w:t>
            </w:r>
            <w:r w:rsidRPr="00C00DD6">
              <w:rPr>
                <w:rFonts w:eastAsia="Arial" w:cstheme="minorHAnsi"/>
                <w:bCs/>
                <w:iCs/>
                <w:color w:val="000000"/>
                <w:sz w:val="22"/>
                <w:szCs w:val="22"/>
              </w:rPr>
              <w:t>.</w:t>
            </w:r>
          </w:p>
        </w:tc>
      </w:tr>
      <w:tr w:rsidR="00837E18" w14:paraId="5D6D3645" w14:textId="77777777" w:rsidTr="00C00DD6">
        <w:tc>
          <w:tcPr>
            <w:tcW w:w="846" w:type="dxa"/>
          </w:tcPr>
          <w:p w14:paraId="2A59CC7C" w14:textId="6703068C" w:rsidR="00601B86" w:rsidRPr="00C00DD6" w:rsidRDefault="001630D4" w:rsidP="003F494F">
            <w:pPr>
              <w:spacing w:before="240" w:line="360" w:lineRule="auto"/>
              <w:jc w:val="center"/>
              <w:rPr>
                <w:rFonts w:eastAsia="Arial" w:cstheme="minorHAnsi"/>
                <w:sz w:val="22"/>
                <w:szCs w:val="22"/>
                <w:lang w:val="en" w:eastAsia="en-GB"/>
              </w:rPr>
            </w:pPr>
            <w:r>
              <w:rPr>
                <w:rFonts w:eastAsia="Arial" w:cstheme="minorHAnsi"/>
                <w:sz w:val="22"/>
                <w:szCs w:val="22"/>
                <w:lang w:val="en" w:eastAsia="en-GB"/>
              </w:rPr>
              <w:t>c</w:t>
            </w:r>
          </w:p>
        </w:tc>
        <w:tc>
          <w:tcPr>
            <w:tcW w:w="9639" w:type="dxa"/>
          </w:tcPr>
          <w:p w14:paraId="5206796D" w14:textId="7EA173B0" w:rsidR="00601B86" w:rsidRPr="00C00DD6" w:rsidRDefault="001630D4" w:rsidP="003F494F">
            <w:pPr>
              <w:spacing w:before="240" w:line="360" w:lineRule="auto"/>
              <w:jc w:val="both"/>
              <w:rPr>
                <w:rFonts w:eastAsia="Arial" w:cstheme="minorHAnsi"/>
                <w:sz w:val="22"/>
                <w:szCs w:val="22"/>
                <w:lang w:val="en" w:eastAsia="en-GB"/>
              </w:rPr>
            </w:pPr>
            <w:r>
              <w:rPr>
                <w:rFonts w:eastAsia="Arial Unicode MS" w:cstheme="minorHAnsi"/>
                <w:bCs/>
                <w:color w:val="000000"/>
                <w:sz w:val="22"/>
                <w:szCs w:val="22"/>
              </w:rPr>
              <w:t>A definition of</w:t>
            </w:r>
            <w:r w:rsidRPr="00C00DD6">
              <w:rPr>
                <w:rFonts w:eastAsia="Arial Unicode MS" w:cstheme="minorHAnsi"/>
                <w:bCs/>
                <w:color w:val="000000"/>
                <w:sz w:val="22"/>
                <w:szCs w:val="22"/>
              </w:rPr>
              <w:t xml:space="preserve"> relapse of </w:t>
            </w:r>
            <w:proofErr w:type="spellStart"/>
            <w:r w:rsidRPr="00C00DD6">
              <w:rPr>
                <w:rFonts w:eastAsia="Arial Unicode MS" w:cstheme="minorHAnsi"/>
                <w:bCs/>
                <w:color w:val="000000"/>
                <w:sz w:val="22"/>
                <w:szCs w:val="22"/>
              </w:rPr>
              <w:t>IgAV</w:t>
            </w:r>
            <w:proofErr w:type="spellEnd"/>
            <w:r>
              <w:rPr>
                <w:rFonts w:eastAsia="Arial Unicode MS" w:cstheme="minorHAnsi"/>
                <w:bCs/>
                <w:color w:val="000000"/>
                <w:sz w:val="22"/>
                <w:szCs w:val="22"/>
              </w:rPr>
              <w:t>-</w:t>
            </w:r>
            <w:r w:rsidRPr="00C00DD6">
              <w:rPr>
                <w:rFonts w:eastAsia="Arial Unicode MS" w:cstheme="minorHAnsi"/>
                <w:bCs/>
                <w:color w:val="000000"/>
                <w:sz w:val="22"/>
                <w:szCs w:val="22"/>
              </w:rPr>
              <w:t xml:space="preserve">N </w:t>
            </w:r>
            <w:r>
              <w:rPr>
                <w:rFonts w:eastAsia="Arial Unicode MS" w:cstheme="minorHAnsi"/>
                <w:bCs/>
                <w:color w:val="000000"/>
                <w:sz w:val="22"/>
                <w:szCs w:val="22"/>
              </w:rPr>
              <w:t>i</w:t>
            </w:r>
            <w:r w:rsidRPr="00C00DD6">
              <w:rPr>
                <w:rFonts w:eastAsia="Arial Unicode MS" w:cstheme="minorHAnsi"/>
                <w:bCs/>
                <w:color w:val="000000"/>
                <w:sz w:val="22"/>
                <w:szCs w:val="22"/>
              </w:rPr>
              <w:t>s recurrence of h</w:t>
            </w:r>
            <w:r w:rsidR="00D20CBA">
              <w:rPr>
                <w:rFonts w:eastAsia="Arial Unicode MS" w:cstheme="minorHAnsi"/>
                <w:bCs/>
                <w:color w:val="000000"/>
                <w:sz w:val="22"/>
                <w:szCs w:val="22"/>
              </w:rPr>
              <w:t>a</w:t>
            </w:r>
            <w:r w:rsidRPr="00C00DD6">
              <w:rPr>
                <w:rFonts w:eastAsia="Arial Unicode MS" w:cstheme="minorHAnsi"/>
                <w:bCs/>
                <w:color w:val="000000"/>
                <w:sz w:val="22"/>
                <w:szCs w:val="22"/>
              </w:rPr>
              <w:t>ematuria (gross h</w:t>
            </w:r>
            <w:r w:rsidR="00544DAC">
              <w:rPr>
                <w:rFonts w:eastAsia="Arial Unicode MS" w:cstheme="minorHAnsi"/>
                <w:bCs/>
                <w:color w:val="000000"/>
                <w:sz w:val="22"/>
                <w:szCs w:val="22"/>
              </w:rPr>
              <w:t>a</w:t>
            </w:r>
            <w:r w:rsidRPr="00C00DD6">
              <w:rPr>
                <w:rFonts w:eastAsia="Arial Unicode MS" w:cstheme="minorHAnsi"/>
                <w:bCs/>
                <w:color w:val="000000"/>
                <w:sz w:val="22"/>
                <w:szCs w:val="22"/>
              </w:rPr>
              <w:t>ematuria or ≥2+ in dipstick or 5 red blood cells/</w:t>
            </w:r>
            <w:proofErr w:type="spellStart"/>
            <w:r w:rsidRPr="00C00DD6">
              <w:rPr>
                <w:rFonts w:eastAsia="Arial Unicode MS" w:cstheme="minorHAnsi"/>
                <w:bCs/>
                <w:color w:val="000000"/>
                <w:sz w:val="22"/>
                <w:szCs w:val="22"/>
              </w:rPr>
              <w:t>hpf</w:t>
            </w:r>
            <w:proofErr w:type="spellEnd"/>
            <w:r w:rsidRPr="00C00DD6">
              <w:rPr>
                <w:rFonts w:eastAsia="Arial Unicode MS" w:cstheme="minorHAnsi"/>
                <w:bCs/>
                <w:color w:val="000000"/>
                <w:sz w:val="22"/>
                <w:szCs w:val="22"/>
              </w:rPr>
              <w:t>) and/or proteinuria (urine protein/</w:t>
            </w:r>
            <w:r w:rsidRPr="00EA336E">
              <w:rPr>
                <w:rFonts w:eastAsia="Arial Unicode MS" w:cstheme="minorHAnsi"/>
                <w:bCs/>
                <w:color w:val="000000"/>
                <w:sz w:val="22"/>
                <w:szCs w:val="22"/>
              </w:rPr>
              <w:t xml:space="preserve">creatinine &gt; </w:t>
            </w:r>
            <w:r w:rsidR="00A75834" w:rsidRPr="003F494F">
              <w:rPr>
                <w:rFonts w:eastAsia="Arial Unicode MS" w:cstheme="minorHAnsi"/>
                <w:bCs/>
                <w:color w:val="000000"/>
                <w:sz w:val="22"/>
                <w:szCs w:val="22"/>
              </w:rPr>
              <w:t>3</w:t>
            </w:r>
            <w:r w:rsidR="00202A2F" w:rsidRPr="003F494F">
              <w:rPr>
                <w:rFonts w:eastAsia="Arial Unicode MS" w:cstheme="minorHAnsi"/>
                <w:bCs/>
                <w:color w:val="000000"/>
                <w:sz w:val="22"/>
                <w:szCs w:val="22"/>
              </w:rPr>
              <w:t>0 mg/mmol</w:t>
            </w:r>
            <w:r w:rsidRPr="00C00DD6">
              <w:rPr>
                <w:rFonts w:eastAsia="Arial Unicode MS" w:cstheme="minorHAnsi"/>
                <w:bCs/>
                <w:color w:val="000000"/>
                <w:sz w:val="22"/>
                <w:szCs w:val="22"/>
              </w:rPr>
              <w:t xml:space="preserve"> on first morning void) in at least 2 urine samples and/or reduced kidney function (eGFR &lt; 90 mL/min/1.73m2 or &gt; 25% reduction from baseline) in a patient who has </w:t>
            </w:r>
            <w:r w:rsidR="00D20CBA">
              <w:rPr>
                <w:rFonts w:eastAsia="Arial Unicode MS" w:cstheme="minorHAnsi"/>
                <w:bCs/>
                <w:color w:val="000000"/>
                <w:sz w:val="22"/>
                <w:szCs w:val="22"/>
              </w:rPr>
              <w:t xml:space="preserve">had a previous diagnosis and </w:t>
            </w:r>
            <w:r w:rsidRPr="00C00DD6">
              <w:rPr>
                <w:rFonts w:eastAsia="Arial Unicode MS" w:cstheme="minorHAnsi"/>
                <w:bCs/>
                <w:color w:val="000000"/>
                <w:sz w:val="22"/>
                <w:szCs w:val="22"/>
              </w:rPr>
              <w:t>achieved complete remission for at least 1 month</w:t>
            </w:r>
            <w:r w:rsidR="00D20CBA">
              <w:rPr>
                <w:rFonts w:eastAsia="Arial Unicode MS" w:cstheme="minorHAnsi"/>
                <w:bCs/>
                <w:color w:val="000000"/>
                <w:sz w:val="22"/>
                <w:szCs w:val="22"/>
              </w:rPr>
              <w:t>.</w:t>
            </w:r>
          </w:p>
        </w:tc>
      </w:tr>
      <w:tr w:rsidR="00837E18" w14:paraId="49AE4CA1" w14:textId="77777777" w:rsidTr="00C00DD6">
        <w:tc>
          <w:tcPr>
            <w:tcW w:w="846" w:type="dxa"/>
          </w:tcPr>
          <w:p w14:paraId="3A51DDAB" w14:textId="29B9B6EC" w:rsidR="00D20CBA" w:rsidRDefault="001630D4" w:rsidP="003F494F">
            <w:pPr>
              <w:spacing w:before="240" w:line="360" w:lineRule="auto"/>
              <w:jc w:val="center"/>
              <w:rPr>
                <w:rFonts w:eastAsia="Arial" w:cstheme="minorHAnsi"/>
                <w:sz w:val="22"/>
                <w:szCs w:val="22"/>
                <w:lang w:val="en" w:eastAsia="en-GB"/>
              </w:rPr>
            </w:pPr>
            <w:r>
              <w:rPr>
                <w:rFonts w:eastAsia="Arial" w:cstheme="minorHAnsi"/>
                <w:sz w:val="22"/>
                <w:szCs w:val="22"/>
                <w:lang w:val="en" w:eastAsia="en-GB"/>
              </w:rPr>
              <w:t>d</w:t>
            </w:r>
          </w:p>
        </w:tc>
        <w:tc>
          <w:tcPr>
            <w:tcW w:w="9639" w:type="dxa"/>
          </w:tcPr>
          <w:p w14:paraId="71B1B65F" w14:textId="71194B5C" w:rsidR="00D20CBA" w:rsidRDefault="001630D4" w:rsidP="003F494F">
            <w:pPr>
              <w:spacing w:before="240" w:line="360" w:lineRule="auto"/>
              <w:jc w:val="both"/>
              <w:rPr>
                <w:rFonts w:eastAsia="Arial Unicode MS" w:cstheme="minorHAnsi"/>
                <w:bCs/>
                <w:color w:val="000000"/>
                <w:sz w:val="22"/>
                <w:szCs w:val="22"/>
              </w:rPr>
            </w:pPr>
            <w:r>
              <w:rPr>
                <w:rFonts w:ascii="Calibri" w:eastAsia="Arial" w:hAnsi="Calibri" w:cs="Calibri"/>
                <w:bCs/>
                <w:color w:val="000000"/>
                <w:sz w:val="22"/>
                <w:szCs w:val="22"/>
              </w:rPr>
              <w:t>All children should be</w:t>
            </w:r>
            <w:r w:rsidRPr="00BB65B8">
              <w:rPr>
                <w:rFonts w:ascii="Calibri" w:eastAsia="Arial" w:hAnsi="Calibri" w:cs="Calibri"/>
                <w:bCs/>
                <w:color w:val="000000"/>
                <w:sz w:val="22"/>
                <w:szCs w:val="22"/>
              </w:rPr>
              <w:t xml:space="preserve"> monitor</w:t>
            </w:r>
            <w:r>
              <w:rPr>
                <w:rFonts w:ascii="Calibri" w:eastAsia="Arial" w:hAnsi="Calibri" w:cs="Calibri"/>
                <w:bCs/>
                <w:color w:val="000000"/>
                <w:sz w:val="22"/>
                <w:szCs w:val="22"/>
              </w:rPr>
              <w:t>ed</w:t>
            </w:r>
            <w:r w:rsidRPr="00BB65B8">
              <w:rPr>
                <w:rFonts w:ascii="Calibri" w:eastAsia="Arial" w:hAnsi="Calibri" w:cs="Calibri"/>
                <w:bCs/>
                <w:color w:val="000000"/>
                <w:sz w:val="22"/>
                <w:szCs w:val="22"/>
              </w:rPr>
              <w:t xml:space="preserve"> after the initial diagnosis of </w:t>
            </w:r>
            <w:proofErr w:type="spellStart"/>
            <w:r w:rsidRPr="00BB65B8">
              <w:rPr>
                <w:rFonts w:ascii="Calibri" w:eastAsia="Arial" w:hAnsi="Calibri" w:cs="Calibri"/>
                <w:bCs/>
                <w:color w:val="000000"/>
                <w:sz w:val="22"/>
                <w:szCs w:val="22"/>
              </w:rPr>
              <w:t>IgAV</w:t>
            </w:r>
            <w:proofErr w:type="spellEnd"/>
            <w:r w:rsidRPr="00BB65B8">
              <w:rPr>
                <w:rFonts w:ascii="Calibri" w:eastAsia="Arial" w:hAnsi="Calibri" w:cs="Calibri"/>
                <w:bCs/>
                <w:color w:val="000000"/>
                <w:sz w:val="22"/>
                <w:szCs w:val="22"/>
              </w:rPr>
              <w:t xml:space="preserve"> </w:t>
            </w:r>
            <w:r>
              <w:rPr>
                <w:rFonts w:ascii="Calibri" w:eastAsia="Arial" w:hAnsi="Calibri" w:cs="Calibri"/>
                <w:bCs/>
                <w:color w:val="000000"/>
                <w:sz w:val="22"/>
                <w:szCs w:val="22"/>
              </w:rPr>
              <w:t xml:space="preserve">for the presence of nephritis and this </w:t>
            </w:r>
            <w:r w:rsidRPr="00BB65B8">
              <w:rPr>
                <w:rFonts w:ascii="Calibri" w:eastAsia="Arial" w:hAnsi="Calibri" w:cs="Calibri"/>
                <w:bCs/>
                <w:color w:val="000000"/>
                <w:sz w:val="22"/>
                <w:szCs w:val="22"/>
              </w:rPr>
              <w:t xml:space="preserve">should be at least monthly for the first six months even if </w:t>
            </w:r>
            <w:r>
              <w:rPr>
                <w:rFonts w:ascii="Calibri" w:eastAsia="Arial" w:hAnsi="Calibri" w:cs="Calibri"/>
                <w:bCs/>
                <w:color w:val="000000"/>
                <w:sz w:val="22"/>
                <w:szCs w:val="22"/>
              </w:rPr>
              <w:t xml:space="preserve">the </w:t>
            </w:r>
            <w:r w:rsidRPr="00BB65B8">
              <w:rPr>
                <w:rFonts w:ascii="Calibri" w:eastAsia="Arial" w:hAnsi="Calibri" w:cs="Calibri"/>
                <w:bCs/>
                <w:color w:val="000000"/>
                <w:sz w:val="22"/>
                <w:szCs w:val="22"/>
              </w:rPr>
              <w:t>urinalysis remains normal</w:t>
            </w:r>
            <w:r>
              <w:rPr>
                <w:rFonts w:ascii="Calibri" w:eastAsia="Arial" w:hAnsi="Calibri" w:cs="Calibri"/>
                <w:bCs/>
                <w:color w:val="000000"/>
                <w:sz w:val="22"/>
                <w:szCs w:val="22"/>
              </w:rPr>
              <w:t>.</w:t>
            </w:r>
          </w:p>
        </w:tc>
      </w:tr>
    </w:tbl>
    <w:p w14:paraId="5C8C97DE" w14:textId="77777777" w:rsidR="00601B86" w:rsidRPr="00C00DD6" w:rsidRDefault="00601B86" w:rsidP="003F494F">
      <w:pPr>
        <w:pStyle w:val="NormalWeb"/>
        <w:spacing w:before="0" w:beforeAutospacing="0" w:after="0" w:afterAutospacing="0" w:line="360" w:lineRule="auto"/>
        <w:rPr>
          <w:rFonts w:asciiTheme="minorHAnsi" w:eastAsiaTheme="minorEastAsia" w:hAnsiTheme="minorHAnsi" w:cstheme="minorHAnsi"/>
          <w:color w:val="000000" w:themeColor="text1"/>
          <w:kern w:val="24"/>
          <w:sz w:val="22"/>
          <w:szCs w:val="22"/>
          <w:lang w:val="en-US"/>
        </w:rPr>
      </w:pPr>
    </w:p>
    <w:p w14:paraId="729F3D2A" w14:textId="77777777" w:rsidR="00601B86" w:rsidRPr="00C00DD6" w:rsidRDefault="00601B86" w:rsidP="003F494F">
      <w:pPr>
        <w:pStyle w:val="NormalWeb"/>
        <w:spacing w:before="0" w:beforeAutospacing="0" w:after="0" w:afterAutospacing="0" w:line="360" w:lineRule="auto"/>
        <w:rPr>
          <w:rFonts w:asciiTheme="minorHAnsi" w:eastAsiaTheme="minorEastAsia" w:hAnsiTheme="minorHAnsi" w:cstheme="minorHAnsi"/>
          <w:color w:val="000000" w:themeColor="text1"/>
          <w:kern w:val="24"/>
          <w:sz w:val="22"/>
          <w:szCs w:val="22"/>
          <w:lang w:val="en-US"/>
        </w:rPr>
      </w:pPr>
    </w:p>
    <w:p w14:paraId="2202AC4A" w14:textId="40EEE92E" w:rsidR="00601B86" w:rsidRPr="00C00DD6" w:rsidRDefault="001630D4" w:rsidP="003F494F">
      <w:pPr>
        <w:spacing w:line="360" w:lineRule="auto"/>
        <w:rPr>
          <w:rFonts w:cstheme="minorHAnsi"/>
          <w:b/>
          <w:bCs/>
          <w:sz w:val="22"/>
          <w:szCs w:val="22"/>
          <w:lang w:val="en" w:eastAsia="en-GB"/>
        </w:rPr>
      </w:pPr>
      <w:r w:rsidRPr="00C00DD6">
        <w:rPr>
          <w:rFonts w:cstheme="minorHAnsi"/>
          <w:b/>
          <w:bCs/>
          <w:sz w:val="22"/>
          <w:szCs w:val="22"/>
          <w:lang w:val="en" w:eastAsia="en-GB"/>
        </w:rPr>
        <w:t xml:space="preserve">Management of </w:t>
      </w:r>
      <w:proofErr w:type="spellStart"/>
      <w:r w:rsidRPr="00C00DD6">
        <w:rPr>
          <w:rFonts w:cstheme="minorHAnsi"/>
          <w:b/>
          <w:bCs/>
          <w:sz w:val="22"/>
          <w:szCs w:val="22"/>
          <w:lang w:val="en" w:eastAsia="en-GB"/>
        </w:rPr>
        <w:t>IgAV</w:t>
      </w:r>
      <w:proofErr w:type="spellEnd"/>
      <w:r w:rsidRPr="00C00DD6">
        <w:rPr>
          <w:rFonts w:cstheme="minorHAnsi"/>
          <w:b/>
          <w:bCs/>
          <w:sz w:val="22"/>
          <w:szCs w:val="22"/>
          <w:lang w:val="en" w:eastAsia="en-GB"/>
        </w:rPr>
        <w:t xml:space="preserve">-N </w:t>
      </w:r>
    </w:p>
    <w:p w14:paraId="5A14F002" w14:textId="77777777" w:rsidR="00601B86" w:rsidRPr="00C00DD6" w:rsidRDefault="00601B86" w:rsidP="003F494F">
      <w:pPr>
        <w:pStyle w:val="NormalWeb"/>
        <w:spacing w:before="0" w:beforeAutospacing="0" w:after="0" w:afterAutospacing="0" w:line="360" w:lineRule="auto"/>
        <w:rPr>
          <w:rFonts w:asciiTheme="minorHAnsi" w:eastAsiaTheme="minorEastAsia" w:hAnsiTheme="minorHAnsi" w:cstheme="minorHAnsi"/>
          <w:color w:val="000000" w:themeColor="text1"/>
          <w:kern w:val="24"/>
          <w:sz w:val="22"/>
          <w:szCs w:val="22"/>
          <w:lang w:val="en-US"/>
        </w:rPr>
      </w:pPr>
    </w:p>
    <w:tbl>
      <w:tblPr>
        <w:tblStyle w:val="TableGrid"/>
        <w:tblW w:w="10490" w:type="dxa"/>
        <w:tblInd w:w="-5" w:type="dxa"/>
        <w:tblLook w:val="04A0" w:firstRow="1" w:lastRow="0" w:firstColumn="1" w:lastColumn="0" w:noHBand="0" w:noVBand="1"/>
      </w:tblPr>
      <w:tblGrid>
        <w:gridCol w:w="965"/>
        <w:gridCol w:w="7824"/>
        <w:gridCol w:w="1701"/>
      </w:tblGrid>
      <w:tr w:rsidR="00837E18" w14:paraId="18D799D0" w14:textId="77777777" w:rsidTr="00C00DD6">
        <w:tc>
          <w:tcPr>
            <w:tcW w:w="965" w:type="dxa"/>
          </w:tcPr>
          <w:p w14:paraId="578402BE" w14:textId="4A6E1408" w:rsidR="00601B86" w:rsidRPr="00D20CBA" w:rsidRDefault="001630D4" w:rsidP="003F494F">
            <w:pPr>
              <w:spacing w:line="360" w:lineRule="auto"/>
              <w:rPr>
                <w:rFonts w:cstheme="minorHAnsi"/>
                <w:bCs/>
                <w:sz w:val="22"/>
                <w:szCs w:val="22"/>
              </w:rPr>
            </w:pPr>
            <w:r w:rsidRPr="00D20CBA">
              <w:rPr>
                <w:rFonts w:eastAsia="Arial" w:cstheme="minorHAnsi"/>
                <w:b/>
                <w:sz w:val="22"/>
                <w:szCs w:val="22"/>
                <w:lang w:val="en" w:eastAsia="en-GB"/>
              </w:rPr>
              <w:lastRenderedPageBreak/>
              <w:t>Number</w:t>
            </w:r>
          </w:p>
        </w:tc>
        <w:tc>
          <w:tcPr>
            <w:tcW w:w="7824" w:type="dxa"/>
          </w:tcPr>
          <w:p w14:paraId="7E6A1E64" w14:textId="7C03663F" w:rsidR="00601B86" w:rsidRPr="00D20CBA" w:rsidRDefault="001630D4" w:rsidP="003F494F">
            <w:pPr>
              <w:pStyle w:val="NormalWeb"/>
              <w:shd w:val="clear" w:color="auto" w:fill="FFFFFF"/>
              <w:spacing w:line="360" w:lineRule="auto"/>
              <w:rPr>
                <w:rFonts w:asciiTheme="minorHAnsi" w:eastAsia="Arial" w:hAnsiTheme="minorHAnsi" w:cstheme="minorHAnsi"/>
                <w:bCs/>
                <w:color w:val="000000"/>
                <w:sz w:val="22"/>
                <w:szCs w:val="22"/>
              </w:rPr>
            </w:pPr>
            <w:r w:rsidRPr="00D20CBA">
              <w:rPr>
                <w:rFonts w:asciiTheme="minorHAnsi" w:eastAsia="Arial" w:hAnsiTheme="minorHAnsi" w:cstheme="minorHAnsi"/>
                <w:b/>
                <w:sz w:val="22"/>
                <w:szCs w:val="22"/>
                <w:lang w:val="en"/>
              </w:rPr>
              <w:t>RECOMMENDATION</w:t>
            </w:r>
          </w:p>
        </w:tc>
        <w:tc>
          <w:tcPr>
            <w:tcW w:w="1701" w:type="dxa"/>
          </w:tcPr>
          <w:p w14:paraId="481CEDB2" w14:textId="29767BF2" w:rsidR="00601B86" w:rsidRPr="00D20CBA" w:rsidRDefault="001630D4" w:rsidP="003F494F">
            <w:pPr>
              <w:spacing w:line="360" w:lineRule="auto"/>
              <w:jc w:val="center"/>
              <w:rPr>
                <w:rFonts w:cstheme="minorHAnsi"/>
                <w:bCs/>
                <w:sz w:val="22"/>
                <w:szCs w:val="22"/>
              </w:rPr>
            </w:pPr>
            <w:r w:rsidRPr="00D20CBA">
              <w:rPr>
                <w:rFonts w:eastAsia="Arial" w:cstheme="minorHAnsi"/>
                <w:b/>
                <w:sz w:val="22"/>
                <w:szCs w:val="22"/>
                <w:lang w:val="en" w:eastAsia="en-GB"/>
              </w:rPr>
              <w:t>Grade</w:t>
            </w:r>
          </w:p>
        </w:tc>
      </w:tr>
      <w:tr w:rsidR="00837E18" w14:paraId="3116BFE3" w14:textId="77777777" w:rsidTr="00D20CBA">
        <w:trPr>
          <w:trHeight w:val="980"/>
        </w:trPr>
        <w:tc>
          <w:tcPr>
            <w:tcW w:w="965" w:type="dxa"/>
          </w:tcPr>
          <w:p w14:paraId="200A483E" w14:textId="12E01995" w:rsidR="00BB65B8" w:rsidRPr="00D20CBA" w:rsidRDefault="001630D4" w:rsidP="003F494F">
            <w:pPr>
              <w:spacing w:line="360" w:lineRule="auto"/>
              <w:rPr>
                <w:rFonts w:cstheme="minorHAnsi"/>
                <w:bCs/>
                <w:sz w:val="22"/>
                <w:szCs w:val="22"/>
              </w:rPr>
            </w:pPr>
            <w:proofErr w:type="spellStart"/>
            <w:r w:rsidRPr="00D20CBA">
              <w:rPr>
                <w:rFonts w:cstheme="minorHAnsi"/>
                <w:bCs/>
                <w:sz w:val="22"/>
                <w:szCs w:val="22"/>
              </w:rPr>
              <w:t>IgA</w:t>
            </w:r>
            <w:r w:rsidR="00857A64">
              <w:rPr>
                <w:rFonts w:cstheme="minorHAnsi"/>
                <w:bCs/>
                <w:sz w:val="22"/>
                <w:szCs w:val="22"/>
              </w:rPr>
              <w:t>V</w:t>
            </w:r>
            <w:proofErr w:type="spellEnd"/>
            <w:r w:rsidRPr="00D20CBA">
              <w:rPr>
                <w:rFonts w:cstheme="minorHAnsi"/>
                <w:bCs/>
                <w:sz w:val="22"/>
                <w:szCs w:val="22"/>
              </w:rPr>
              <w:t xml:space="preserve"> 2.1</w:t>
            </w:r>
            <w:r w:rsidR="00857A64">
              <w:rPr>
                <w:rFonts w:cstheme="minorHAnsi"/>
                <w:bCs/>
                <w:sz w:val="22"/>
                <w:szCs w:val="22"/>
              </w:rPr>
              <w:t>1</w:t>
            </w:r>
          </w:p>
        </w:tc>
        <w:tc>
          <w:tcPr>
            <w:tcW w:w="7824" w:type="dxa"/>
          </w:tcPr>
          <w:p w14:paraId="3529C803" w14:textId="5ADCA841" w:rsidR="00BB65B8" w:rsidRPr="00D20CBA" w:rsidRDefault="001630D4" w:rsidP="003F494F">
            <w:pPr>
              <w:pStyle w:val="NormalWeb"/>
              <w:shd w:val="clear" w:color="auto" w:fill="FFFFFF"/>
              <w:spacing w:line="360" w:lineRule="auto"/>
              <w:rPr>
                <w:rFonts w:asciiTheme="minorHAnsi" w:eastAsia="Arial" w:hAnsiTheme="minorHAnsi" w:cstheme="minorHAnsi"/>
                <w:bCs/>
                <w:color w:val="000000"/>
                <w:sz w:val="22"/>
                <w:szCs w:val="22"/>
              </w:rPr>
            </w:pPr>
            <w:r w:rsidRPr="00D20CBA">
              <w:rPr>
                <w:rFonts w:asciiTheme="minorHAnsi" w:eastAsia="Arial" w:hAnsiTheme="minorHAnsi" w:cstheme="minorHAnsi"/>
                <w:bCs/>
                <w:color w:val="000000"/>
                <w:sz w:val="22"/>
                <w:szCs w:val="22"/>
                <w:u w:val="single"/>
              </w:rPr>
              <w:t>We recommend</w:t>
            </w:r>
            <w:r w:rsidRPr="00D20CBA">
              <w:rPr>
                <w:rFonts w:asciiTheme="minorHAnsi" w:eastAsia="Arial" w:hAnsiTheme="minorHAnsi" w:cstheme="minorHAnsi"/>
                <w:bCs/>
                <w:color w:val="000000"/>
                <w:sz w:val="22"/>
                <w:szCs w:val="22"/>
              </w:rPr>
              <w:t xml:space="preserve"> </w:t>
            </w:r>
            <w:r w:rsidR="00D20CBA" w:rsidRPr="00D20CBA">
              <w:rPr>
                <w:rFonts w:asciiTheme="minorHAnsi" w:eastAsia="Arial" w:hAnsiTheme="minorHAnsi" w:cstheme="minorHAnsi"/>
                <w:bCs/>
                <w:color w:val="000000"/>
                <w:sz w:val="22"/>
                <w:szCs w:val="22"/>
              </w:rPr>
              <w:t xml:space="preserve">that </w:t>
            </w:r>
            <w:r w:rsidRPr="00D20CBA">
              <w:rPr>
                <w:rFonts w:asciiTheme="minorHAnsi" w:eastAsia="Arial" w:hAnsiTheme="minorHAnsi" w:cstheme="minorHAnsi"/>
                <w:bCs/>
                <w:color w:val="000000"/>
                <w:sz w:val="22"/>
                <w:szCs w:val="22"/>
              </w:rPr>
              <w:t xml:space="preserve">a kidney biopsy </w:t>
            </w:r>
            <w:r w:rsidR="00D20CBA" w:rsidRPr="00D20CBA">
              <w:rPr>
                <w:rFonts w:asciiTheme="minorHAnsi" w:eastAsia="Arial" w:hAnsiTheme="minorHAnsi" w:cstheme="minorHAnsi"/>
                <w:bCs/>
                <w:color w:val="000000"/>
                <w:sz w:val="22"/>
                <w:szCs w:val="22"/>
              </w:rPr>
              <w:t xml:space="preserve">should </w:t>
            </w:r>
            <w:r w:rsidRPr="00D20CBA">
              <w:rPr>
                <w:rFonts w:asciiTheme="minorHAnsi" w:eastAsia="Arial" w:hAnsiTheme="minorHAnsi" w:cstheme="minorHAnsi"/>
                <w:bCs/>
                <w:color w:val="000000"/>
                <w:sz w:val="22"/>
                <w:szCs w:val="22"/>
              </w:rPr>
              <w:t xml:space="preserve">be performed in patients with </w:t>
            </w:r>
            <w:proofErr w:type="spellStart"/>
            <w:r w:rsidRPr="00D20CBA">
              <w:rPr>
                <w:rFonts w:asciiTheme="minorHAnsi" w:eastAsia="Arial" w:hAnsiTheme="minorHAnsi" w:cstheme="minorHAnsi"/>
                <w:bCs/>
                <w:color w:val="000000"/>
                <w:sz w:val="22"/>
                <w:szCs w:val="22"/>
              </w:rPr>
              <w:t>IgAV</w:t>
            </w:r>
            <w:proofErr w:type="spellEnd"/>
            <w:r w:rsidRPr="00D20CBA">
              <w:rPr>
                <w:rFonts w:asciiTheme="minorHAnsi" w:eastAsia="Arial" w:hAnsiTheme="minorHAnsi" w:cstheme="minorHAnsi"/>
                <w:bCs/>
                <w:color w:val="000000"/>
                <w:sz w:val="22"/>
                <w:szCs w:val="22"/>
              </w:rPr>
              <w:t xml:space="preserve"> </w:t>
            </w:r>
            <w:proofErr w:type="gramStart"/>
            <w:r w:rsidRPr="00D20CBA">
              <w:rPr>
                <w:rFonts w:asciiTheme="minorHAnsi" w:eastAsia="Arial" w:hAnsiTheme="minorHAnsi" w:cstheme="minorHAnsi"/>
                <w:bCs/>
                <w:color w:val="000000"/>
                <w:sz w:val="22"/>
                <w:szCs w:val="22"/>
              </w:rPr>
              <w:t>and;</w:t>
            </w:r>
            <w:proofErr w:type="gramEnd"/>
          </w:p>
          <w:p w14:paraId="23A930CE" w14:textId="2529FA2F" w:rsidR="009F25AE" w:rsidRPr="003F494F" w:rsidRDefault="009F25AE" w:rsidP="009F25AE">
            <w:pPr>
              <w:pStyle w:val="ListParagraph"/>
              <w:numPr>
                <w:ilvl w:val="0"/>
                <w:numId w:val="31"/>
              </w:numPr>
              <w:spacing w:before="240" w:line="360" w:lineRule="auto"/>
              <w:rPr>
                <w:rFonts w:eastAsia="Arial" w:cstheme="minorHAnsi"/>
                <w:sz w:val="22"/>
                <w:szCs w:val="22"/>
                <w:lang w:val="en" w:eastAsia="en-GB"/>
              </w:rPr>
            </w:pPr>
            <w:r w:rsidRPr="00CF77EA">
              <w:rPr>
                <w:rFonts w:eastAsia="Arial" w:cstheme="minorHAnsi"/>
                <w:sz w:val="22"/>
                <w:szCs w:val="22"/>
                <w:lang w:val="en" w:eastAsia="en-GB"/>
              </w:rPr>
              <w:t xml:space="preserve">Severe – nephrotic </w:t>
            </w:r>
            <w:r>
              <w:rPr>
                <w:rFonts w:eastAsia="Arial" w:cstheme="minorHAnsi"/>
                <w:sz w:val="22"/>
                <w:szCs w:val="22"/>
                <w:lang w:val="en" w:eastAsia="en-GB"/>
              </w:rPr>
              <w:t>range protein</w:t>
            </w:r>
            <w:r w:rsidRPr="00CF77EA">
              <w:rPr>
                <w:rFonts w:eastAsia="Arial" w:cstheme="minorHAnsi"/>
                <w:sz w:val="22"/>
                <w:szCs w:val="22"/>
                <w:lang w:val="en" w:eastAsia="en-GB"/>
              </w:rPr>
              <w:t>uria</w:t>
            </w:r>
            <w:r>
              <w:rPr>
                <w:rFonts w:eastAsia="Arial" w:cstheme="minorHAnsi"/>
                <w:sz w:val="22"/>
                <w:szCs w:val="22"/>
                <w:lang w:val="en" w:eastAsia="en-GB"/>
              </w:rPr>
              <w:t xml:space="preserve"> </w:t>
            </w:r>
            <w:r w:rsidRPr="00D20CBA">
              <w:rPr>
                <w:rFonts w:eastAsia="Arial" w:cstheme="minorHAnsi"/>
                <w:bCs/>
                <w:color w:val="000000"/>
                <w:sz w:val="22"/>
                <w:szCs w:val="22"/>
              </w:rPr>
              <w:t>UPCR &gt; 200 mg/mmol</w:t>
            </w:r>
            <w:r>
              <w:rPr>
                <w:rFonts w:eastAsia="Arial" w:cstheme="minorHAnsi"/>
                <w:bCs/>
                <w:color w:val="000000"/>
                <w:sz w:val="22"/>
                <w:szCs w:val="22"/>
              </w:rPr>
              <w:t xml:space="preserve"> with or without nephrotic state (</w:t>
            </w:r>
            <w:r w:rsidRPr="00CF77EA">
              <w:rPr>
                <w:rFonts w:eastAsia="Arial" w:cstheme="minorHAnsi"/>
                <w:sz w:val="22"/>
                <w:szCs w:val="22"/>
                <w:lang w:val="en" w:eastAsia="en-GB"/>
              </w:rPr>
              <w:t>oedema, low serum albumin)</w:t>
            </w:r>
            <w:r>
              <w:rPr>
                <w:rFonts w:eastAsia="Arial" w:cstheme="minorHAnsi"/>
                <w:sz w:val="22"/>
                <w:szCs w:val="22"/>
                <w:lang w:val="en" w:eastAsia="en-GB"/>
              </w:rPr>
              <w:t xml:space="preserve"> or eGFR &lt;60 </w:t>
            </w:r>
            <w:r w:rsidRPr="000344E3">
              <w:rPr>
                <w:rFonts w:eastAsia="Arial" w:cstheme="minorHAnsi"/>
                <w:sz w:val="22"/>
                <w:szCs w:val="22"/>
                <w:lang w:val="en" w:eastAsia="en-GB"/>
              </w:rPr>
              <w:t>ml/min/m</w:t>
            </w:r>
            <w:r w:rsidRPr="000344E3">
              <w:rPr>
                <w:rFonts w:eastAsia="Arial" w:cstheme="minorHAnsi"/>
                <w:sz w:val="22"/>
                <w:szCs w:val="22"/>
                <w:vertAlign w:val="superscript"/>
                <w:lang w:val="en" w:eastAsia="en-GB"/>
              </w:rPr>
              <w:t>2</w:t>
            </w:r>
          </w:p>
          <w:p w14:paraId="64EFAC83" w14:textId="6522D897" w:rsidR="009F25AE" w:rsidRDefault="009F25AE" w:rsidP="00123A96">
            <w:pPr>
              <w:pStyle w:val="ListParagraph"/>
              <w:numPr>
                <w:ilvl w:val="0"/>
                <w:numId w:val="31"/>
              </w:numPr>
              <w:spacing w:before="240" w:line="360" w:lineRule="auto"/>
              <w:rPr>
                <w:rFonts w:eastAsia="Arial" w:cstheme="minorHAnsi"/>
                <w:sz w:val="22"/>
                <w:szCs w:val="22"/>
                <w:lang w:val="en" w:eastAsia="en-GB"/>
              </w:rPr>
            </w:pPr>
            <w:r>
              <w:rPr>
                <w:rFonts w:eastAsia="Arial" w:cstheme="minorHAnsi"/>
                <w:sz w:val="22"/>
                <w:szCs w:val="22"/>
                <w:lang w:val="en" w:eastAsia="en-GB"/>
              </w:rPr>
              <w:t>Moderate disease – proteinuria UPCR &gt;100mg/mmol for &gt;2 weeks, without nephrotic state</w:t>
            </w:r>
            <w:r w:rsidRPr="000344E3">
              <w:rPr>
                <w:rFonts w:eastAsia="Arial" w:cstheme="minorHAnsi"/>
                <w:sz w:val="22"/>
                <w:szCs w:val="22"/>
                <w:lang w:val="en" w:eastAsia="en-GB"/>
              </w:rPr>
              <w:t xml:space="preserve"> </w:t>
            </w:r>
            <w:r>
              <w:rPr>
                <w:rFonts w:eastAsia="Arial" w:cstheme="minorHAnsi"/>
                <w:sz w:val="22"/>
                <w:szCs w:val="22"/>
                <w:vertAlign w:val="superscript"/>
                <w:lang w:val="en" w:eastAsia="en-GB"/>
              </w:rPr>
              <w:t xml:space="preserve"> </w:t>
            </w:r>
          </w:p>
          <w:p w14:paraId="59C92D5C" w14:textId="4DD21C20" w:rsidR="00123A96" w:rsidRPr="00660A81" w:rsidRDefault="00123A96" w:rsidP="009F25AE">
            <w:pPr>
              <w:pStyle w:val="ListParagraph"/>
              <w:numPr>
                <w:ilvl w:val="0"/>
                <w:numId w:val="31"/>
              </w:numPr>
              <w:spacing w:before="240" w:line="360" w:lineRule="auto"/>
              <w:rPr>
                <w:rFonts w:eastAsia="Arial" w:cstheme="minorHAnsi"/>
                <w:sz w:val="22"/>
                <w:szCs w:val="22"/>
                <w:lang w:val="en" w:eastAsia="en-GB"/>
              </w:rPr>
            </w:pPr>
            <w:r w:rsidRPr="00660A81">
              <w:rPr>
                <w:rFonts w:eastAsia="Arial" w:cstheme="minorHAnsi"/>
                <w:sz w:val="22"/>
                <w:szCs w:val="22"/>
                <w:lang w:val="en" w:eastAsia="en-GB"/>
              </w:rPr>
              <w:t xml:space="preserve">Mild disease – persisting proteinuria </w:t>
            </w:r>
            <w:r w:rsidR="009F25AE" w:rsidRPr="00660A81">
              <w:rPr>
                <w:rFonts w:eastAsia="Arial" w:cstheme="minorHAnsi"/>
                <w:sz w:val="22"/>
                <w:szCs w:val="22"/>
                <w:lang w:val="en" w:eastAsia="en-GB"/>
              </w:rPr>
              <w:t>for 4-12 weeks (</w:t>
            </w:r>
            <w:r w:rsidRPr="00660A81">
              <w:rPr>
                <w:rFonts w:eastAsia="Arial" w:cstheme="minorHAnsi"/>
                <w:sz w:val="22"/>
                <w:szCs w:val="22"/>
                <w:lang w:val="en" w:eastAsia="en-GB"/>
              </w:rPr>
              <w:t>UPCR &lt;100mg/mmol</w:t>
            </w:r>
            <w:r w:rsidR="009F25AE" w:rsidRPr="00660A81">
              <w:rPr>
                <w:rFonts w:eastAsia="Arial" w:cstheme="minorHAnsi"/>
                <w:sz w:val="22"/>
                <w:szCs w:val="22"/>
                <w:lang w:val="en" w:eastAsia="en-GB"/>
              </w:rPr>
              <w:t>)</w:t>
            </w:r>
            <w:r w:rsidRPr="00660A81">
              <w:rPr>
                <w:rFonts w:eastAsia="Arial" w:cstheme="minorHAnsi"/>
                <w:sz w:val="22"/>
                <w:szCs w:val="22"/>
                <w:lang w:val="en" w:eastAsia="en-GB"/>
              </w:rPr>
              <w:t>, absence of the nephrotic syndrome and normal eGFR (&gt;90 ml/min/m</w:t>
            </w:r>
            <w:r w:rsidRPr="00660A81">
              <w:rPr>
                <w:rFonts w:eastAsia="Arial" w:cstheme="minorHAnsi"/>
                <w:sz w:val="22"/>
                <w:szCs w:val="22"/>
                <w:vertAlign w:val="superscript"/>
                <w:lang w:val="en" w:eastAsia="en-GB"/>
              </w:rPr>
              <w:t>2</w:t>
            </w:r>
            <w:r w:rsidRPr="00660A81">
              <w:rPr>
                <w:rFonts w:eastAsia="Arial" w:cstheme="minorHAnsi"/>
                <w:sz w:val="22"/>
                <w:szCs w:val="22"/>
                <w:lang w:val="en" w:eastAsia="en-GB"/>
              </w:rPr>
              <w:t>)</w:t>
            </w:r>
          </w:p>
          <w:p w14:paraId="45823DFA" w14:textId="1ABC0348" w:rsidR="00D20CBA" w:rsidRPr="00660A81" w:rsidRDefault="00123A96" w:rsidP="00660A81">
            <w:pPr>
              <w:pStyle w:val="NormalWeb"/>
              <w:numPr>
                <w:ilvl w:val="0"/>
                <w:numId w:val="31"/>
              </w:numPr>
              <w:shd w:val="clear" w:color="auto" w:fill="FFFFFF"/>
              <w:spacing w:line="360" w:lineRule="auto"/>
              <w:rPr>
                <w:rFonts w:asciiTheme="minorHAnsi" w:eastAsia="Arial" w:hAnsiTheme="minorHAnsi" w:cstheme="minorHAnsi"/>
                <w:bCs/>
                <w:sz w:val="22"/>
                <w:szCs w:val="22"/>
              </w:rPr>
            </w:pPr>
            <w:r w:rsidRPr="00660A81">
              <w:rPr>
                <w:rFonts w:asciiTheme="minorHAnsi" w:eastAsia="Arial" w:hAnsiTheme="minorHAnsi" w:cstheme="minorHAnsi"/>
                <w:sz w:val="22"/>
                <w:szCs w:val="22"/>
                <w:lang w:val="en"/>
              </w:rPr>
              <w:t xml:space="preserve">Rapidly progressive glomerulonephritis or </w:t>
            </w:r>
            <w:r w:rsidR="00660A81" w:rsidRPr="00660A81">
              <w:rPr>
                <w:rFonts w:asciiTheme="minorHAnsi" w:eastAsia="Arial" w:hAnsiTheme="minorHAnsi" w:cstheme="minorHAnsi"/>
                <w:sz w:val="22"/>
                <w:szCs w:val="22"/>
                <w:lang w:val="en"/>
              </w:rPr>
              <w:t xml:space="preserve">acute </w:t>
            </w:r>
            <w:r w:rsidRPr="00660A81">
              <w:rPr>
                <w:rFonts w:asciiTheme="minorHAnsi" w:eastAsia="Arial" w:hAnsiTheme="minorHAnsi" w:cstheme="minorHAnsi"/>
                <w:sz w:val="22"/>
                <w:szCs w:val="22"/>
                <w:lang w:val="en"/>
              </w:rPr>
              <w:t>eGFR &lt;30 ml/min/m</w:t>
            </w:r>
            <w:r w:rsidRPr="00660A81">
              <w:rPr>
                <w:rFonts w:asciiTheme="minorHAnsi" w:eastAsia="Arial" w:hAnsiTheme="minorHAnsi" w:cstheme="minorHAnsi"/>
                <w:sz w:val="22"/>
                <w:szCs w:val="22"/>
                <w:vertAlign w:val="superscript"/>
                <w:lang w:val="en"/>
              </w:rPr>
              <w:t>2</w:t>
            </w:r>
          </w:p>
        </w:tc>
        <w:tc>
          <w:tcPr>
            <w:tcW w:w="1701" w:type="dxa"/>
          </w:tcPr>
          <w:p w14:paraId="3090764A" w14:textId="2E9D2ABE" w:rsidR="00BB65B8" w:rsidRPr="00D20CBA" w:rsidRDefault="001630D4" w:rsidP="003F494F">
            <w:pPr>
              <w:spacing w:line="360" w:lineRule="auto"/>
              <w:jc w:val="center"/>
              <w:rPr>
                <w:rFonts w:cstheme="minorHAnsi"/>
                <w:b/>
                <w:sz w:val="22"/>
                <w:szCs w:val="22"/>
              </w:rPr>
            </w:pPr>
            <w:r w:rsidRPr="00D20CBA">
              <w:rPr>
                <w:rFonts w:cstheme="minorHAnsi"/>
                <w:b/>
                <w:sz w:val="22"/>
                <w:szCs w:val="22"/>
              </w:rPr>
              <w:t>1C</w:t>
            </w:r>
          </w:p>
        </w:tc>
      </w:tr>
      <w:tr w:rsidR="00837E18" w14:paraId="6BFD7815" w14:textId="77777777" w:rsidTr="00C00DD6">
        <w:tc>
          <w:tcPr>
            <w:tcW w:w="965" w:type="dxa"/>
          </w:tcPr>
          <w:p w14:paraId="36A30ACB" w14:textId="0ACA7881" w:rsidR="00D20CBA" w:rsidRPr="00D20CBA" w:rsidRDefault="001630D4" w:rsidP="003F494F">
            <w:pPr>
              <w:spacing w:line="360" w:lineRule="auto"/>
              <w:rPr>
                <w:rFonts w:cstheme="minorHAnsi"/>
                <w:bCs/>
                <w:sz w:val="22"/>
                <w:szCs w:val="22"/>
              </w:rPr>
            </w:pPr>
            <w:proofErr w:type="spellStart"/>
            <w:r w:rsidRPr="00D20CBA">
              <w:rPr>
                <w:rFonts w:cstheme="minorHAnsi"/>
                <w:bCs/>
                <w:sz w:val="22"/>
                <w:szCs w:val="22"/>
              </w:rPr>
              <w:t>IgA</w:t>
            </w:r>
            <w:r w:rsidR="00857A64">
              <w:rPr>
                <w:rFonts w:cstheme="minorHAnsi"/>
                <w:bCs/>
                <w:sz w:val="22"/>
                <w:szCs w:val="22"/>
              </w:rPr>
              <w:t>V</w:t>
            </w:r>
            <w:proofErr w:type="spellEnd"/>
            <w:r w:rsidRPr="00D20CBA">
              <w:rPr>
                <w:rFonts w:cstheme="minorHAnsi"/>
                <w:bCs/>
                <w:sz w:val="22"/>
                <w:szCs w:val="22"/>
              </w:rPr>
              <w:t xml:space="preserve"> 2.1</w:t>
            </w:r>
            <w:r w:rsidR="00857A64">
              <w:rPr>
                <w:rFonts w:cstheme="minorHAnsi"/>
                <w:bCs/>
                <w:sz w:val="22"/>
                <w:szCs w:val="22"/>
              </w:rPr>
              <w:t>2</w:t>
            </w:r>
          </w:p>
        </w:tc>
        <w:tc>
          <w:tcPr>
            <w:tcW w:w="7824" w:type="dxa"/>
          </w:tcPr>
          <w:p w14:paraId="27E1E74A" w14:textId="4B200EA2" w:rsidR="00D20CBA" w:rsidRPr="00D20CBA" w:rsidRDefault="001630D4" w:rsidP="003F494F">
            <w:pPr>
              <w:pStyle w:val="NormalWeb"/>
              <w:shd w:val="clear" w:color="auto" w:fill="FFFFFF"/>
              <w:spacing w:line="360" w:lineRule="auto"/>
              <w:jc w:val="both"/>
              <w:rPr>
                <w:rFonts w:asciiTheme="minorHAnsi" w:eastAsia="Arial" w:hAnsiTheme="minorHAnsi" w:cstheme="minorHAnsi"/>
                <w:bCs/>
                <w:color w:val="000000"/>
                <w:sz w:val="22"/>
                <w:szCs w:val="22"/>
              </w:rPr>
            </w:pPr>
            <w:r w:rsidRPr="00D20CBA">
              <w:rPr>
                <w:rFonts w:asciiTheme="minorHAnsi" w:hAnsiTheme="minorHAnsi" w:cstheme="minorHAnsi"/>
                <w:sz w:val="22"/>
                <w:szCs w:val="22"/>
                <w:u w:val="single"/>
              </w:rPr>
              <w:t xml:space="preserve">We </w:t>
            </w:r>
            <w:r>
              <w:rPr>
                <w:rFonts w:asciiTheme="minorHAnsi" w:hAnsiTheme="minorHAnsi" w:cstheme="minorHAnsi"/>
                <w:sz w:val="22"/>
                <w:szCs w:val="22"/>
                <w:u w:val="single"/>
              </w:rPr>
              <w:t>suggest</w:t>
            </w:r>
            <w:r w:rsidRPr="00D20CBA">
              <w:rPr>
                <w:rFonts w:asciiTheme="minorHAnsi" w:hAnsiTheme="minorHAnsi" w:cstheme="minorHAnsi"/>
                <w:sz w:val="22"/>
                <w:szCs w:val="22"/>
              </w:rPr>
              <w:t xml:space="preserve"> that the kidney histology should be classified using the ISKDC scoring system and the Oxford classification (MEST-C)</w:t>
            </w:r>
            <w:r w:rsidR="00F45B52">
              <w:rPr>
                <w:rFonts w:asciiTheme="minorHAnsi" w:hAnsiTheme="minorHAnsi" w:cstheme="minorHAnsi"/>
                <w:sz w:val="22"/>
                <w:szCs w:val="22"/>
              </w:rPr>
              <w:t>.</w:t>
            </w:r>
          </w:p>
        </w:tc>
        <w:tc>
          <w:tcPr>
            <w:tcW w:w="1701" w:type="dxa"/>
          </w:tcPr>
          <w:p w14:paraId="2072B7AF" w14:textId="1759CB28" w:rsidR="00D20CBA" w:rsidRPr="00D20CBA" w:rsidRDefault="001630D4" w:rsidP="003F494F">
            <w:pPr>
              <w:spacing w:line="360" w:lineRule="auto"/>
              <w:jc w:val="center"/>
              <w:rPr>
                <w:rFonts w:cstheme="minorHAnsi"/>
                <w:b/>
                <w:sz w:val="22"/>
                <w:szCs w:val="22"/>
              </w:rPr>
            </w:pPr>
            <w:r>
              <w:rPr>
                <w:rFonts w:cstheme="minorHAnsi"/>
                <w:b/>
                <w:sz w:val="22"/>
                <w:szCs w:val="22"/>
              </w:rPr>
              <w:t>2D</w:t>
            </w:r>
          </w:p>
        </w:tc>
      </w:tr>
      <w:tr w:rsidR="00837E18" w14:paraId="7D791EE2" w14:textId="77777777" w:rsidTr="00C00DD6">
        <w:tc>
          <w:tcPr>
            <w:tcW w:w="965" w:type="dxa"/>
          </w:tcPr>
          <w:p w14:paraId="393C3691" w14:textId="147D9135" w:rsidR="00601B86" w:rsidRPr="00D20CBA" w:rsidRDefault="001630D4" w:rsidP="003F494F">
            <w:pPr>
              <w:spacing w:line="360" w:lineRule="auto"/>
              <w:rPr>
                <w:rFonts w:cstheme="minorHAnsi"/>
                <w:bCs/>
                <w:sz w:val="22"/>
                <w:szCs w:val="22"/>
              </w:rPr>
            </w:pPr>
            <w:proofErr w:type="spellStart"/>
            <w:r w:rsidRPr="00D20CBA">
              <w:rPr>
                <w:rFonts w:cstheme="minorHAnsi"/>
                <w:bCs/>
                <w:sz w:val="22"/>
                <w:szCs w:val="22"/>
              </w:rPr>
              <w:t>IgA</w:t>
            </w:r>
            <w:r w:rsidR="00857A64">
              <w:rPr>
                <w:rFonts w:cstheme="minorHAnsi"/>
                <w:bCs/>
                <w:sz w:val="22"/>
                <w:szCs w:val="22"/>
              </w:rPr>
              <w:t>V</w:t>
            </w:r>
            <w:proofErr w:type="spellEnd"/>
            <w:r w:rsidRPr="00D20CBA">
              <w:rPr>
                <w:rFonts w:cstheme="minorHAnsi"/>
                <w:bCs/>
                <w:sz w:val="22"/>
                <w:szCs w:val="22"/>
              </w:rPr>
              <w:t xml:space="preserve"> 2.1</w:t>
            </w:r>
            <w:r w:rsidR="00857A64">
              <w:rPr>
                <w:rFonts w:cstheme="minorHAnsi"/>
                <w:bCs/>
                <w:sz w:val="22"/>
                <w:szCs w:val="22"/>
              </w:rPr>
              <w:t>3</w:t>
            </w:r>
          </w:p>
        </w:tc>
        <w:tc>
          <w:tcPr>
            <w:tcW w:w="7824" w:type="dxa"/>
          </w:tcPr>
          <w:p w14:paraId="56062F84" w14:textId="046C182C" w:rsidR="00601B86" w:rsidRPr="00D20CBA" w:rsidRDefault="001630D4" w:rsidP="003F494F">
            <w:pPr>
              <w:pStyle w:val="NormalWeb"/>
              <w:shd w:val="clear" w:color="auto" w:fill="FFFFFF"/>
              <w:spacing w:line="360" w:lineRule="auto"/>
              <w:jc w:val="both"/>
              <w:rPr>
                <w:rFonts w:asciiTheme="minorHAnsi" w:eastAsia="Arial" w:hAnsiTheme="minorHAnsi" w:cstheme="minorHAnsi"/>
                <w:bCs/>
                <w:iCs/>
                <w:color w:val="000000"/>
                <w:kern w:val="24"/>
                <w:sz w:val="22"/>
                <w:szCs w:val="22"/>
                <w:highlight w:val="yellow"/>
                <w:u w:val="single"/>
              </w:rPr>
            </w:pPr>
            <w:r w:rsidRPr="00D20CBA">
              <w:rPr>
                <w:rFonts w:asciiTheme="minorHAnsi" w:eastAsia="Arial" w:hAnsiTheme="minorHAnsi" w:cstheme="minorHAnsi"/>
                <w:bCs/>
                <w:color w:val="000000"/>
                <w:sz w:val="22"/>
                <w:szCs w:val="22"/>
                <w:u w:val="single"/>
              </w:rPr>
              <w:t>We recommend</w:t>
            </w:r>
            <w:r w:rsidRPr="00D20CBA">
              <w:rPr>
                <w:rFonts w:asciiTheme="minorHAnsi" w:eastAsia="Arial" w:hAnsiTheme="minorHAnsi" w:cstheme="minorHAnsi"/>
                <w:bCs/>
                <w:color w:val="000000"/>
                <w:sz w:val="22"/>
                <w:szCs w:val="22"/>
              </w:rPr>
              <w:t xml:space="preserve"> </w:t>
            </w:r>
            <w:r w:rsidR="00D20CBA" w:rsidRPr="00D20CBA">
              <w:rPr>
                <w:rFonts w:asciiTheme="minorHAnsi" w:eastAsia="Arial" w:hAnsiTheme="minorHAnsi" w:cstheme="minorHAnsi"/>
                <w:bCs/>
                <w:color w:val="000000"/>
                <w:sz w:val="22"/>
                <w:szCs w:val="22"/>
              </w:rPr>
              <w:t xml:space="preserve">not </w:t>
            </w:r>
            <w:r w:rsidRPr="00D20CBA">
              <w:rPr>
                <w:rFonts w:asciiTheme="minorHAnsi" w:eastAsia="Arial" w:hAnsiTheme="minorHAnsi" w:cstheme="minorHAnsi"/>
                <w:bCs/>
                <w:color w:val="000000"/>
                <w:sz w:val="22"/>
                <w:szCs w:val="22"/>
              </w:rPr>
              <w:t xml:space="preserve">using </w:t>
            </w:r>
            <w:r w:rsidR="00B12265">
              <w:rPr>
                <w:rFonts w:asciiTheme="minorHAnsi" w:eastAsia="Arial" w:hAnsiTheme="minorHAnsi" w:cstheme="minorHAnsi"/>
                <w:bCs/>
                <w:color w:val="000000"/>
                <w:sz w:val="22"/>
                <w:szCs w:val="22"/>
              </w:rPr>
              <w:t xml:space="preserve">prophylactic </w:t>
            </w:r>
            <w:r w:rsidR="00BB65B8" w:rsidRPr="00D20CBA">
              <w:rPr>
                <w:rFonts w:asciiTheme="minorHAnsi" w:eastAsia="Arial" w:hAnsiTheme="minorHAnsi" w:cstheme="minorHAnsi"/>
                <w:bCs/>
                <w:color w:val="000000"/>
                <w:sz w:val="22"/>
                <w:szCs w:val="22"/>
              </w:rPr>
              <w:t>corticosteroids</w:t>
            </w:r>
            <w:r w:rsidRPr="00D20CBA">
              <w:rPr>
                <w:rFonts w:asciiTheme="minorHAnsi" w:eastAsia="Arial" w:hAnsiTheme="minorHAnsi" w:cstheme="minorHAnsi"/>
                <w:bCs/>
                <w:color w:val="000000"/>
                <w:sz w:val="22"/>
                <w:szCs w:val="22"/>
              </w:rPr>
              <w:t xml:space="preserve"> </w:t>
            </w:r>
            <w:r w:rsidR="00D20CBA" w:rsidRPr="00D20CBA">
              <w:rPr>
                <w:rFonts w:asciiTheme="minorHAnsi" w:eastAsia="Arial" w:hAnsiTheme="minorHAnsi" w:cstheme="minorHAnsi"/>
                <w:bCs/>
                <w:color w:val="000000"/>
                <w:sz w:val="22"/>
                <w:szCs w:val="22"/>
              </w:rPr>
              <w:t>in patients at presentation</w:t>
            </w:r>
            <w:r w:rsidR="00544DAC">
              <w:rPr>
                <w:rFonts w:asciiTheme="minorHAnsi" w:eastAsia="Arial" w:hAnsiTheme="minorHAnsi" w:cstheme="minorHAnsi"/>
                <w:bCs/>
                <w:color w:val="000000"/>
                <w:sz w:val="22"/>
                <w:szCs w:val="22"/>
              </w:rPr>
              <w:t xml:space="preserve"> </w:t>
            </w:r>
            <w:r w:rsidRPr="00D20CBA">
              <w:rPr>
                <w:rFonts w:asciiTheme="minorHAnsi" w:eastAsia="Arial" w:hAnsiTheme="minorHAnsi" w:cstheme="minorHAnsi"/>
                <w:bCs/>
                <w:color w:val="000000"/>
                <w:sz w:val="22"/>
                <w:szCs w:val="22"/>
              </w:rPr>
              <w:t xml:space="preserve">to prevent </w:t>
            </w:r>
            <w:r w:rsidR="00D20CBA" w:rsidRPr="00D20CBA">
              <w:rPr>
                <w:rFonts w:asciiTheme="minorHAnsi" w:eastAsia="Arial" w:hAnsiTheme="minorHAnsi" w:cstheme="minorHAnsi"/>
                <w:bCs/>
                <w:color w:val="000000"/>
                <w:sz w:val="22"/>
                <w:szCs w:val="22"/>
              </w:rPr>
              <w:t xml:space="preserve">the onset of </w:t>
            </w:r>
            <w:proofErr w:type="spellStart"/>
            <w:r w:rsidRPr="00D20CBA">
              <w:rPr>
                <w:rFonts w:asciiTheme="minorHAnsi" w:eastAsia="Arial" w:hAnsiTheme="minorHAnsi" w:cstheme="minorHAnsi"/>
                <w:bCs/>
                <w:color w:val="000000"/>
                <w:sz w:val="22"/>
                <w:szCs w:val="22"/>
              </w:rPr>
              <w:t>IgA</w:t>
            </w:r>
            <w:r w:rsidR="00D20CBA" w:rsidRPr="00D20CBA">
              <w:rPr>
                <w:rFonts w:asciiTheme="minorHAnsi" w:eastAsia="Arial" w:hAnsiTheme="minorHAnsi" w:cstheme="minorHAnsi"/>
                <w:bCs/>
                <w:color w:val="000000"/>
                <w:sz w:val="22"/>
                <w:szCs w:val="22"/>
              </w:rPr>
              <w:t>V</w:t>
            </w:r>
            <w:proofErr w:type="spellEnd"/>
            <w:r w:rsidR="00D20CBA" w:rsidRPr="00D20CBA">
              <w:rPr>
                <w:rFonts w:asciiTheme="minorHAnsi" w:eastAsia="Arial" w:hAnsiTheme="minorHAnsi" w:cstheme="minorHAnsi"/>
                <w:bCs/>
                <w:color w:val="000000"/>
                <w:sz w:val="22"/>
                <w:szCs w:val="22"/>
              </w:rPr>
              <w:t>-N.</w:t>
            </w:r>
          </w:p>
        </w:tc>
        <w:tc>
          <w:tcPr>
            <w:tcW w:w="1701" w:type="dxa"/>
          </w:tcPr>
          <w:p w14:paraId="4659C8CC" w14:textId="449D5F1E" w:rsidR="00601B86" w:rsidRPr="00D20CBA" w:rsidRDefault="001630D4" w:rsidP="003F494F">
            <w:pPr>
              <w:spacing w:line="360" w:lineRule="auto"/>
              <w:jc w:val="center"/>
              <w:rPr>
                <w:rFonts w:cstheme="minorHAnsi"/>
                <w:b/>
                <w:sz w:val="22"/>
                <w:szCs w:val="22"/>
              </w:rPr>
            </w:pPr>
            <w:r w:rsidRPr="00D20CBA">
              <w:rPr>
                <w:rFonts w:cstheme="minorHAnsi"/>
                <w:b/>
                <w:sz w:val="22"/>
                <w:szCs w:val="22"/>
              </w:rPr>
              <w:t>1A</w:t>
            </w:r>
          </w:p>
        </w:tc>
      </w:tr>
      <w:tr w:rsidR="00837E18" w14:paraId="4ECF30F5" w14:textId="77777777" w:rsidTr="00C00DD6">
        <w:tc>
          <w:tcPr>
            <w:tcW w:w="965" w:type="dxa"/>
          </w:tcPr>
          <w:p w14:paraId="2AA2D012" w14:textId="7C311E44" w:rsidR="00601B86" w:rsidRPr="00D20CBA" w:rsidRDefault="001630D4" w:rsidP="003F494F">
            <w:pPr>
              <w:spacing w:line="360" w:lineRule="auto"/>
              <w:rPr>
                <w:rFonts w:cstheme="minorHAnsi"/>
                <w:bCs/>
                <w:sz w:val="22"/>
                <w:szCs w:val="22"/>
              </w:rPr>
            </w:pPr>
            <w:proofErr w:type="spellStart"/>
            <w:r w:rsidRPr="00D20CBA">
              <w:rPr>
                <w:rFonts w:cstheme="minorHAnsi"/>
                <w:bCs/>
                <w:sz w:val="22"/>
                <w:szCs w:val="22"/>
              </w:rPr>
              <w:t>IgA</w:t>
            </w:r>
            <w:r w:rsidR="00857A64">
              <w:rPr>
                <w:rFonts w:cstheme="minorHAnsi"/>
                <w:bCs/>
                <w:sz w:val="22"/>
                <w:szCs w:val="22"/>
              </w:rPr>
              <w:t>V</w:t>
            </w:r>
            <w:proofErr w:type="spellEnd"/>
            <w:r w:rsidRPr="00D20CBA">
              <w:rPr>
                <w:rFonts w:cstheme="minorHAnsi"/>
                <w:bCs/>
                <w:sz w:val="22"/>
                <w:szCs w:val="22"/>
              </w:rPr>
              <w:t xml:space="preserve"> 2.1</w:t>
            </w:r>
            <w:r w:rsidR="00857A64">
              <w:rPr>
                <w:rFonts w:cstheme="minorHAnsi"/>
                <w:bCs/>
                <w:sz w:val="22"/>
                <w:szCs w:val="22"/>
              </w:rPr>
              <w:t>4</w:t>
            </w:r>
          </w:p>
        </w:tc>
        <w:tc>
          <w:tcPr>
            <w:tcW w:w="7824" w:type="dxa"/>
          </w:tcPr>
          <w:p w14:paraId="431501B4" w14:textId="09DD4631" w:rsidR="00601B86" w:rsidRPr="00D20CBA" w:rsidRDefault="001630D4" w:rsidP="003F494F">
            <w:pPr>
              <w:spacing w:line="360" w:lineRule="auto"/>
              <w:jc w:val="both"/>
              <w:rPr>
                <w:rFonts w:eastAsia="Times New Roman" w:cstheme="minorHAnsi"/>
                <w:bCs/>
                <w:sz w:val="22"/>
                <w:szCs w:val="22"/>
                <w:lang w:eastAsia="en-GB"/>
              </w:rPr>
            </w:pPr>
            <w:r w:rsidRPr="00D20CBA">
              <w:rPr>
                <w:rFonts w:eastAsia="Arial" w:cstheme="minorHAnsi"/>
                <w:bCs/>
                <w:color w:val="000000"/>
                <w:sz w:val="22"/>
                <w:szCs w:val="22"/>
                <w:u w:val="single"/>
              </w:rPr>
              <w:t>We recommend</w:t>
            </w:r>
            <w:r w:rsidRPr="00D20CBA">
              <w:rPr>
                <w:rFonts w:eastAsia="Arial" w:cstheme="minorHAnsi"/>
                <w:bCs/>
                <w:color w:val="000000"/>
                <w:sz w:val="22"/>
                <w:szCs w:val="22"/>
              </w:rPr>
              <w:t xml:space="preserve"> </w:t>
            </w:r>
            <w:r w:rsidR="00D20CBA" w:rsidRPr="00D20CBA">
              <w:rPr>
                <w:rFonts w:eastAsia="Arial" w:cstheme="minorHAnsi"/>
                <w:bCs/>
                <w:color w:val="000000"/>
                <w:sz w:val="22"/>
                <w:szCs w:val="22"/>
              </w:rPr>
              <w:t xml:space="preserve">conservative management </w:t>
            </w:r>
            <w:r w:rsidRPr="00D20CBA">
              <w:rPr>
                <w:rFonts w:eastAsia="Arial" w:cstheme="minorHAnsi"/>
                <w:bCs/>
                <w:color w:val="000000"/>
                <w:sz w:val="22"/>
                <w:szCs w:val="22"/>
              </w:rPr>
              <w:t xml:space="preserve">for </w:t>
            </w:r>
            <w:r w:rsidR="00D20CBA" w:rsidRPr="00D20CBA">
              <w:rPr>
                <w:rFonts w:eastAsia="Arial" w:cstheme="minorHAnsi"/>
                <w:bCs/>
                <w:color w:val="000000"/>
                <w:sz w:val="22"/>
                <w:szCs w:val="22"/>
              </w:rPr>
              <w:t xml:space="preserve">patients with </w:t>
            </w:r>
            <w:proofErr w:type="spellStart"/>
            <w:r w:rsidRPr="00D20CBA">
              <w:rPr>
                <w:rFonts w:eastAsia="Arial" w:cstheme="minorHAnsi"/>
                <w:bCs/>
                <w:color w:val="000000"/>
                <w:sz w:val="22"/>
                <w:szCs w:val="22"/>
              </w:rPr>
              <w:t>IgAV</w:t>
            </w:r>
            <w:proofErr w:type="spellEnd"/>
            <w:r w:rsidR="00BB65B8" w:rsidRPr="00D20CBA">
              <w:rPr>
                <w:rFonts w:eastAsia="Arial" w:cstheme="minorHAnsi"/>
                <w:bCs/>
                <w:color w:val="000000"/>
                <w:sz w:val="22"/>
                <w:szCs w:val="22"/>
              </w:rPr>
              <w:t>-N</w:t>
            </w:r>
            <w:r w:rsidRPr="00D20CBA">
              <w:rPr>
                <w:rFonts w:eastAsia="Arial" w:cstheme="minorHAnsi"/>
                <w:bCs/>
                <w:color w:val="000000"/>
                <w:sz w:val="22"/>
                <w:szCs w:val="22"/>
              </w:rPr>
              <w:t xml:space="preserve"> </w:t>
            </w:r>
            <w:r w:rsidR="00D20CBA" w:rsidRPr="00D20CBA">
              <w:rPr>
                <w:rFonts w:eastAsia="Arial" w:cstheme="minorHAnsi"/>
                <w:bCs/>
                <w:color w:val="000000"/>
                <w:sz w:val="22"/>
                <w:szCs w:val="22"/>
              </w:rPr>
              <w:t>who have</w:t>
            </w:r>
            <w:r w:rsidRPr="00D20CBA">
              <w:rPr>
                <w:rFonts w:eastAsia="Arial" w:cstheme="minorHAnsi"/>
                <w:bCs/>
                <w:color w:val="000000"/>
                <w:sz w:val="22"/>
                <w:szCs w:val="22"/>
              </w:rPr>
              <w:t xml:space="preserve"> isolated microscopic or macroscopic haematuria with no proteinuria (UPCR  </w:t>
            </w:r>
            <w:r w:rsidR="00D20CBA" w:rsidRPr="00D20CBA">
              <w:rPr>
                <w:rFonts w:eastAsia="Arial" w:cstheme="minorHAnsi"/>
                <w:bCs/>
                <w:color w:val="000000"/>
                <w:sz w:val="22"/>
                <w:szCs w:val="22"/>
              </w:rPr>
              <w:t>20 mg/mmol).</w:t>
            </w:r>
          </w:p>
        </w:tc>
        <w:tc>
          <w:tcPr>
            <w:tcW w:w="1701" w:type="dxa"/>
          </w:tcPr>
          <w:p w14:paraId="17EF34F4" w14:textId="0F0C6B87" w:rsidR="00601B86" w:rsidRPr="00D20CBA" w:rsidRDefault="001630D4" w:rsidP="003F494F">
            <w:pPr>
              <w:spacing w:line="360" w:lineRule="auto"/>
              <w:jc w:val="center"/>
              <w:rPr>
                <w:rFonts w:cstheme="minorHAnsi"/>
                <w:b/>
                <w:sz w:val="22"/>
                <w:szCs w:val="22"/>
              </w:rPr>
            </w:pPr>
            <w:r w:rsidRPr="00D20CBA">
              <w:rPr>
                <w:rFonts w:cstheme="minorHAnsi"/>
                <w:b/>
                <w:sz w:val="22"/>
                <w:szCs w:val="22"/>
              </w:rPr>
              <w:t>1D</w:t>
            </w:r>
          </w:p>
        </w:tc>
      </w:tr>
      <w:tr w:rsidR="00837E18" w14:paraId="7DB7AD40" w14:textId="77777777" w:rsidTr="00C00DD6">
        <w:tc>
          <w:tcPr>
            <w:tcW w:w="965" w:type="dxa"/>
          </w:tcPr>
          <w:p w14:paraId="20CA4AF3" w14:textId="08DA7E73" w:rsidR="00D20CBA" w:rsidRPr="00D20CBA" w:rsidRDefault="001630D4" w:rsidP="003F494F">
            <w:pPr>
              <w:spacing w:line="360" w:lineRule="auto"/>
              <w:rPr>
                <w:rFonts w:cstheme="minorHAnsi"/>
                <w:bCs/>
                <w:sz w:val="22"/>
                <w:szCs w:val="22"/>
              </w:rPr>
            </w:pPr>
            <w:proofErr w:type="spellStart"/>
            <w:r w:rsidRPr="00D20CBA">
              <w:rPr>
                <w:rFonts w:cstheme="minorHAnsi"/>
                <w:bCs/>
                <w:sz w:val="22"/>
                <w:szCs w:val="22"/>
              </w:rPr>
              <w:t>IgA</w:t>
            </w:r>
            <w:r w:rsidR="00857A64">
              <w:rPr>
                <w:rFonts w:cstheme="minorHAnsi"/>
                <w:bCs/>
                <w:sz w:val="22"/>
                <w:szCs w:val="22"/>
              </w:rPr>
              <w:t>V</w:t>
            </w:r>
            <w:proofErr w:type="spellEnd"/>
            <w:r w:rsidRPr="00D20CBA">
              <w:rPr>
                <w:rFonts w:cstheme="minorHAnsi"/>
                <w:bCs/>
                <w:sz w:val="22"/>
                <w:szCs w:val="22"/>
              </w:rPr>
              <w:t xml:space="preserve"> 2.1</w:t>
            </w:r>
            <w:r w:rsidR="00857A64">
              <w:rPr>
                <w:rFonts w:cstheme="minorHAnsi"/>
                <w:bCs/>
                <w:sz w:val="22"/>
                <w:szCs w:val="22"/>
              </w:rPr>
              <w:t>5</w:t>
            </w:r>
          </w:p>
        </w:tc>
        <w:tc>
          <w:tcPr>
            <w:tcW w:w="7824" w:type="dxa"/>
          </w:tcPr>
          <w:p w14:paraId="0A7E661E" w14:textId="0DAB3965" w:rsidR="00D20CBA" w:rsidRPr="00D20CBA" w:rsidRDefault="001630D4" w:rsidP="003F494F">
            <w:pPr>
              <w:spacing w:line="360" w:lineRule="auto"/>
              <w:jc w:val="both"/>
              <w:rPr>
                <w:rFonts w:eastAsia="Arial" w:cstheme="minorHAnsi"/>
                <w:color w:val="000000"/>
                <w:kern w:val="24"/>
                <w:sz w:val="22"/>
                <w:szCs w:val="22"/>
                <w:lang w:eastAsia="en-GB"/>
              </w:rPr>
            </w:pPr>
            <w:r w:rsidRPr="00D20CBA">
              <w:rPr>
                <w:rFonts w:eastAsia="Arial" w:cstheme="minorHAnsi"/>
                <w:color w:val="000000"/>
                <w:kern w:val="24"/>
                <w:sz w:val="22"/>
                <w:szCs w:val="22"/>
                <w:u w:val="single"/>
                <w:lang w:eastAsia="en-GB"/>
              </w:rPr>
              <w:t>We suggest</w:t>
            </w:r>
            <w:r w:rsidRPr="00D20CBA">
              <w:rPr>
                <w:rFonts w:eastAsia="Arial" w:cstheme="minorHAnsi"/>
                <w:color w:val="000000"/>
                <w:kern w:val="24"/>
                <w:sz w:val="22"/>
                <w:szCs w:val="22"/>
                <w:lang w:eastAsia="en-GB"/>
              </w:rPr>
              <w:t xml:space="preserve"> that</w:t>
            </w:r>
            <w:r w:rsidR="00F45B52">
              <w:rPr>
                <w:rFonts w:eastAsia="Arial" w:cstheme="minorHAnsi"/>
                <w:color w:val="000000"/>
                <w:kern w:val="24"/>
                <w:sz w:val="22"/>
                <w:szCs w:val="22"/>
                <w:lang w:eastAsia="en-GB"/>
              </w:rPr>
              <w:t xml:space="preserve"> children with</w:t>
            </w:r>
            <w:r w:rsidRPr="00D20CBA">
              <w:rPr>
                <w:rFonts w:eastAsia="Arial" w:cstheme="minorHAnsi"/>
                <w:color w:val="000000"/>
                <w:kern w:val="24"/>
                <w:sz w:val="22"/>
                <w:szCs w:val="22"/>
                <w:lang w:eastAsia="en-GB"/>
              </w:rPr>
              <w:t xml:space="preserve"> biopsy proven </w:t>
            </w:r>
            <w:proofErr w:type="spellStart"/>
            <w:r w:rsidR="00F81122" w:rsidRPr="00D20CBA">
              <w:rPr>
                <w:rFonts w:eastAsia="Arial" w:cstheme="minorHAnsi"/>
                <w:color w:val="000000"/>
                <w:kern w:val="24"/>
                <w:sz w:val="22"/>
                <w:szCs w:val="22"/>
                <w:lang w:eastAsia="en-GB"/>
              </w:rPr>
              <w:t>IgA</w:t>
            </w:r>
            <w:r w:rsidR="00F81122">
              <w:rPr>
                <w:rFonts w:eastAsia="Arial" w:cstheme="minorHAnsi"/>
                <w:color w:val="000000"/>
                <w:kern w:val="24"/>
                <w:sz w:val="22"/>
                <w:szCs w:val="22"/>
                <w:lang w:eastAsia="en-GB"/>
              </w:rPr>
              <w:t>V</w:t>
            </w:r>
            <w:proofErr w:type="spellEnd"/>
            <w:r w:rsidR="00F81122">
              <w:rPr>
                <w:rFonts w:eastAsia="Arial" w:cstheme="minorHAnsi"/>
                <w:color w:val="000000"/>
                <w:kern w:val="24"/>
                <w:sz w:val="22"/>
                <w:szCs w:val="22"/>
                <w:lang w:eastAsia="en-GB"/>
              </w:rPr>
              <w:t>-</w:t>
            </w:r>
            <w:r w:rsidR="00F81122" w:rsidRPr="00D20CBA">
              <w:rPr>
                <w:rFonts w:eastAsia="Arial" w:cstheme="minorHAnsi"/>
                <w:color w:val="000000"/>
                <w:kern w:val="24"/>
                <w:sz w:val="22"/>
                <w:szCs w:val="22"/>
                <w:lang w:eastAsia="en-GB"/>
              </w:rPr>
              <w:t xml:space="preserve">N </w:t>
            </w:r>
            <w:r w:rsidR="00F45B52">
              <w:rPr>
                <w:rFonts w:eastAsia="Arial" w:cstheme="minorHAnsi"/>
                <w:color w:val="000000"/>
                <w:kern w:val="24"/>
                <w:sz w:val="22"/>
                <w:szCs w:val="22"/>
                <w:lang w:eastAsia="en-GB"/>
              </w:rPr>
              <w:t>who have</w:t>
            </w:r>
            <w:r w:rsidRPr="00D20CBA">
              <w:rPr>
                <w:rFonts w:eastAsia="Arial" w:cstheme="minorHAnsi"/>
                <w:color w:val="000000"/>
                <w:kern w:val="24"/>
                <w:sz w:val="22"/>
                <w:szCs w:val="22"/>
                <w:lang w:eastAsia="en-GB"/>
              </w:rPr>
              <w:t xml:space="preserve"> risk factors for disease progression </w:t>
            </w:r>
            <w:r w:rsidR="00F45B52">
              <w:rPr>
                <w:rFonts w:eastAsia="Arial" w:cstheme="minorHAnsi"/>
                <w:color w:val="000000"/>
                <w:kern w:val="24"/>
                <w:sz w:val="22"/>
                <w:szCs w:val="22"/>
                <w:lang w:eastAsia="en-GB"/>
              </w:rPr>
              <w:t>are</w:t>
            </w:r>
            <w:r w:rsidRPr="00D20CBA">
              <w:rPr>
                <w:rFonts w:eastAsia="Arial" w:cstheme="minorHAnsi"/>
                <w:color w:val="000000"/>
                <w:kern w:val="24"/>
                <w:sz w:val="22"/>
                <w:szCs w:val="22"/>
                <w:lang w:eastAsia="en-GB"/>
              </w:rPr>
              <w:t xml:space="preserve"> treated with immunosuppressive treatment using either or both of the </w:t>
            </w:r>
            <w:proofErr w:type="gramStart"/>
            <w:r w:rsidRPr="00D20CBA">
              <w:rPr>
                <w:rFonts w:eastAsia="Arial" w:cstheme="minorHAnsi"/>
                <w:color w:val="000000"/>
                <w:kern w:val="24"/>
                <w:sz w:val="22"/>
                <w:szCs w:val="22"/>
                <w:lang w:eastAsia="en-GB"/>
              </w:rPr>
              <w:t>following;</w:t>
            </w:r>
            <w:proofErr w:type="gramEnd"/>
            <w:r w:rsidRPr="00D20CBA">
              <w:rPr>
                <w:rFonts w:eastAsia="Arial" w:cstheme="minorHAnsi"/>
                <w:color w:val="000000"/>
                <w:kern w:val="24"/>
                <w:sz w:val="22"/>
                <w:szCs w:val="22"/>
                <w:lang w:eastAsia="en-GB"/>
              </w:rPr>
              <w:t xml:space="preserve"> </w:t>
            </w:r>
          </w:p>
          <w:p w14:paraId="54EF88CC" w14:textId="79806847" w:rsidR="00D20CBA" w:rsidRPr="00D20CBA" w:rsidRDefault="001630D4" w:rsidP="003F494F">
            <w:pPr>
              <w:pStyle w:val="ListParagraph"/>
              <w:numPr>
                <w:ilvl w:val="0"/>
                <w:numId w:val="30"/>
              </w:numPr>
              <w:spacing w:line="360" w:lineRule="auto"/>
              <w:jc w:val="both"/>
              <w:rPr>
                <w:rFonts w:cstheme="minorHAnsi"/>
                <w:sz w:val="22"/>
                <w:szCs w:val="22"/>
              </w:rPr>
            </w:pPr>
            <w:r w:rsidRPr="00D20CBA">
              <w:rPr>
                <w:rFonts w:eastAsia="Arial" w:cstheme="minorHAnsi"/>
                <w:color w:val="000000"/>
                <w:kern w:val="24"/>
                <w:sz w:val="22"/>
                <w:szCs w:val="22"/>
                <w:lang w:eastAsia="en-GB"/>
              </w:rPr>
              <w:t>oral prednisone</w:t>
            </w:r>
            <w:r w:rsidRPr="00D20CBA">
              <w:rPr>
                <w:rFonts w:cstheme="minorHAnsi"/>
                <w:sz w:val="22"/>
                <w:szCs w:val="22"/>
              </w:rPr>
              <w:t>.</w:t>
            </w:r>
          </w:p>
          <w:p w14:paraId="0BAA1EB4" w14:textId="061B54D6" w:rsidR="00D20CBA" w:rsidRPr="00D20CBA" w:rsidRDefault="001630D4" w:rsidP="003F494F">
            <w:pPr>
              <w:pStyle w:val="ListParagraph"/>
              <w:numPr>
                <w:ilvl w:val="0"/>
                <w:numId w:val="30"/>
              </w:numPr>
              <w:spacing w:line="360" w:lineRule="auto"/>
              <w:jc w:val="both"/>
              <w:rPr>
                <w:rFonts w:cstheme="minorHAnsi"/>
                <w:sz w:val="22"/>
                <w:szCs w:val="22"/>
              </w:rPr>
            </w:pPr>
            <w:r w:rsidRPr="00D20CBA">
              <w:rPr>
                <w:rFonts w:eastAsia="Arial" w:cstheme="minorHAnsi"/>
                <w:color w:val="000000"/>
                <w:kern w:val="24"/>
                <w:sz w:val="22"/>
                <w:szCs w:val="22"/>
              </w:rPr>
              <w:t>oral mycophenolate mofetil</w:t>
            </w:r>
            <w:r w:rsidR="00660A81">
              <w:rPr>
                <w:rFonts w:eastAsia="Arial" w:cstheme="minorHAnsi"/>
                <w:color w:val="000000"/>
                <w:kern w:val="24"/>
                <w:sz w:val="22"/>
                <w:szCs w:val="22"/>
              </w:rPr>
              <w:t xml:space="preserve"> or tacrolimus (preferred CNI)</w:t>
            </w:r>
            <w:r w:rsidRPr="00D20CBA">
              <w:rPr>
                <w:rFonts w:eastAsia="Arial" w:cstheme="minorHAnsi"/>
                <w:color w:val="000000"/>
                <w:kern w:val="24"/>
                <w:sz w:val="22"/>
                <w:szCs w:val="22"/>
              </w:rPr>
              <w:t>.</w:t>
            </w:r>
          </w:p>
        </w:tc>
        <w:tc>
          <w:tcPr>
            <w:tcW w:w="1701" w:type="dxa"/>
          </w:tcPr>
          <w:p w14:paraId="18688B60" w14:textId="2D9CB149" w:rsidR="00D20CBA" w:rsidRPr="00D20CBA" w:rsidRDefault="001630D4" w:rsidP="003F494F">
            <w:pPr>
              <w:spacing w:line="360" w:lineRule="auto"/>
              <w:jc w:val="center"/>
              <w:rPr>
                <w:rFonts w:cstheme="minorHAnsi"/>
                <w:b/>
                <w:sz w:val="22"/>
                <w:szCs w:val="22"/>
              </w:rPr>
            </w:pPr>
            <w:r w:rsidRPr="00D20CBA">
              <w:rPr>
                <w:rFonts w:cstheme="minorHAnsi"/>
                <w:b/>
                <w:sz w:val="22"/>
                <w:szCs w:val="22"/>
              </w:rPr>
              <w:t>2C</w:t>
            </w:r>
          </w:p>
        </w:tc>
      </w:tr>
      <w:tr w:rsidR="00837E18" w14:paraId="1AD9AC52" w14:textId="77777777" w:rsidTr="00C00DD6">
        <w:tc>
          <w:tcPr>
            <w:tcW w:w="965" w:type="dxa"/>
          </w:tcPr>
          <w:p w14:paraId="46D1304D" w14:textId="4A9774C7" w:rsidR="00601B86" w:rsidRPr="00D20CBA" w:rsidRDefault="001630D4" w:rsidP="003F494F">
            <w:pPr>
              <w:spacing w:line="360" w:lineRule="auto"/>
              <w:rPr>
                <w:rFonts w:cstheme="minorHAnsi"/>
                <w:bCs/>
                <w:sz w:val="22"/>
                <w:szCs w:val="22"/>
              </w:rPr>
            </w:pPr>
            <w:proofErr w:type="spellStart"/>
            <w:r w:rsidRPr="00D20CBA">
              <w:rPr>
                <w:rFonts w:cstheme="minorHAnsi"/>
                <w:bCs/>
                <w:sz w:val="22"/>
                <w:szCs w:val="22"/>
              </w:rPr>
              <w:t>IgA</w:t>
            </w:r>
            <w:r w:rsidR="00857A64">
              <w:rPr>
                <w:rFonts w:cstheme="minorHAnsi"/>
                <w:bCs/>
                <w:sz w:val="22"/>
                <w:szCs w:val="22"/>
              </w:rPr>
              <w:t>V</w:t>
            </w:r>
            <w:proofErr w:type="spellEnd"/>
            <w:r w:rsidRPr="00D20CBA">
              <w:rPr>
                <w:rFonts w:cstheme="minorHAnsi"/>
                <w:bCs/>
                <w:sz w:val="22"/>
                <w:szCs w:val="22"/>
              </w:rPr>
              <w:t xml:space="preserve"> 2.</w:t>
            </w:r>
            <w:r w:rsidR="00857A64">
              <w:rPr>
                <w:rFonts w:cstheme="minorHAnsi"/>
                <w:bCs/>
                <w:sz w:val="22"/>
                <w:szCs w:val="22"/>
              </w:rPr>
              <w:t>16</w:t>
            </w:r>
          </w:p>
        </w:tc>
        <w:tc>
          <w:tcPr>
            <w:tcW w:w="7824" w:type="dxa"/>
          </w:tcPr>
          <w:p w14:paraId="6236DE00" w14:textId="3F9C7803" w:rsidR="00601B86" w:rsidRPr="00D20CBA" w:rsidRDefault="001630D4" w:rsidP="003F494F">
            <w:pPr>
              <w:pStyle w:val="NormalWeb"/>
              <w:shd w:val="clear" w:color="auto" w:fill="FFFFFF"/>
              <w:spacing w:line="360" w:lineRule="auto"/>
              <w:jc w:val="both"/>
              <w:rPr>
                <w:rFonts w:asciiTheme="minorHAnsi" w:hAnsiTheme="minorHAnsi" w:cstheme="minorHAnsi"/>
                <w:bCs/>
                <w:sz w:val="22"/>
                <w:szCs w:val="22"/>
              </w:rPr>
            </w:pPr>
            <w:r w:rsidRPr="00D20CBA">
              <w:rPr>
                <w:rFonts w:asciiTheme="minorHAnsi" w:eastAsia="Arial" w:hAnsiTheme="minorHAnsi" w:cstheme="minorHAnsi"/>
                <w:bCs/>
                <w:color w:val="000000"/>
                <w:sz w:val="22"/>
                <w:szCs w:val="22"/>
                <w:u w:val="single"/>
              </w:rPr>
              <w:t>We suggest</w:t>
            </w:r>
            <w:r w:rsidRPr="00D20CBA">
              <w:rPr>
                <w:rFonts w:asciiTheme="minorHAnsi" w:eastAsia="Arial" w:hAnsiTheme="minorHAnsi" w:cstheme="minorHAnsi"/>
                <w:bCs/>
                <w:color w:val="000000"/>
                <w:sz w:val="22"/>
                <w:szCs w:val="22"/>
              </w:rPr>
              <w:t xml:space="preserve"> treating children with clinical (</w:t>
            </w:r>
            <w:r w:rsidR="00F45B52" w:rsidRPr="00D20CBA">
              <w:rPr>
                <w:rFonts w:asciiTheme="minorHAnsi" w:eastAsia="Arial" w:hAnsiTheme="minorHAnsi" w:cstheme="minorHAnsi"/>
                <w:bCs/>
                <w:color w:val="000000"/>
                <w:sz w:val="22"/>
                <w:szCs w:val="22"/>
              </w:rPr>
              <w:t xml:space="preserve">UPCR </w:t>
            </w:r>
            <w:r w:rsidR="00F45B52" w:rsidRPr="00D20CBA">
              <w:rPr>
                <w:rFonts w:asciiTheme="minorHAnsi" w:eastAsia="Arial Unicode MS" w:hAnsiTheme="minorHAnsi" w:cstheme="minorHAnsi"/>
                <w:bCs/>
                <w:color w:val="000000"/>
                <w:sz w:val="22"/>
                <w:szCs w:val="22"/>
              </w:rPr>
              <w:t>≥</w:t>
            </w:r>
            <w:r w:rsidRPr="00D20CBA">
              <w:rPr>
                <w:rFonts w:asciiTheme="minorHAnsi" w:eastAsia="Arial Unicode MS" w:hAnsiTheme="minorHAnsi" w:cstheme="minorHAnsi"/>
                <w:bCs/>
                <w:color w:val="000000"/>
                <w:sz w:val="22"/>
                <w:szCs w:val="22"/>
              </w:rPr>
              <w:t xml:space="preserve"> </w:t>
            </w:r>
            <w:r w:rsidRPr="00D20CBA">
              <w:rPr>
                <w:rFonts w:asciiTheme="minorHAnsi" w:eastAsia="Arial" w:hAnsiTheme="minorHAnsi" w:cstheme="minorHAnsi"/>
                <w:bCs/>
                <w:color w:val="000000"/>
                <w:sz w:val="22"/>
                <w:szCs w:val="22"/>
              </w:rPr>
              <w:t>200 mg/mmol or RPGN) and histological risk for progression (</w:t>
            </w:r>
            <w:r w:rsidRPr="00D20CBA">
              <w:rPr>
                <w:rFonts w:asciiTheme="minorHAnsi" w:eastAsia="Arial Unicode MS" w:hAnsiTheme="minorHAnsi" w:cstheme="minorHAnsi"/>
                <w:bCs/>
                <w:color w:val="000000"/>
                <w:sz w:val="22"/>
                <w:szCs w:val="22"/>
              </w:rPr>
              <w:t xml:space="preserve">ISKDC ≥ </w:t>
            </w:r>
            <w:r w:rsidRPr="00D20CBA">
              <w:rPr>
                <w:rFonts w:asciiTheme="minorHAnsi" w:eastAsia="Arial" w:hAnsiTheme="minorHAnsi" w:cstheme="minorHAnsi"/>
                <w:bCs/>
                <w:color w:val="000000"/>
                <w:sz w:val="22"/>
                <w:szCs w:val="22"/>
              </w:rPr>
              <w:t>II) with a</w:t>
            </w:r>
            <w:r w:rsidR="00F45B52">
              <w:rPr>
                <w:rFonts w:asciiTheme="minorHAnsi" w:eastAsia="Arial" w:hAnsiTheme="minorHAnsi" w:cstheme="minorHAnsi"/>
                <w:bCs/>
                <w:color w:val="000000"/>
                <w:sz w:val="22"/>
                <w:szCs w:val="22"/>
              </w:rPr>
              <w:t>t least a</w:t>
            </w:r>
            <w:r w:rsidRPr="00D20CBA">
              <w:rPr>
                <w:rFonts w:asciiTheme="minorHAnsi" w:eastAsia="Arial" w:hAnsiTheme="minorHAnsi" w:cstheme="minorHAnsi"/>
                <w:bCs/>
                <w:color w:val="000000"/>
                <w:sz w:val="22"/>
                <w:szCs w:val="22"/>
              </w:rPr>
              <w:t xml:space="preserve"> </w:t>
            </w:r>
            <w:r w:rsidR="00F45B52" w:rsidRPr="00D20CBA">
              <w:rPr>
                <w:rFonts w:asciiTheme="minorHAnsi" w:eastAsia="Arial" w:hAnsiTheme="minorHAnsi" w:cstheme="minorHAnsi"/>
                <w:bCs/>
                <w:color w:val="000000"/>
                <w:sz w:val="22"/>
                <w:szCs w:val="22"/>
              </w:rPr>
              <w:t>6-month</w:t>
            </w:r>
            <w:r w:rsidRPr="00D20CBA">
              <w:rPr>
                <w:rFonts w:asciiTheme="minorHAnsi" w:eastAsia="Arial" w:hAnsiTheme="minorHAnsi" w:cstheme="minorHAnsi"/>
                <w:bCs/>
                <w:color w:val="000000"/>
                <w:sz w:val="22"/>
                <w:szCs w:val="22"/>
              </w:rPr>
              <w:t xml:space="preserve"> course of </w:t>
            </w:r>
            <w:r w:rsidR="00D20CBA" w:rsidRPr="00D20CBA">
              <w:rPr>
                <w:rFonts w:asciiTheme="minorHAnsi" w:eastAsia="Arial" w:hAnsiTheme="minorHAnsi" w:cstheme="minorHAnsi"/>
                <w:bCs/>
                <w:color w:val="000000"/>
                <w:sz w:val="22"/>
                <w:szCs w:val="22"/>
              </w:rPr>
              <w:t>immunosuppression</w:t>
            </w:r>
            <w:r w:rsidR="00E2561D">
              <w:rPr>
                <w:rFonts w:asciiTheme="minorHAnsi" w:eastAsia="Arial" w:hAnsiTheme="minorHAnsi" w:cstheme="minorHAnsi"/>
                <w:bCs/>
                <w:color w:val="000000"/>
                <w:sz w:val="22"/>
                <w:szCs w:val="22"/>
              </w:rPr>
              <w:t xml:space="preserve"> or until complete response has been maintained</w:t>
            </w:r>
            <w:r w:rsidRPr="00D20CBA">
              <w:rPr>
                <w:rFonts w:asciiTheme="minorHAnsi" w:eastAsia="Arial" w:hAnsiTheme="minorHAnsi" w:cstheme="minorHAnsi"/>
                <w:bCs/>
                <w:color w:val="000000"/>
                <w:sz w:val="22"/>
                <w:szCs w:val="22"/>
              </w:rPr>
              <w:t>. </w:t>
            </w:r>
          </w:p>
        </w:tc>
        <w:tc>
          <w:tcPr>
            <w:tcW w:w="1701" w:type="dxa"/>
          </w:tcPr>
          <w:p w14:paraId="6DEF92A5" w14:textId="087D5573" w:rsidR="00601B86" w:rsidRPr="00D20CBA" w:rsidRDefault="001630D4" w:rsidP="003F494F">
            <w:pPr>
              <w:spacing w:line="360" w:lineRule="auto"/>
              <w:jc w:val="center"/>
              <w:rPr>
                <w:rFonts w:cstheme="minorHAnsi"/>
                <w:b/>
                <w:sz w:val="22"/>
                <w:szCs w:val="22"/>
              </w:rPr>
            </w:pPr>
            <w:r w:rsidRPr="00D20CBA">
              <w:rPr>
                <w:rFonts w:cstheme="minorHAnsi"/>
                <w:b/>
                <w:sz w:val="22"/>
                <w:szCs w:val="22"/>
              </w:rPr>
              <w:t>2C</w:t>
            </w:r>
          </w:p>
        </w:tc>
      </w:tr>
      <w:tr w:rsidR="00837E18" w14:paraId="00A91CC5" w14:textId="77777777" w:rsidTr="00C00DD6">
        <w:tc>
          <w:tcPr>
            <w:tcW w:w="965" w:type="dxa"/>
          </w:tcPr>
          <w:p w14:paraId="2BB47A51" w14:textId="70B4DAD0" w:rsidR="00601B86" w:rsidRPr="00D20CBA" w:rsidRDefault="001630D4" w:rsidP="003F494F">
            <w:pPr>
              <w:spacing w:line="360" w:lineRule="auto"/>
              <w:rPr>
                <w:rFonts w:cstheme="minorHAnsi"/>
                <w:bCs/>
                <w:sz w:val="22"/>
                <w:szCs w:val="22"/>
              </w:rPr>
            </w:pPr>
            <w:proofErr w:type="spellStart"/>
            <w:r w:rsidRPr="00D20CBA">
              <w:rPr>
                <w:rFonts w:cstheme="minorHAnsi"/>
                <w:bCs/>
                <w:sz w:val="22"/>
                <w:szCs w:val="22"/>
              </w:rPr>
              <w:t>IgA</w:t>
            </w:r>
            <w:r w:rsidR="00857A64">
              <w:rPr>
                <w:rFonts w:cstheme="minorHAnsi"/>
                <w:bCs/>
                <w:sz w:val="22"/>
                <w:szCs w:val="22"/>
              </w:rPr>
              <w:t>V</w:t>
            </w:r>
            <w:proofErr w:type="spellEnd"/>
            <w:r w:rsidRPr="00D20CBA">
              <w:rPr>
                <w:rFonts w:cstheme="minorHAnsi"/>
                <w:bCs/>
                <w:sz w:val="22"/>
                <w:szCs w:val="22"/>
              </w:rPr>
              <w:t xml:space="preserve"> 2.</w:t>
            </w:r>
            <w:r w:rsidR="00857A64">
              <w:rPr>
                <w:rFonts w:cstheme="minorHAnsi"/>
                <w:bCs/>
                <w:sz w:val="22"/>
                <w:szCs w:val="22"/>
              </w:rPr>
              <w:t>17</w:t>
            </w:r>
          </w:p>
        </w:tc>
        <w:tc>
          <w:tcPr>
            <w:tcW w:w="7824" w:type="dxa"/>
          </w:tcPr>
          <w:p w14:paraId="45C53590" w14:textId="7B4E680E" w:rsidR="00601B86" w:rsidRPr="00D20CBA" w:rsidRDefault="001630D4" w:rsidP="003F494F">
            <w:pPr>
              <w:spacing w:line="360" w:lineRule="auto"/>
              <w:jc w:val="both"/>
              <w:rPr>
                <w:rFonts w:eastAsia="Times New Roman" w:cstheme="minorHAnsi"/>
                <w:bCs/>
                <w:sz w:val="22"/>
                <w:szCs w:val="22"/>
                <w:lang w:eastAsia="en-GB"/>
              </w:rPr>
            </w:pPr>
            <w:r w:rsidRPr="00D20CBA">
              <w:rPr>
                <w:rFonts w:eastAsia="Arial" w:cstheme="minorHAnsi"/>
                <w:bCs/>
                <w:color w:val="000000"/>
                <w:sz w:val="22"/>
                <w:szCs w:val="22"/>
                <w:u w:val="single"/>
              </w:rPr>
              <w:t>We suggest</w:t>
            </w:r>
            <w:r w:rsidRPr="00D20CBA">
              <w:rPr>
                <w:rFonts w:eastAsia="Arial" w:cstheme="minorHAnsi"/>
                <w:bCs/>
                <w:color w:val="000000"/>
                <w:sz w:val="22"/>
                <w:szCs w:val="22"/>
              </w:rPr>
              <w:t xml:space="preserve"> </w:t>
            </w:r>
            <w:r w:rsidR="00D20CBA">
              <w:rPr>
                <w:rFonts w:eastAsia="Arial" w:cstheme="minorHAnsi"/>
                <w:bCs/>
                <w:color w:val="000000"/>
                <w:sz w:val="22"/>
                <w:szCs w:val="22"/>
              </w:rPr>
              <w:t>the use of alternative</w:t>
            </w:r>
            <w:r w:rsidRPr="00D20CBA">
              <w:rPr>
                <w:rFonts w:eastAsia="Arial" w:cstheme="minorHAnsi"/>
                <w:bCs/>
                <w:color w:val="000000"/>
                <w:sz w:val="22"/>
                <w:szCs w:val="22"/>
              </w:rPr>
              <w:t xml:space="preserve"> immunosuppressive agents </w:t>
            </w:r>
            <w:r w:rsidR="00D20CBA">
              <w:rPr>
                <w:rFonts w:eastAsia="Arial" w:cstheme="minorHAnsi"/>
                <w:bCs/>
                <w:color w:val="000000"/>
                <w:sz w:val="22"/>
                <w:szCs w:val="22"/>
              </w:rPr>
              <w:t>(</w:t>
            </w:r>
            <w:r w:rsidR="00E2561D">
              <w:rPr>
                <w:rFonts w:eastAsia="Arial" w:cstheme="minorHAnsi"/>
                <w:sz w:val="22"/>
                <w:szCs w:val="22"/>
                <w:lang w:val="en" w:eastAsia="en-GB"/>
              </w:rPr>
              <w:t xml:space="preserve">such as </w:t>
            </w:r>
            <w:r w:rsidR="00D20CBA">
              <w:rPr>
                <w:rFonts w:eastAsia="Arial" w:cstheme="minorHAnsi"/>
                <w:sz w:val="22"/>
                <w:szCs w:val="22"/>
                <w:lang w:val="en" w:eastAsia="en-GB"/>
              </w:rPr>
              <w:t>calcineurin inhibitors</w:t>
            </w:r>
            <w:r w:rsidR="006D198D">
              <w:rPr>
                <w:rFonts w:eastAsia="Arial" w:cstheme="minorHAnsi"/>
                <w:sz w:val="22"/>
                <w:szCs w:val="22"/>
                <w:lang w:val="en" w:eastAsia="en-GB"/>
              </w:rPr>
              <w:t xml:space="preserve">, </w:t>
            </w:r>
            <w:r w:rsidR="00E2561D">
              <w:rPr>
                <w:rFonts w:eastAsia="Arial" w:cstheme="minorHAnsi"/>
                <w:sz w:val="22"/>
                <w:szCs w:val="22"/>
                <w:lang w:val="en" w:eastAsia="en-GB"/>
              </w:rPr>
              <w:t xml:space="preserve">or </w:t>
            </w:r>
            <w:r w:rsidR="006D198D" w:rsidRPr="00117750">
              <w:rPr>
                <w:rFonts w:eastAsia="Arial" w:cstheme="minorHAnsi"/>
                <w:sz w:val="22"/>
                <w:szCs w:val="22"/>
                <w:lang w:val="en" w:eastAsia="en-GB"/>
              </w:rPr>
              <w:t>rituximab</w:t>
            </w:r>
            <w:r w:rsidR="00D20CBA">
              <w:rPr>
                <w:rFonts w:eastAsia="Arial" w:cstheme="minorHAnsi"/>
                <w:bCs/>
                <w:color w:val="000000"/>
                <w:sz w:val="22"/>
                <w:szCs w:val="22"/>
              </w:rPr>
              <w:t xml:space="preserve">) </w:t>
            </w:r>
            <w:r w:rsidRPr="00D20CBA">
              <w:rPr>
                <w:rFonts w:eastAsia="Arial" w:cstheme="minorHAnsi"/>
                <w:bCs/>
                <w:color w:val="000000"/>
                <w:sz w:val="22"/>
                <w:szCs w:val="22"/>
              </w:rPr>
              <w:t xml:space="preserve">in </w:t>
            </w:r>
            <w:r w:rsidR="00D20CBA">
              <w:rPr>
                <w:rFonts w:eastAsia="Arial" w:cstheme="minorHAnsi"/>
                <w:bCs/>
                <w:color w:val="000000"/>
                <w:sz w:val="22"/>
                <w:szCs w:val="22"/>
              </w:rPr>
              <w:t xml:space="preserve">cases </w:t>
            </w:r>
            <w:r w:rsidR="00F45B52">
              <w:rPr>
                <w:rFonts w:eastAsia="Arial" w:cstheme="minorHAnsi"/>
                <w:bCs/>
                <w:color w:val="000000"/>
                <w:sz w:val="22"/>
                <w:szCs w:val="22"/>
              </w:rPr>
              <w:t xml:space="preserve">of biopsy proven </w:t>
            </w:r>
            <w:proofErr w:type="spellStart"/>
            <w:r w:rsidR="00F45B52">
              <w:rPr>
                <w:rFonts w:eastAsia="Arial" w:cstheme="minorHAnsi"/>
                <w:bCs/>
                <w:color w:val="000000"/>
                <w:sz w:val="22"/>
                <w:szCs w:val="22"/>
              </w:rPr>
              <w:t>IgAV</w:t>
            </w:r>
            <w:proofErr w:type="spellEnd"/>
            <w:r w:rsidR="00F45B52">
              <w:rPr>
                <w:rFonts w:eastAsia="Arial" w:cstheme="minorHAnsi"/>
                <w:bCs/>
                <w:color w:val="000000"/>
                <w:sz w:val="22"/>
                <w:szCs w:val="22"/>
              </w:rPr>
              <w:t xml:space="preserve">-N </w:t>
            </w:r>
            <w:r w:rsidR="00D20CBA">
              <w:rPr>
                <w:rFonts w:eastAsia="Arial" w:cstheme="minorHAnsi"/>
                <w:bCs/>
                <w:color w:val="000000"/>
                <w:sz w:val="22"/>
                <w:szCs w:val="22"/>
              </w:rPr>
              <w:t xml:space="preserve">that have </w:t>
            </w:r>
            <w:r w:rsidR="00660A81">
              <w:rPr>
                <w:rFonts w:eastAsia="Arial" w:cstheme="minorHAnsi"/>
                <w:bCs/>
                <w:color w:val="000000"/>
                <w:sz w:val="22"/>
                <w:szCs w:val="22"/>
              </w:rPr>
              <w:t xml:space="preserve">either </w:t>
            </w:r>
            <w:r w:rsidR="00D20CBA">
              <w:rPr>
                <w:rFonts w:eastAsia="Arial" w:cstheme="minorHAnsi"/>
                <w:bCs/>
                <w:color w:val="000000"/>
                <w:sz w:val="22"/>
                <w:szCs w:val="22"/>
              </w:rPr>
              <w:t>not achieved complete re</w:t>
            </w:r>
            <w:r w:rsidR="00E2561D">
              <w:rPr>
                <w:rFonts w:eastAsia="Arial" w:cstheme="minorHAnsi"/>
                <w:bCs/>
                <w:color w:val="000000"/>
                <w:sz w:val="22"/>
                <w:szCs w:val="22"/>
              </w:rPr>
              <w:t>sponse</w:t>
            </w:r>
            <w:r w:rsidR="00D20CBA">
              <w:rPr>
                <w:rFonts w:eastAsia="Arial" w:cstheme="minorHAnsi"/>
                <w:bCs/>
                <w:color w:val="000000"/>
                <w:sz w:val="22"/>
                <w:szCs w:val="22"/>
              </w:rPr>
              <w:t xml:space="preserve"> after </w:t>
            </w:r>
            <w:r w:rsidR="00660A81">
              <w:rPr>
                <w:rFonts w:eastAsia="Arial" w:cstheme="minorHAnsi"/>
                <w:bCs/>
                <w:color w:val="000000"/>
                <w:sz w:val="22"/>
                <w:szCs w:val="22"/>
              </w:rPr>
              <w:t xml:space="preserve">the </w:t>
            </w:r>
            <w:r w:rsidR="00D20CBA">
              <w:rPr>
                <w:rFonts w:eastAsia="Arial" w:cstheme="minorHAnsi"/>
                <w:bCs/>
                <w:color w:val="000000"/>
                <w:sz w:val="22"/>
                <w:szCs w:val="22"/>
              </w:rPr>
              <w:t>initial treatment for 3 months</w:t>
            </w:r>
            <w:r w:rsidR="00F45B52">
              <w:rPr>
                <w:rFonts w:eastAsia="Arial" w:cstheme="minorHAnsi"/>
                <w:bCs/>
                <w:color w:val="000000"/>
                <w:sz w:val="22"/>
                <w:szCs w:val="22"/>
              </w:rPr>
              <w:t>, if there are deteriorating parameters,</w:t>
            </w:r>
            <w:r w:rsidR="00D20CBA">
              <w:rPr>
                <w:rFonts w:eastAsia="Arial" w:cstheme="minorHAnsi"/>
                <w:bCs/>
                <w:color w:val="000000"/>
                <w:sz w:val="22"/>
                <w:szCs w:val="22"/>
              </w:rPr>
              <w:t xml:space="preserve"> or as a steroid sparing </w:t>
            </w:r>
            <w:r w:rsidR="00F81122">
              <w:rPr>
                <w:rFonts w:eastAsia="Arial" w:cstheme="minorHAnsi"/>
                <w:bCs/>
                <w:color w:val="000000"/>
                <w:sz w:val="22"/>
                <w:szCs w:val="22"/>
              </w:rPr>
              <w:t>intervention.</w:t>
            </w:r>
          </w:p>
        </w:tc>
        <w:tc>
          <w:tcPr>
            <w:tcW w:w="1701" w:type="dxa"/>
          </w:tcPr>
          <w:p w14:paraId="39A4C1BC" w14:textId="72A8961A" w:rsidR="00601B86" w:rsidRPr="00D20CBA" w:rsidRDefault="001630D4" w:rsidP="003F494F">
            <w:pPr>
              <w:spacing w:line="360" w:lineRule="auto"/>
              <w:jc w:val="center"/>
              <w:rPr>
                <w:rFonts w:cstheme="minorHAnsi"/>
                <w:b/>
                <w:sz w:val="22"/>
                <w:szCs w:val="22"/>
              </w:rPr>
            </w:pPr>
            <w:r>
              <w:rPr>
                <w:rFonts w:cstheme="minorHAnsi"/>
                <w:b/>
                <w:sz w:val="22"/>
                <w:szCs w:val="22"/>
              </w:rPr>
              <w:t>2C</w:t>
            </w:r>
          </w:p>
        </w:tc>
      </w:tr>
      <w:tr w:rsidR="00837E18" w14:paraId="77087E4F" w14:textId="77777777" w:rsidTr="00C00DD6">
        <w:tc>
          <w:tcPr>
            <w:tcW w:w="965" w:type="dxa"/>
          </w:tcPr>
          <w:p w14:paraId="3158F5AA" w14:textId="5DD725E0" w:rsidR="00601B86" w:rsidRPr="00D20CBA" w:rsidRDefault="001630D4" w:rsidP="003F494F">
            <w:pPr>
              <w:spacing w:line="360" w:lineRule="auto"/>
              <w:rPr>
                <w:rFonts w:cstheme="minorHAnsi"/>
                <w:bCs/>
                <w:sz w:val="22"/>
                <w:szCs w:val="22"/>
              </w:rPr>
            </w:pPr>
            <w:proofErr w:type="spellStart"/>
            <w:r>
              <w:rPr>
                <w:rFonts w:cstheme="minorHAnsi"/>
                <w:bCs/>
                <w:sz w:val="22"/>
                <w:szCs w:val="22"/>
              </w:rPr>
              <w:t>IgA</w:t>
            </w:r>
            <w:r w:rsidR="00857A64">
              <w:rPr>
                <w:rFonts w:cstheme="minorHAnsi"/>
                <w:bCs/>
                <w:sz w:val="22"/>
                <w:szCs w:val="22"/>
              </w:rPr>
              <w:t>V</w:t>
            </w:r>
            <w:proofErr w:type="spellEnd"/>
            <w:r>
              <w:rPr>
                <w:rFonts w:cstheme="minorHAnsi"/>
                <w:bCs/>
                <w:sz w:val="22"/>
                <w:szCs w:val="22"/>
              </w:rPr>
              <w:t xml:space="preserve"> 2.</w:t>
            </w:r>
            <w:r w:rsidR="00857A64">
              <w:rPr>
                <w:rFonts w:cstheme="minorHAnsi"/>
                <w:bCs/>
                <w:sz w:val="22"/>
                <w:szCs w:val="22"/>
              </w:rPr>
              <w:t>18</w:t>
            </w:r>
          </w:p>
        </w:tc>
        <w:tc>
          <w:tcPr>
            <w:tcW w:w="7824" w:type="dxa"/>
          </w:tcPr>
          <w:p w14:paraId="3CD54EE7" w14:textId="10225368" w:rsidR="00601B86" w:rsidRPr="00D20CBA" w:rsidRDefault="001630D4" w:rsidP="003F494F">
            <w:pPr>
              <w:spacing w:line="360" w:lineRule="auto"/>
              <w:jc w:val="both"/>
              <w:rPr>
                <w:rFonts w:eastAsia="Times New Roman" w:cstheme="minorHAnsi"/>
                <w:bCs/>
                <w:sz w:val="22"/>
                <w:szCs w:val="22"/>
                <w:lang w:eastAsia="en-GB"/>
              </w:rPr>
            </w:pPr>
            <w:r w:rsidRPr="00D20CBA">
              <w:rPr>
                <w:rFonts w:eastAsiaTheme="minorEastAsia" w:cstheme="minorHAnsi"/>
                <w:color w:val="000000" w:themeColor="text1"/>
                <w:kern w:val="24"/>
                <w:sz w:val="22"/>
                <w:szCs w:val="22"/>
                <w:u w:val="single"/>
                <w:lang w:eastAsia="en-GB"/>
              </w:rPr>
              <w:t>We suggest</w:t>
            </w:r>
            <w:r w:rsidRPr="00D20CBA">
              <w:rPr>
                <w:rFonts w:eastAsiaTheme="minorEastAsia" w:cstheme="minorHAnsi"/>
                <w:color w:val="000000" w:themeColor="text1"/>
                <w:kern w:val="24"/>
                <w:sz w:val="22"/>
                <w:szCs w:val="22"/>
                <w:lang w:eastAsia="en-GB"/>
              </w:rPr>
              <w:t xml:space="preserve"> discontinuing immunosuppression for </w:t>
            </w:r>
            <w:proofErr w:type="spellStart"/>
            <w:r w:rsidRPr="00D20CBA">
              <w:rPr>
                <w:rFonts w:eastAsiaTheme="minorEastAsia" w:cstheme="minorHAnsi"/>
                <w:color w:val="000000" w:themeColor="text1"/>
                <w:kern w:val="24"/>
                <w:sz w:val="22"/>
                <w:szCs w:val="22"/>
                <w:lang w:eastAsia="en-GB"/>
              </w:rPr>
              <w:t>IgA</w:t>
            </w:r>
            <w:r w:rsidR="00F45B52">
              <w:rPr>
                <w:rFonts w:eastAsiaTheme="minorEastAsia" w:cstheme="minorHAnsi"/>
                <w:color w:val="000000" w:themeColor="text1"/>
                <w:kern w:val="24"/>
                <w:sz w:val="22"/>
                <w:szCs w:val="22"/>
                <w:lang w:eastAsia="en-GB"/>
              </w:rPr>
              <w:t>V</w:t>
            </w:r>
            <w:proofErr w:type="spellEnd"/>
            <w:r w:rsidR="00F45B52">
              <w:rPr>
                <w:rFonts w:eastAsiaTheme="minorEastAsia" w:cstheme="minorHAnsi"/>
                <w:color w:val="000000" w:themeColor="text1"/>
                <w:kern w:val="24"/>
                <w:sz w:val="22"/>
                <w:szCs w:val="22"/>
                <w:lang w:eastAsia="en-GB"/>
              </w:rPr>
              <w:t>-</w:t>
            </w:r>
            <w:r w:rsidRPr="00D20CBA">
              <w:rPr>
                <w:rFonts w:eastAsiaTheme="minorEastAsia" w:cstheme="minorHAnsi"/>
                <w:color w:val="000000" w:themeColor="text1"/>
                <w:kern w:val="24"/>
                <w:sz w:val="22"/>
                <w:szCs w:val="22"/>
                <w:lang w:eastAsia="en-GB"/>
              </w:rPr>
              <w:t xml:space="preserve">N if </w:t>
            </w:r>
            <w:r>
              <w:rPr>
                <w:rFonts w:eastAsiaTheme="minorEastAsia" w:cstheme="minorHAnsi"/>
                <w:color w:val="000000" w:themeColor="text1"/>
                <w:kern w:val="24"/>
                <w:sz w:val="22"/>
                <w:szCs w:val="22"/>
                <w:lang w:eastAsia="en-GB"/>
              </w:rPr>
              <w:t>there has been</w:t>
            </w:r>
            <w:r w:rsidRPr="00D20CBA">
              <w:rPr>
                <w:rFonts w:eastAsiaTheme="minorEastAsia" w:cstheme="minorHAnsi"/>
                <w:color w:val="000000" w:themeColor="text1"/>
                <w:kern w:val="24"/>
                <w:sz w:val="22"/>
                <w:szCs w:val="22"/>
                <w:lang w:eastAsia="en-GB"/>
              </w:rPr>
              <w:t xml:space="preserve"> complete clinical re</w:t>
            </w:r>
            <w:r w:rsidR="00E2561D">
              <w:rPr>
                <w:rFonts w:eastAsiaTheme="minorEastAsia" w:cstheme="minorHAnsi"/>
                <w:color w:val="000000" w:themeColor="text1"/>
                <w:kern w:val="24"/>
                <w:sz w:val="22"/>
                <w:szCs w:val="22"/>
                <w:lang w:eastAsia="en-GB"/>
              </w:rPr>
              <w:t>sponse</w:t>
            </w:r>
            <w:r w:rsidRPr="00D20CBA">
              <w:rPr>
                <w:rFonts w:eastAsiaTheme="minorEastAsia" w:cstheme="minorHAnsi"/>
                <w:color w:val="000000" w:themeColor="text1"/>
                <w:kern w:val="24"/>
                <w:sz w:val="22"/>
                <w:szCs w:val="22"/>
                <w:lang w:eastAsia="en-GB"/>
              </w:rPr>
              <w:t xml:space="preserve"> and there have been no disease </w:t>
            </w:r>
            <w:r w:rsidR="006D198D">
              <w:rPr>
                <w:rFonts w:eastAsiaTheme="minorEastAsia" w:cstheme="minorHAnsi"/>
                <w:color w:val="000000" w:themeColor="text1"/>
                <w:kern w:val="24"/>
                <w:sz w:val="22"/>
                <w:szCs w:val="22"/>
                <w:lang w:eastAsia="en-GB"/>
              </w:rPr>
              <w:t xml:space="preserve">relapses </w:t>
            </w:r>
            <w:r w:rsidR="00F45B52">
              <w:rPr>
                <w:rFonts w:eastAsiaTheme="minorEastAsia" w:cstheme="minorHAnsi"/>
                <w:color w:val="000000" w:themeColor="text1"/>
                <w:kern w:val="24"/>
                <w:sz w:val="22"/>
                <w:szCs w:val="22"/>
                <w:lang w:eastAsia="en-GB"/>
              </w:rPr>
              <w:t xml:space="preserve">for </w:t>
            </w:r>
            <w:r w:rsidRPr="00D20CBA">
              <w:rPr>
                <w:rFonts w:eastAsiaTheme="minorEastAsia" w:cstheme="minorHAnsi"/>
                <w:color w:val="000000" w:themeColor="text1"/>
                <w:kern w:val="24"/>
                <w:sz w:val="22"/>
                <w:szCs w:val="22"/>
                <w:lang w:eastAsia="en-GB"/>
              </w:rPr>
              <w:t xml:space="preserve">12 months.  </w:t>
            </w:r>
          </w:p>
        </w:tc>
        <w:tc>
          <w:tcPr>
            <w:tcW w:w="1701" w:type="dxa"/>
          </w:tcPr>
          <w:p w14:paraId="5E40CD15" w14:textId="1A986DF0" w:rsidR="00601B86" w:rsidRPr="00D20CBA" w:rsidRDefault="001630D4" w:rsidP="003F494F">
            <w:pPr>
              <w:spacing w:line="360" w:lineRule="auto"/>
              <w:jc w:val="center"/>
              <w:rPr>
                <w:rFonts w:cstheme="minorHAnsi"/>
                <w:b/>
                <w:sz w:val="22"/>
                <w:szCs w:val="22"/>
              </w:rPr>
            </w:pPr>
            <w:r>
              <w:rPr>
                <w:rFonts w:cstheme="minorHAnsi"/>
                <w:b/>
                <w:sz w:val="22"/>
                <w:szCs w:val="22"/>
              </w:rPr>
              <w:t>2C</w:t>
            </w:r>
          </w:p>
        </w:tc>
      </w:tr>
      <w:tr w:rsidR="00837E18" w14:paraId="37927E47" w14:textId="77777777" w:rsidTr="00C00DD6">
        <w:tc>
          <w:tcPr>
            <w:tcW w:w="965" w:type="dxa"/>
          </w:tcPr>
          <w:p w14:paraId="034AB5FC" w14:textId="0FE67E6C" w:rsidR="00764801" w:rsidRDefault="001630D4" w:rsidP="003F494F">
            <w:pPr>
              <w:spacing w:line="360" w:lineRule="auto"/>
              <w:rPr>
                <w:rFonts w:cstheme="minorHAnsi"/>
                <w:bCs/>
                <w:sz w:val="22"/>
                <w:szCs w:val="22"/>
              </w:rPr>
            </w:pPr>
            <w:proofErr w:type="spellStart"/>
            <w:r>
              <w:rPr>
                <w:rFonts w:cstheme="minorHAnsi"/>
                <w:bCs/>
                <w:sz w:val="22"/>
                <w:szCs w:val="22"/>
              </w:rPr>
              <w:t>IgA</w:t>
            </w:r>
            <w:r w:rsidR="00857A64">
              <w:rPr>
                <w:rFonts w:cstheme="minorHAnsi"/>
                <w:bCs/>
                <w:sz w:val="22"/>
                <w:szCs w:val="22"/>
              </w:rPr>
              <w:t>V</w:t>
            </w:r>
            <w:proofErr w:type="spellEnd"/>
            <w:r>
              <w:rPr>
                <w:rFonts w:cstheme="minorHAnsi"/>
                <w:bCs/>
                <w:sz w:val="22"/>
                <w:szCs w:val="22"/>
              </w:rPr>
              <w:t xml:space="preserve"> 2.</w:t>
            </w:r>
            <w:r w:rsidR="00857A64">
              <w:rPr>
                <w:rFonts w:cstheme="minorHAnsi"/>
                <w:bCs/>
                <w:sz w:val="22"/>
                <w:szCs w:val="22"/>
              </w:rPr>
              <w:t>19</w:t>
            </w:r>
          </w:p>
        </w:tc>
        <w:tc>
          <w:tcPr>
            <w:tcW w:w="7824" w:type="dxa"/>
          </w:tcPr>
          <w:p w14:paraId="64343DB7" w14:textId="632C86EE" w:rsidR="00764801" w:rsidRPr="00D20CBA" w:rsidRDefault="001630D4" w:rsidP="003F494F">
            <w:pPr>
              <w:spacing w:line="360" w:lineRule="auto"/>
              <w:jc w:val="both"/>
              <w:rPr>
                <w:rFonts w:eastAsiaTheme="minorEastAsia" w:cstheme="minorHAnsi"/>
                <w:color w:val="000000" w:themeColor="text1"/>
                <w:kern w:val="24"/>
                <w:sz w:val="22"/>
                <w:szCs w:val="22"/>
                <w:u w:val="single"/>
                <w:lang w:eastAsia="en-GB"/>
              </w:rPr>
            </w:pPr>
            <w:r>
              <w:rPr>
                <w:rFonts w:eastAsiaTheme="minorEastAsia" w:cstheme="minorHAnsi"/>
                <w:color w:val="000000" w:themeColor="text1"/>
                <w:kern w:val="24"/>
                <w:sz w:val="22"/>
                <w:szCs w:val="22"/>
                <w:u w:val="single"/>
                <w:lang w:eastAsia="en-GB"/>
              </w:rPr>
              <w:t>We suggest</w:t>
            </w:r>
            <w:r>
              <w:rPr>
                <w:rFonts w:eastAsiaTheme="minorEastAsia" w:cstheme="minorHAnsi"/>
                <w:color w:val="000000" w:themeColor="text1"/>
                <w:kern w:val="24"/>
                <w:sz w:val="22"/>
                <w:szCs w:val="22"/>
                <w:lang w:eastAsia="en-GB"/>
              </w:rPr>
              <w:t xml:space="preserve"> consideration of recruitment to clinical trials, off-label treatments available for adults, or the compassionate use of agents under evaluation, in children </w:t>
            </w:r>
            <w:r>
              <w:rPr>
                <w:rFonts w:eastAsiaTheme="minorEastAsia" w:cstheme="minorHAnsi"/>
                <w:color w:val="000000" w:themeColor="text1"/>
                <w:kern w:val="24"/>
                <w:sz w:val="22"/>
                <w:szCs w:val="22"/>
                <w:lang w:eastAsia="en-GB"/>
              </w:rPr>
              <w:lastRenderedPageBreak/>
              <w:t>who have failed to demonstrate any improvement and continue to have active disease.</w:t>
            </w:r>
          </w:p>
        </w:tc>
        <w:tc>
          <w:tcPr>
            <w:tcW w:w="1701" w:type="dxa"/>
          </w:tcPr>
          <w:p w14:paraId="43308606" w14:textId="4101B283" w:rsidR="00764801" w:rsidRDefault="001630D4" w:rsidP="003F494F">
            <w:pPr>
              <w:spacing w:line="360" w:lineRule="auto"/>
              <w:jc w:val="center"/>
              <w:rPr>
                <w:rFonts w:cstheme="minorHAnsi"/>
                <w:b/>
                <w:sz w:val="22"/>
                <w:szCs w:val="22"/>
              </w:rPr>
            </w:pPr>
            <w:r>
              <w:rPr>
                <w:rFonts w:cstheme="minorHAnsi"/>
                <w:b/>
                <w:sz w:val="22"/>
                <w:szCs w:val="22"/>
              </w:rPr>
              <w:lastRenderedPageBreak/>
              <w:t>2D</w:t>
            </w:r>
          </w:p>
        </w:tc>
      </w:tr>
    </w:tbl>
    <w:p w14:paraId="1BE29B2E" w14:textId="77777777" w:rsidR="00913B14" w:rsidRPr="00C00DD6" w:rsidRDefault="00913B14" w:rsidP="003F494F">
      <w:pPr>
        <w:pStyle w:val="NormalWeb"/>
        <w:spacing w:before="0" w:beforeAutospacing="0" w:after="0" w:afterAutospacing="0" w:line="360" w:lineRule="auto"/>
        <w:rPr>
          <w:rFonts w:asciiTheme="minorHAnsi" w:hAnsiTheme="minorHAnsi" w:cstheme="minorHAnsi"/>
          <w:sz w:val="22"/>
          <w:szCs w:val="22"/>
        </w:rPr>
      </w:pPr>
    </w:p>
    <w:p w14:paraId="13C5ADC7" w14:textId="398AD636" w:rsidR="00601B86" w:rsidRPr="009D531C" w:rsidRDefault="001630D4" w:rsidP="003F494F">
      <w:pPr>
        <w:spacing w:line="360" w:lineRule="auto"/>
        <w:rPr>
          <w:rFonts w:eastAsia="Times New Roman" w:cstheme="minorHAnsi"/>
          <w:b/>
          <w:bCs/>
          <w:sz w:val="22"/>
          <w:szCs w:val="22"/>
          <w:lang w:eastAsia="en-GB"/>
        </w:rPr>
      </w:pPr>
      <w:r w:rsidRPr="009D531C">
        <w:rPr>
          <w:rFonts w:eastAsia="Times New Roman" w:cstheme="minorHAnsi"/>
          <w:b/>
          <w:bCs/>
          <w:sz w:val="22"/>
          <w:szCs w:val="22"/>
          <w:lang w:eastAsia="en-GB"/>
        </w:rPr>
        <w:t xml:space="preserve">Rationale </w:t>
      </w:r>
    </w:p>
    <w:p w14:paraId="7AA79370" w14:textId="0F25FAAC" w:rsidR="00F3454F" w:rsidRDefault="001630D4" w:rsidP="003F494F">
      <w:pPr>
        <w:spacing w:line="360" w:lineRule="auto"/>
        <w:jc w:val="both"/>
        <w:rPr>
          <w:rFonts w:cstheme="minorHAnsi"/>
          <w:color w:val="000000" w:themeColor="text1"/>
          <w:sz w:val="22"/>
          <w:szCs w:val="22"/>
        </w:rPr>
      </w:pPr>
      <w:r w:rsidRPr="00F45B52">
        <w:rPr>
          <w:rFonts w:cstheme="minorHAnsi"/>
          <w:color w:val="000000" w:themeColor="text1"/>
          <w:sz w:val="22"/>
          <w:szCs w:val="22"/>
        </w:rPr>
        <w:t xml:space="preserve">The criteria to conduct a biopsy </w:t>
      </w:r>
      <w:r w:rsidR="00857A64">
        <w:rPr>
          <w:rFonts w:cstheme="minorHAnsi"/>
          <w:color w:val="000000" w:themeColor="text1"/>
          <w:sz w:val="22"/>
          <w:szCs w:val="22"/>
        </w:rPr>
        <w:t>are based on</w:t>
      </w:r>
      <w:r w:rsidRPr="00F45B52">
        <w:rPr>
          <w:rFonts w:cstheme="minorHAnsi"/>
          <w:color w:val="000000" w:themeColor="text1"/>
          <w:sz w:val="22"/>
          <w:szCs w:val="22"/>
        </w:rPr>
        <w:t xml:space="preserve"> recently reported literature</w:t>
      </w:r>
      <w:r>
        <w:rPr>
          <w:rFonts w:cstheme="minorHAnsi"/>
          <w:color w:val="000000" w:themeColor="text1"/>
          <w:sz w:val="22"/>
          <w:szCs w:val="22"/>
        </w:rPr>
        <w:t xml:space="preserve"> </w:t>
      </w:r>
      <w:r>
        <w:rPr>
          <w:rFonts w:cstheme="minorHAnsi"/>
          <w:color w:val="000000" w:themeColor="text1"/>
          <w:sz w:val="22"/>
          <w:szCs w:val="22"/>
        </w:rPr>
        <w:fldChar w:fldCharType="begin"/>
      </w:r>
      <w:r w:rsidR="00642970">
        <w:rPr>
          <w:rFonts w:cstheme="minorHAnsi"/>
          <w:color w:val="000000" w:themeColor="text1"/>
          <w:sz w:val="22"/>
          <w:szCs w:val="22"/>
        </w:rPr>
        <w:instrText xml:space="preserve"> ADDIN ZOTERO_ITEM CSL_CITATION {"citationID":"Ps1I5ZPh","properties":{"formattedCitation":"(9,143)","plainCitation":"(9,143)","noteIndex":0},"citationItems":[{"id":21,"uris":["http://zotero.org/users/local/lvPLY4Gu/items/UUZER4UI"],"itemData":{"id":21,"type":"article-journal","abstract":"IgA nephropathy and IgA vasculitis with nephritis, albeit rare, represent two relatively frequent glomerular conditions in childhood. Compared to adults, pediatric IgA nephropathy has a more acute presentation, most frequently with synpharyngitic macrohematuria and histologically with more intense inflammation and less intense chronic damage. Management of these conditions is controversial and supported by little high-quality evidence. The paucity of evidence is due to the disease heterogeneity, its inter-ethnic variability, and the difficulty of extrapolating data from adult studies due to the peculiarities of the condition in children. IgA vasculitis with nephritis is a kidney manifestation of a systemic disorder, typical of the pediatric age, in which both the diagnosis of kidney involvement and its management are poorly defined, and an interdisciplinary approach is crucial. Both conditions can have a profound and long-lasting impact on kidney function and the global health of affected children. The International Pediatric Nephrology Association has therefore convened a diverse international group of experts from different disciplines to provide guidance on the recommended management of these conditions in children and to establish common definitions and define priorities for future high-quality, evidence-based collaborative studies for the benefit of children.","container-title":"Pediatric Nephrology (Berlin, Germany)","DOI":"10.1007/s00467-024-06502-6","ISSN":"1432-198X","journalAbbreviation":"Pediatr Nephrol","language":"eng","note":"PMID: 39331079","source":"PubMed","title":"IPNA clinical practice recommendations for the diagnosis and management of children with IgA nephropathy and IgA vasculitis nephritis","author":[{"family":"Vivarelli","given":"Marina"},{"family":"Samuel","given":"Susan"},{"family":"Coppo","given":"Rosanna"},{"family":"Barratt","given":"Jonathan"},{"family":"Bonilla-Felix","given":"Melvin"},{"family":"Haffner","given":"Dieter"},{"family":"Gibson","given":"Keisha"},{"family":"Haas","given":"Mark"},{"family":"Abdel-Hafez","given":"Maher Ahmed"},{"family":"Adragna","given":"Marta"},{"family":"Brogan","given":"Paul"},{"family":"Kim","given":"Siah"},{"family":"Liu","given":"Isaac"},{"family":"Liu","given":"Zhi-Hong"},{"family":"Mantan","given":"Mukta"},{"family":"Shima","given":"Yuko"},{"family":"Shimuzu","given":"Masaki"},{"family":"Shen","given":"Qian"},{"family":"Trimarchi","given":"Hernan"},{"family":"Hahn","given":"Deirdre"},{"family":"Hodson","given":"Elisabeth"},{"family":"Pfister","given":"Ken"},{"family":"Alladin","given":"Areefa"},{"family":"Boyer","given":"Olivia"},{"family":"Nakanishi","given":"Koichi"},{"literal":"International Pediatric Nephrology Association"}],"issued":{"date-parts":[["2024",9,27]]}}},{"id":345,"uris":["http://zotero.org/users/local/lvPLY4Gu/items/U43BGIU5"],"itemData":{"id":345,"type":"article-journal","abstract":"OBJECTIVE: IgA vasculitis (IgAV) is the most frequently experienced subtype of vasculitis seen in children. Most children fully recover, however, complications including chronic kidney disease are recognised. The aim of this project was to use a best available evidence, group agreement, based approach to develop national recommendations for the initial management of IgAV and its associated complications.\nMETHODS: A fully representative multiprofessional guideline development group (GDG), consisting of 28 members, was formed and met monthly. Graded recommendations were generated using nationally accredited methods, which included a predefined scope, open consultation, systematic literature review, evidence appraisal, review of national or international guidelines and a period of open consultation. Audit measures and research priorities were incorporated.\nRESULTS: The IgAV GDG met over a 14-month period. A total of 82 papers were relevant for evidence synthesis. For the initial management, four topic areas were identified with five key questions generating six graded recommendations related to classification, specialist referral and musculoskeletal involvement. For the associated complications, five topic areas with 12 key questions generated 15 graded recommendations covering nephritis, gastrointestinal and testicular involvement, atypical disease and follow-up. Open consultation feedback was incorporated. The guidelines were endorsed by the UK Kidney Association and Royal College of Paediatrics and Child Health and are available online.\nCONCLUSION: Despite IgAV being a rare disease with limited evidence, a national standardised approach to the clinical management for children and young people has been achieved. This should unite approaches to care and act as a foundation for improvement.","container-title":"Archives of Disease in Childhood","DOI":"10.1136/archdischild-2024-327364","ISSN":"1468-2044","issue":"1","journalAbbreviation":"Arch Dis Child","language":"eng","note":"PMID: 39379139\nPMCID: PMC11671997","page":"67-76","source":"PubMed","title":"National recommendations for the management of children and young people with IgA vasculitis: a best available evidence, group agreement-based approach","title-short":"National recommendations for the management of children and young people with IgA vasculitis","volume":"110","author":[{"family":"Oni","given":"Louise"},{"family":"Platt","given":"Caroline"},{"family":"Marlais","given":"Matko"},{"family":"McCann","given":"Liza"},{"family":"Barakat","given":"Farah"},{"family":"Hesseling","given":"Markus"},{"family":"Cottis","given":"Hannah"},{"family":"Protheroe","given":"Sue"},{"family":"Haigh","given":"Gabrielle"},{"family":"Nott","given":"Kerstin"},{"family":"Marro","given":"Julien"},{"family":"King","given":"Elizabeth"},{"family":"Kelly","given":"Jane"},{"family":"Sussens","given":"Jill"},{"family":"Mulvaney","given":"Shirley"},{"family":"Whitby","given":"Thomas"},{"family":"Morgan","given":"Iona"},{"family":"Sharma","given":"Amita"},{"family":"Al-Jayyousi","given":"Reem"},{"family":"Cheung","given":"Chee Kay"},{"family":"Ng","given":"Christopher"},{"family":"Lander","given":"Anthony David"},{"family":"Simmons","given":"William"},{"family":"Melling","given":"Charlotte"},{"family":"Grandison","given":"Rebecca"},{"family":"Treitl","given":"Leanne"},{"family":"Salama","given":"Alan D."},{"family":"Dudley","given":"Jan"}],"issued":{"date-parts":[["2024",12,13]]}}}],"schema":"https://github.com/citation-style-language/schema/raw/master/csl-citation.json"} </w:instrText>
      </w:r>
      <w:r>
        <w:rPr>
          <w:rFonts w:cstheme="minorHAnsi"/>
          <w:color w:val="000000" w:themeColor="text1"/>
          <w:sz w:val="22"/>
          <w:szCs w:val="22"/>
        </w:rPr>
        <w:fldChar w:fldCharType="separate"/>
      </w:r>
      <w:r w:rsidR="00642970">
        <w:rPr>
          <w:rFonts w:cstheme="minorHAnsi"/>
          <w:noProof/>
          <w:color w:val="000000" w:themeColor="text1"/>
          <w:sz w:val="22"/>
          <w:szCs w:val="22"/>
        </w:rPr>
        <w:t>(9,143)</w:t>
      </w:r>
      <w:r>
        <w:rPr>
          <w:rFonts w:cstheme="minorHAnsi"/>
          <w:color w:val="000000" w:themeColor="text1"/>
          <w:sz w:val="22"/>
          <w:szCs w:val="22"/>
        </w:rPr>
        <w:fldChar w:fldCharType="end"/>
      </w:r>
      <w:r w:rsidRPr="00F45B52">
        <w:rPr>
          <w:rFonts w:cstheme="minorHAnsi"/>
          <w:color w:val="000000" w:themeColor="text1"/>
          <w:sz w:val="22"/>
          <w:szCs w:val="22"/>
        </w:rPr>
        <w:t xml:space="preserve"> and were used to construct the parameters outlined in the recommendations. </w:t>
      </w:r>
      <w:r>
        <w:rPr>
          <w:rFonts w:cstheme="minorHAnsi"/>
          <w:color w:val="000000" w:themeColor="text1"/>
          <w:sz w:val="22"/>
          <w:szCs w:val="22"/>
        </w:rPr>
        <w:t xml:space="preserve">Regarding histological classification </w:t>
      </w:r>
      <w:r w:rsidR="00857A64">
        <w:rPr>
          <w:rFonts w:cstheme="minorHAnsi"/>
          <w:color w:val="000000" w:themeColor="text1"/>
          <w:sz w:val="22"/>
          <w:szCs w:val="22"/>
        </w:rPr>
        <w:t xml:space="preserve">for </w:t>
      </w:r>
      <w:proofErr w:type="spellStart"/>
      <w:r w:rsidR="00857A64">
        <w:rPr>
          <w:rFonts w:cstheme="minorHAnsi"/>
          <w:color w:val="000000" w:themeColor="text1"/>
          <w:sz w:val="22"/>
          <w:szCs w:val="22"/>
        </w:rPr>
        <w:t>IgAV</w:t>
      </w:r>
      <w:proofErr w:type="spellEnd"/>
      <w:r w:rsidR="00857A64">
        <w:rPr>
          <w:rFonts w:cstheme="minorHAnsi"/>
          <w:color w:val="000000" w:themeColor="text1"/>
          <w:sz w:val="22"/>
          <w:szCs w:val="22"/>
        </w:rPr>
        <w:t xml:space="preserve">, </w:t>
      </w:r>
      <w:r>
        <w:rPr>
          <w:rFonts w:cstheme="minorHAnsi"/>
          <w:color w:val="000000" w:themeColor="text1"/>
          <w:sz w:val="22"/>
          <w:szCs w:val="22"/>
        </w:rPr>
        <w:t xml:space="preserve">the ISKDC criteria continue to be the most commonly used across the national centres however the group recognised limitations in that they are only based on glomerular features and there is growing recognition of the importance of chronic changes such as tubulointerstitial atrophy or fibrosis </w:t>
      </w:r>
      <w:r>
        <w:rPr>
          <w:rFonts w:cstheme="minorHAnsi"/>
          <w:color w:val="000000" w:themeColor="text1"/>
          <w:sz w:val="22"/>
          <w:szCs w:val="22"/>
        </w:rPr>
        <w:fldChar w:fldCharType="begin"/>
      </w:r>
      <w:r w:rsidR="00642970">
        <w:rPr>
          <w:rFonts w:cstheme="minorHAnsi"/>
          <w:color w:val="000000" w:themeColor="text1"/>
          <w:sz w:val="22"/>
          <w:szCs w:val="22"/>
        </w:rPr>
        <w:instrText xml:space="preserve"> ADDIN ZOTERO_ITEM CSL_CITATION {"citationID":"BjpN6Cfq","properties":{"formattedCitation":"(144,145)","plainCitation":"(144,145)","noteIndex":0},"citationItems":[{"id":348,"uris":["http://zotero.org/users/local/lvPLY4Gu/items/DTD878DN"],"itemData":{"id":348,"type":"article-journal","abstract":"Introduction: Henoch-Schönlein purpura nephritis (HSPN) and IgA nephropathy (IgAN) bear similarities in some aspects. The histological classification of HSPN was built on the International Study of Kidney Disease in Children (ISKDC) criteria, while IgAN was established on the 2016 Oxford classification (MEST-C scores). The purpose of this paper was to discuss the predictive value of the ISKDC classification and MEST-C scores in children with HSPN. Methods: We performed a retrospective study of 877 children with HSPN in a single center between 2001 and 2019. The primary outcome was defined as chronic kidney disease-estimated glomerular filtration rate (eGFR) &lt;90 ml/min/1.73 m2. Results: During the follow-up period of 23.3 (10.9-47.9) months, 51 (5.8%) patients reached the primary outcome. As revealed in a Kaplan-Meier plot, segmental glomerulosclerosis (S) (P &lt; 0.001) and tubular atrophy/interstitial fibrosis (T) (P &lt; 0.001) significantly predict poor renal outcome. Other Oxford lesions and the ISKDC classification, however, did not show a significant difference in a worse outcome. In a multivariate Cox model adjusted for pathological and clinical factors, eGFR [hazard ratio (HR) = 2.831, 95% confidence interval (95% CI) = 1.359-5.896], S lesion (HR = 3.936, 95% CI = 2.078-7.457), and T lesion (HR = 4.002, 95% CI = 1.733-9.242) were independent risk factors for the renal outcome. Conclusion: This series constitutes the largest series reported so far in the literature of such patients. According to our findings, S and T of the Oxford classification, which are ignored by the ISKDC classification, could be applied to predict the renal prognosis of children with HSPN.","container-title":"Frontiers in Pediatrics","DOI":"10.3389/fped.2021.658845","ISSN":"2296-2360","journalAbbreviation":"Front Pediatr","language":"eng","note":"PMID: 33937154\nPMCID: PMC8079736","page":"658845","source":"PubMed","title":"Using MEST-C Scores and the International Study of Kidney Disease in Children Classification to Predict Outcomes of Henoch-Schönlein Purpura Nephritis in Children","volume":"9","author":[{"family":"Wang","given":"Meiqiu"},{"family":"Wang","given":"Ren"},{"family":"He","given":"Xu"},{"family":"Zhang","given":"Pei"},{"family":"Kuang","given":"Qianhuining"},{"family":"Yao","given":"Jun"},{"family":"Fang","given":"Xiang"},{"family":"Shi","given":"Zhuo"},{"family":"Wu","given":"Heyan"},{"family":"Peng","given":"Yingchao"},{"family":"Xia","given":"Zhengkun"},{"family":"Gao","given":"Chunlin"}],"issued":{"date-parts":[["2021"]]}}},{"id":351,"uris":["http://zotero.org/users/local/lvPLY4Gu/items/6IBVL6MU"],"itemData":{"id":351,"type":"article-journal","abstract":"Background \n          Nephritis is a common manifestation of IgA vasculitis and is morphologically indistinguishable from IgA nephropathy. While MEST-C scores are predictive of kidney outcomes in IgA nephropathy, their value in IgA vasculitis nephritis has not been investigated in large multiethnic cohorts.\n          Methods \n          Biopsies from 262 children and 99 adults with IgA vasculitis nephritis (N=361) from 23 centers in North America, Europe, and Asia were independently scored by three pathologists. MEST-C scores were assessed for correlation with eGFR/proteinuria at biopsy. Because most patients (N=309, 86%) received immunosuppression, risk factors for outcomes were evaluated in this group using latent class mixed models to identify classes of eGFR trajectories over a median follow-up of 2.7 years (interquartile range, 1.2–5.1). Clinical and histologic parameters associated with each class were determined using logistic regression.\n          Results \n          M, E, T, and C scores were correlated with either eGFR or proteinuria at biopsy. Two classes were identified by latent class mixed model, one with initial improvement in eGFR followed by a late decline (class 1, N=91) and another with stable eGFR (class 2, N=218). Class 1 was associated with a higher risk of an established kidney outcome (time to ≥30% decline in eGFR or kidney failure; hazard ratio, 5.84; 95% confidence interval, 2.37 to 14.4). Among MEST-C scores, only E1 was associated with class 1 by multivariable analysis. Other factors associated with class 1 were age 18 years and younger, male sex, lower eGFR at biopsy, and extrarenal noncutaneous disease. Fibrous crescents without active changes were associated with class 2.\n          Conclusions \n          Kidney outcome in patients with biopsied IgA vasculitis nephritis treated with immunosuppression was determined by clinical risk factors and endocapillary hypercellularity (E1) and fibrous crescents, which are features that are not part of the International Study of Diseases of Children classification.\n        \n        \n          \n            Visual Abstract\n            \n        Export","container-title":"Clinical Journal of the American Society of Nephrology","DOI":"10.2215/CJN.0000000000000398","ISSN":"1555-9041","issue":"4","language":"en-US","page":"438","source":"journals.lww.com","title":"Histologic and Clinical Factors Associated with Kidney Outcomes in IgA Vasculitis Nephritis","volume":"19","author":[{"family":"Barbour","given":"Sean J."},{"family":"Coppo","given":"Rosanna"},{"family":"Er","given":"Lee"},{"family":"Pillebout","given":"Evangeline"},{"family":"Russo","given":"Maria Luisa"},{"family":"Alpers","given":"Charles E."},{"family":"Fogo","given":"Agnes B."},{"family":"Ferrario","given":"Franco"},{"family":"Jennette","given":"J. Charles"},{"family":"Roberts","given":"Ian S. D."},{"family":"Cook","given":"H. Terence"},{"family":"Ding","given":"Jie"},{"family":"Su","given":"Baige"},{"family":"Zhong","given":"Xuhui"},{"family":"Fervenza","given":"Fernando C."},{"family":"Zand","given":"Ladan"},{"family":"Peruzzi","given":"Licia"},{"family":"Lucchetti","given":"Laura"},{"family":"Katafuchi","given":"Ritsuko"},{"family":"Shima","given":"Yuko"},{"family":"Yoshikawa","given":"Norishige"},{"family":"Ichikawa","given":"Daisuke"},{"family":"Suzuki","given":"Yusuke"},{"family":"Murer","given":"Luisa"},{"family":"Wyatt","given":"Robert J."},{"family":"Park","given":"Catherine"},{"family":"Nelson","given":"Raoul D."},{"family":"Narus","given":"JoAnn H."},{"family":"Wenderfer","given":"Scott"},{"family":"Geetha","given":"Duvuru"},{"family":"Daugas","given":"Eric"},{"family":"Monteiro","given":"Renato C."},{"family":"Nakatani","given":"Shinya"},{"family":"Mastrangelo","given":"Antonio"},{"family":"Nuutinen","given":"Matti"},{"family":"Koskela","given":"Mikael"},{"family":"Weber","given":"Lutz T."},{"family":"Hackl","given":"Agnes"},{"family":"Pohl","given":"Martin"},{"family":"Pecoraro","given":"Carmine"},{"family":"Tsuboi","given":"Nobuo"},{"family":"Yokoo","given":"Takashi"},{"family":"Takafumi","given":"Ito"},{"family":"Fujimoto","given":"Shouichi"},{"family":"Conti","given":"Giovanni"},{"family":"Santoro","given":"Domenico"},{"family":"Materassi","given":"Marco"},{"family":"Zhang","given":"Hong"},{"family":"Shi","given":"Sufang"},{"family":"Liu","given":"Zhi-Hong"},{"family":"Tesar","given":"Vladimir"},{"family":"Maixnerova","given":"Dita"},{"family":"Avila-Casado","given":"Carmen"},{"family":"Bajema","given":"Ingeborg"},{"family":"Barreca","given":"Antonella"},{"family":"Becker","given":"Jan U."},{"family":"Comstock","given":"Jessica M."},{"family":"Cornea","given":"Virgilius"},{"family":"Eldin","given":"Karen"},{"family":"Hernandez","given":"Loren Herrera"},{"family":"Hou","given":"Jean"},{"family":"Joh","given":"Kensuke"},{"family":"Lin","given":"Mercury"},{"family":"Messias","given":"Nidia"},{"family":"Muda","given":"Andrea Onetti"},{"family":"Pagni","given":"Fabio"},{"family":"Diomedi-Camassei","given":"Francesca"},{"family":"Tokola","given":"Heikki"},{"family":"D'Armiento","given":"Maria"},{"family":"Seidl","given":"Maximilian"},{"family":"Rosenberg","given":"Avi"},{"family":"Sannier","given":"Aurélie"},{"family":"Soares","given":"Maria Fernanda"},{"family":"Wang","given":"Suxia"},{"family":"Zeng","given":"Caihong"},{"family":"Haas","given":"Mark"}],"issued":{"date-parts":[["2024",4]]}}}],"schema":"https://github.com/citation-style-language/schema/raw/master/csl-citation.json"} </w:instrText>
      </w:r>
      <w:r>
        <w:rPr>
          <w:rFonts w:cstheme="minorHAnsi"/>
          <w:color w:val="000000" w:themeColor="text1"/>
          <w:sz w:val="22"/>
          <w:szCs w:val="22"/>
        </w:rPr>
        <w:fldChar w:fldCharType="separate"/>
      </w:r>
      <w:r w:rsidR="00642970">
        <w:rPr>
          <w:rFonts w:cstheme="minorHAnsi"/>
          <w:noProof/>
          <w:color w:val="000000" w:themeColor="text1"/>
          <w:sz w:val="22"/>
          <w:szCs w:val="22"/>
        </w:rPr>
        <w:t>(144,145)</w:t>
      </w:r>
      <w:r>
        <w:rPr>
          <w:rFonts w:cstheme="minorHAnsi"/>
          <w:color w:val="000000" w:themeColor="text1"/>
          <w:sz w:val="22"/>
          <w:szCs w:val="22"/>
        </w:rPr>
        <w:fldChar w:fldCharType="end"/>
      </w:r>
      <w:r>
        <w:rPr>
          <w:rFonts w:cstheme="minorHAnsi"/>
          <w:color w:val="000000" w:themeColor="text1"/>
          <w:sz w:val="22"/>
          <w:szCs w:val="22"/>
        </w:rPr>
        <w:t>. The group agreed to include both</w:t>
      </w:r>
      <w:r w:rsidR="00857A64">
        <w:rPr>
          <w:rFonts w:cstheme="minorHAnsi"/>
          <w:color w:val="000000" w:themeColor="text1"/>
          <w:sz w:val="22"/>
          <w:szCs w:val="22"/>
        </w:rPr>
        <w:t xml:space="preserve"> the ISKDC and MEST-C scoring</w:t>
      </w:r>
      <w:r>
        <w:rPr>
          <w:rFonts w:cstheme="minorHAnsi"/>
          <w:color w:val="000000" w:themeColor="text1"/>
          <w:sz w:val="22"/>
          <w:szCs w:val="22"/>
        </w:rPr>
        <w:t xml:space="preserve"> in the recommendations however appreciated that this was often led by pathology colleagues and may require wider input for implementation. This has the additional advantage of alignment with </w:t>
      </w:r>
      <w:proofErr w:type="spellStart"/>
      <w:r>
        <w:rPr>
          <w:rFonts w:cstheme="minorHAnsi"/>
          <w:color w:val="000000" w:themeColor="text1"/>
          <w:sz w:val="22"/>
          <w:szCs w:val="22"/>
        </w:rPr>
        <w:t>IgAN</w:t>
      </w:r>
      <w:proofErr w:type="spellEnd"/>
      <w:r>
        <w:rPr>
          <w:rFonts w:cstheme="minorHAnsi"/>
          <w:color w:val="000000" w:themeColor="text1"/>
          <w:sz w:val="22"/>
          <w:szCs w:val="22"/>
        </w:rPr>
        <w:t xml:space="preserve">. </w:t>
      </w:r>
      <w:r w:rsidR="009D531C">
        <w:rPr>
          <w:rFonts w:cstheme="minorHAnsi"/>
          <w:color w:val="000000" w:themeColor="text1"/>
          <w:sz w:val="22"/>
          <w:szCs w:val="22"/>
        </w:rPr>
        <w:t xml:space="preserve">The Cochrane collaboration systematically reviewed the evidence related to the </w:t>
      </w:r>
      <w:r w:rsidR="00E2561D">
        <w:rPr>
          <w:rFonts w:cstheme="minorHAnsi"/>
          <w:color w:val="000000" w:themeColor="text1"/>
          <w:sz w:val="22"/>
          <w:szCs w:val="22"/>
        </w:rPr>
        <w:t xml:space="preserve">early </w:t>
      </w:r>
      <w:r w:rsidR="009D531C">
        <w:rPr>
          <w:rFonts w:cstheme="minorHAnsi"/>
          <w:color w:val="000000" w:themeColor="text1"/>
          <w:sz w:val="22"/>
          <w:szCs w:val="22"/>
        </w:rPr>
        <w:t xml:space="preserve">use of corticosteroids in all patients presenting with </w:t>
      </w:r>
      <w:proofErr w:type="spellStart"/>
      <w:r w:rsidR="009D531C">
        <w:rPr>
          <w:rFonts w:cstheme="minorHAnsi"/>
          <w:color w:val="000000" w:themeColor="text1"/>
          <w:sz w:val="22"/>
          <w:szCs w:val="22"/>
        </w:rPr>
        <w:t>IgAV</w:t>
      </w:r>
      <w:proofErr w:type="spellEnd"/>
      <w:r w:rsidR="009D531C">
        <w:rPr>
          <w:rFonts w:cstheme="minorHAnsi"/>
          <w:color w:val="000000" w:themeColor="text1"/>
          <w:sz w:val="22"/>
          <w:szCs w:val="22"/>
        </w:rPr>
        <w:t xml:space="preserve"> to prevent the onset of nephritis and demonstrated no effect </w:t>
      </w:r>
      <w:r w:rsidR="009D531C">
        <w:rPr>
          <w:rFonts w:cstheme="minorHAnsi"/>
          <w:color w:val="000000" w:themeColor="text1"/>
          <w:sz w:val="22"/>
          <w:szCs w:val="22"/>
        </w:rPr>
        <w:fldChar w:fldCharType="begin"/>
      </w:r>
      <w:r w:rsidR="00642970">
        <w:rPr>
          <w:rFonts w:cstheme="minorHAnsi"/>
          <w:color w:val="000000" w:themeColor="text1"/>
          <w:sz w:val="22"/>
          <w:szCs w:val="22"/>
        </w:rPr>
        <w:instrText xml:space="preserve"> ADDIN ZOTERO_ITEM CSL_CITATION {"citationID":"K3cPytNZ","properties":{"formattedCitation":"(146)","plainCitation":"(146)","noteIndex":0},"citationItems":[{"id":354,"uris":["http://zotero.org/users/local/lvPLY4Gu/items/YY2WGKWU"],"itemData":{"id":354,"type":"article-journal","abstract":"BACKGROUND: IgA vasculitis (IgAV), previously known as Henoch-Schönlein purpura, is the most common vasculitis of childhood but may also occur in adults. This small vessel vasculitis is characterised by palpable purpura, abdominal pain, arthritis or arthralgia and kidney involvement. This is an update of a review first published in 2009 and updated in 2015.\nOBJECTIVES: To evaluate the benefits and harms of different agents (used singularly or in combination) compared with placebo, no treatment or any other agent for (1) the prevention of severe kidney disease in people with IgAV with or without kidney involvement at onset, (2) the treatment of established severe kidney disease (macroscopic haematuria, proteinuria, nephritic syndrome, nephrotic syndrome with or without acute kidney failure) in IgAV, and (3) the prevention of recurrent episodes of IgAV-associated kidney disease.\nSEARCH METHODS: We searched the Cochrane Kidney and Transplant Register of Studies up to 2 February 2023 through contact with the Information Specialist using search terms relevant to this review. Studies in the Register are identified through searches of CENTRAL, MEDLINE, and EMBASE, conference proceedings, the International Clinical Trials Register (ICTRP) Search Portal and ClinicalTrials.gov.\nSELECTION CRITERIA: Randomised controlled trials (RCTs) comparing interventions used to prevent or treat kidney disease in IgAV compared with placebo, no treatment or other agents were included.\nDATA COLLECTION AND ANALYSIS: Two authors independently determined study eligibility, assessed the risk of bias and extracted data from each study. Statistical analyses were performed using the random-effects model, and the results were expressed as risk ratio (RR) for dichotomous outcomes and mean difference (MD) for continuous outcomes with 95% confidence intervals (CI). Confidence in the evidence was assessed using the Grading of Recommendations Assessment, Development and Evaluation (GRADE) approach.\nMAIN RESULTS: Twenty studies (1963 enrolled participants) were identified; one three-arm study has been assessed as two studies. Nine studies were at low risk of bias for sequence generation (selection bias), and nine studies were at low risk of bias for allocation concealment (selection bias). Blinding of participants and personnel (performance bias) and outcome assessment (detection bias) was at low risk of bias in four and seven studies, respectively. Nine studies reported complete outcome data (attrition bias), while 10 studies reported expected outcomes, so were at low risk of reporting bias. Five studies were at low risk of other bias. Eleven studies evaluated therapy to prevent persistent kidney disease in IgAV with or without kidney involvement at presentation. There was probably no difference in the risk of persistent kidney disease any time after treatment (5 studies, 746 children: RR 0.74, 95% CI 0.42 to 1.32) or at one, three, six and 12 months in children given prednisone for 14 to 28 days at presentation of IgAV compared with placebo or supportive treatment (moderate certainty evidence). There may be no differences in the risk of any persistent kidney disease with antiplatelet therapy (three studies) or heparin (two studies) in children with or without any kidney disease at study entry, although heparin may reduce the risk of proteinuria by three months compared with placebo or no specific treatment (2 studies, 317 children: RR 0.47, 95% CI 0.31 to 0.73). One study comparing montelukast with placebo found no differences in outcomes as assessed by severity scale scores. Nine studies examined the treatment of severe IgAV-associated kidney disease. In two studies (one involving 56 children and the other involving 54 adults), there may be no differences in efficacy outcomes or adverse effects with cyclophosphamide compared with placebo or supportive treatment. In two studies, there may be no differences in the numbers achieving remission of proteinuria with intravenous (IV) cyclophosphamide compared with mycophenolate mofetil (MMF) (65 children evaluated) or tacrolimus (142 children evaluated). In three small studies comparing cyclosporin with methylprednisolone (15 children), MMF with azathioprine (26 children), or MMF with leflunomide (19 children), it is unclear whether the treatment had any effect on the numbers in remission or the degree of proteinuria between treatment groups because of small numbers of included participants. In one study comparing plasmapheresis, cyclophosphamide and methylprednisolone with cyclophosphamide and methylprednisolone, there may be no difference in the numbers achieving remission. One study compared fosinopril with no specific therapy and reported fosinopril reduced the number of participants with proteinuria. No studies were identified that evaluated the efficacy of therapy on kidney disease in participants with recurrent episodes of IgAV.\nAUTHORS' CONCLUSIONS: There are no substantial changes in conclusions from this update compared with the initial review or the previous update despite the addition of five studies. From generally low to moderate certainty evidence, we found that there may be little or no benefit in the use of corticosteroids or antiplatelet agents to prevent persistent kidney disease in children with IgAV in participants with no or minimal kidney involvement at presentation. We did not find any studies which evaluated corticosteroids in children presenting with IgAV and nephritic and/or nephrotic syndrome, although corticosteroids are recommended in such children in guidelines. Though heparin may be effective in reducing proteinuria, this potentially dangerous therapy is not justified to prevent serious kidney disease when few children with IgAV develop severe kidney disease. There may be no benefit of cyclophosphamide compared with no specific treatment or corticosteroids. While there may be no benefit in the efficacy of MMF or tacrolimus compared with IV cyclophosphamide in children or adults with IgAV and severe kidney disease, adverse effects, particularly infections, may be lower in MMF or tacrolimus-treated children. Because of small patient numbers and events leading to imprecision in results, it remains unclear whether cyclosporin, MMF or leflunomide have any role in the treatment of children with IgAV and severe kidney disease. We did not identify any studies which evaluated corticosteroids.","container-title":"The Cochrane Database of Systematic Reviews","DOI":"10.1002/14651858.CD005128.pub4","ISSN":"1469-493X","issue":"2","journalAbbreviation":"Cochrane Database Syst Rev","language":"eng","note":"PMID: 36853224\nPMCID: PMC9972777","page":"CD005128","source":"PubMed","title":"Interventions for preventing and treating kidney disease in IgA vasculitis","volume":"2","author":[{"family":"Hahn","given":"Deirdre"},{"family":"Hodson","given":"Elisabeth M."},{"family":"Craig","given":"Jonathan C."}],"issued":{"date-parts":[["2023",2,28]]}}}],"schema":"https://github.com/citation-style-language/schema/raw/master/csl-citation.json"} </w:instrText>
      </w:r>
      <w:r w:rsidR="009D531C">
        <w:rPr>
          <w:rFonts w:cstheme="minorHAnsi"/>
          <w:color w:val="000000" w:themeColor="text1"/>
          <w:sz w:val="22"/>
          <w:szCs w:val="22"/>
        </w:rPr>
        <w:fldChar w:fldCharType="separate"/>
      </w:r>
      <w:r w:rsidR="00642970">
        <w:rPr>
          <w:rFonts w:cstheme="minorHAnsi"/>
          <w:noProof/>
          <w:color w:val="000000" w:themeColor="text1"/>
          <w:sz w:val="22"/>
          <w:szCs w:val="22"/>
        </w:rPr>
        <w:t>(146)</w:t>
      </w:r>
      <w:r w:rsidR="009D531C">
        <w:rPr>
          <w:rFonts w:cstheme="minorHAnsi"/>
          <w:color w:val="000000" w:themeColor="text1"/>
          <w:sz w:val="22"/>
          <w:szCs w:val="22"/>
        </w:rPr>
        <w:fldChar w:fldCharType="end"/>
      </w:r>
      <w:r w:rsidR="009D531C">
        <w:rPr>
          <w:rFonts w:cstheme="minorHAnsi"/>
          <w:color w:val="000000" w:themeColor="text1"/>
          <w:sz w:val="22"/>
          <w:szCs w:val="22"/>
        </w:rPr>
        <w:t xml:space="preserve">. Therefore, there is currently no role for all patients to be </w:t>
      </w:r>
      <w:r w:rsidR="00E2561D">
        <w:rPr>
          <w:rFonts w:cstheme="minorHAnsi"/>
          <w:color w:val="000000" w:themeColor="text1"/>
          <w:sz w:val="22"/>
          <w:szCs w:val="22"/>
        </w:rPr>
        <w:t xml:space="preserve">routinely </w:t>
      </w:r>
      <w:r w:rsidR="009D531C">
        <w:rPr>
          <w:rFonts w:cstheme="minorHAnsi"/>
          <w:color w:val="000000" w:themeColor="text1"/>
          <w:sz w:val="22"/>
          <w:szCs w:val="22"/>
        </w:rPr>
        <w:t xml:space="preserve">treated with steroids for this indication. </w:t>
      </w:r>
    </w:p>
    <w:p w14:paraId="515B80B3" w14:textId="6BE7FD22" w:rsidR="00601B86" w:rsidRPr="009D531C" w:rsidRDefault="001630D4" w:rsidP="003F494F">
      <w:pPr>
        <w:spacing w:line="360" w:lineRule="auto"/>
        <w:jc w:val="both"/>
        <w:rPr>
          <w:rFonts w:cstheme="minorHAnsi"/>
          <w:color w:val="000000" w:themeColor="text1"/>
          <w:sz w:val="22"/>
          <w:szCs w:val="22"/>
        </w:rPr>
      </w:pPr>
      <w:r>
        <w:rPr>
          <w:rFonts w:cstheme="minorHAnsi"/>
          <w:color w:val="000000" w:themeColor="text1"/>
          <w:sz w:val="22"/>
          <w:szCs w:val="22"/>
        </w:rPr>
        <w:t xml:space="preserve">In children with microscopic haematuria, the prognosis is good, and treatment wouldn’t be indicated therefore </w:t>
      </w:r>
      <w:r w:rsidR="00E2561D">
        <w:rPr>
          <w:rFonts w:cstheme="minorHAnsi"/>
          <w:color w:val="000000" w:themeColor="text1"/>
          <w:sz w:val="22"/>
          <w:szCs w:val="22"/>
        </w:rPr>
        <w:t>they</w:t>
      </w:r>
      <w:r>
        <w:rPr>
          <w:rFonts w:cstheme="minorHAnsi"/>
          <w:color w:val="000000" w:themeColor="text1"/>
          <w:sz w:val="22"/>
          <w:szCs w:val="22"/>
        </w:rPr>
        <w:t xml:space="preserve"> do not justify the associated risks</w:t>
      </w:r>
      <w:r w:rsidR="00E2561D">
        <w:rPr>
          <w:rFonts w:cstheme="minorHAnsi"/>
          <w:color w:val="000000" w:themeColor="text1"/>
          <w:sz w:val="22"/>
          <w:szCs w:val="22"/>
        </w:rPr>
        <w:t xml:space="preserve"> of a kidney biopsy</w:t>
      </w:r>
      <w:r>
        <w:rPr>
          <w:rFonts w:cstheme="minorHAnsi"/>
          <w:color w:val="000000" w:themeColor="text1"/>
          <w:sz w:val="22"/>
          <w:szCs w:val="22"/>
        </w:rPr>
        <w:t xml:space="preserve">. </w:t>
      </w:r>
      <w:r>
        <w:rPr>
          <w:rFonts w:eastAsiaTheme="minorEastAsia" w:cstheme="minorHAnsi"/>
          <w:color w:val="000000" w:themeColor="text1"/>
          <w:kern w:val="24"/>
          <w:sz w:val="22"/>
          <w:szCs w:val="22"/>
          <w:lang w:val="en-US" w:eastAsia="en-GB"/>
        </w:rPr>
        <w:t xml:space="preserve">In a large retrospective real world cohort collating data from 1148 children from across Europe with </w:t>
      </w:r>
      <w:proofErr w:type="spellStart"/>
      <w:r>
        <w:rPr>
          <w:rFonts w:eastAsiaTheme="minorEastAsia" w:cstheme="minorHAnsi"/>
          <w:color w:val="000000" w:themeColor="text1"/>
          <w:kern w:val="24"/>
          <w:sz w:val="22"/>
          <w:szCs w:val="22"/>
          <w:lang w:val="en-US" w:eastAsia="en-GB"/>
        </w:rPr>
        <w:t>IgA</w:t>
      </w:r>
      <w:r w:rsidR="00E2561D">
        <w:rPr>
          <w:rFonts w:eastAsiaTheme="minorEastAsia" w:cstheme="minorHAnsi"/>
          <w:color w:val="000000" w:themeColor="text1"/>
          <w:kern w:val="24"/>
          <w:sz w:val="22"/>
          <w:szCs w:val="22"/>
          <w:lang w:val="en-US" w:eastAsia="en-GB"/>
        </w:rPr>
        <w:t>V</w:t>
      </w:r>
      <w:proofErr w:type="spellEnd"/>
      <w:r>
        <w:rPr>
          <w:rFonts w:eastAsiaTheme="minorEastAsia" w:cstheme="minorHAnsi"/>
          <w:color w:val="000000" w:themeColor="text1"/>
          <w:kern w:val="24"/>
          <w:sz w:val="22"/>
          <w:szCs w:val="22"/>
          <w:lang w:val="en-US" w:eastAsia="en-GB"/>
        </w:rPr>
        <w:t xml:space="preserve"> and biopsy proven disease, MMF and corticosteroids were the most commonly used treatments in current practice </w:t>
      </w:r>
      <w:r>
        <w:rPr>
          <w:rFonts w:eastAsiaTheme="minorEastAsia" w:cstheme="minorHAnsi"/>
          <w:color w:val="000000" w:themeColor="text1"/>
          <w:kern w:val="24"/>
          <w:sz w:val="22"/>
          <w:szCs w:val="22"/>
          <w:lang w:val="en-US" w:eastAsia="en-GB"/>
        </w:rPr>
        <w:fldChar w:fldCharType="begin"/>
      </w:r>
      <w:r w:rsidR="00642970">
        <w:rPr>
          <w:rFonts w:eastAsiaTheme="minorEastAsia" w:cstheme="minorHAnsi"/>
          <w:color w:val="000000" w:themeColor="text1"/>
          <w:kern w:val="24"/>
          <w:sz w:val="22"/>
          <w:szCs w:val="22"/>
          <w:lang w:val="en-US" w:eastAsia="en-GB"/>
        </w:rPr>
        <w:instrText xml:space="preserve"> ADDIN ZOTERO_ITEM CSL_CITATION {"citationID":"3lYaDJJO","properties":{"formattedCitation":"(147)","plainCitation":"(147)","noteIndex":0},"citationItems":[{"id":341,"uris":["http://zotero.org/users/local/lvPLY4Gu/items/T4N9BQDD"],"itemData":{"id":341,"type":"article-journal","abstract":"BACKGROUND: Immunoglobulin A vasculitis with nephritis (IgAVN) is the most common vasculitis in children. Due to a lack of evidence, treatment recommendations are based on expert opinion, resulting in variation. The aim of this study was to describe the clinical presentation, treatment and outcome of an extremely large cohort of children with biopsy-proven IgAVN in order to identify prognostic risk factors and signals of treatment efficacy.\nMETHODS: Retrospective data were collected on 1148 children with biopsy-proven IgAVN between 2005 and 2019 from 41 international paediatric nephrology centres across 25 countries and analysed using multivariate analysis. The primary outcome was estimated glomerular filtration rate (eGFR) and persistent proteinuria at last follow-up.\nRESULTS: The median follow-up was 3.7 years (interquartile range 2-6.2). At last follow-up, 29% of patients had an eGFR &lt;90 mL/min/1.73 m2, 36% had proteinuria and 3% had chronic kidney disease stage 4-5. Older age, lower eGFR at onset, hypertension and histological features of tubular atrophy and segmental sclerosis were predictors of poor outcome. There was no evidence to support any specific second-line immunosuppressive regimen being superior to others, even when further analysing subgroups of children with reduced kidney function, nephrotic syndrome or hypoalbuminemia at onset. Delayed start of immunosuppressive treatment was associated with a lower eGFR at last follow-up.\nCONCLUSION: In this large retrospective cohort, key features associated with disease outcome are highlighted. Importantly, there was no evidence to support that any specific immunosuppressive treatments were superior to others. Further discovery science and well-conducted clinical trials are needed to define accurate treatment and improve outcomes of IgAVN.","container-title":"Nephrology, Dialysis, Transplantation: Official Publication of the European Dialysis and Transplant Association - European Renal Association","DOI":"10.1093/ndt/gfae009","ISSN":"1460-2385","issue":"8","journalAbbreviation":"Nephrol Dial Transplant","language":"eng","note":"PMID: 38211969","page":"1299-1309","source":"PubMed","title":"Outcome of immunosuppression in children with IgA vasculitis-related nephritis","volume":"39","author":[{"family":"Rohner","given":"Katharina"},{"family":"Marlais","given":"Matko"},{"family":"Ahn","given":"Yo Han"},{"family":"Ali","given":"Alaa"},{"family":"Alsharief","given":"Abrar"},{"family":"Novak","given":"Anja Blejc"},{"family":"Brambilla","given":"Marta"},{"family":"Cakici","given":"Evrim Kargin"},{"family":"Candan","given":"Cengiz"},{"family":"Canpolat","given":"Nur"},{"family":"Chan","given":"Eugene Yu-Hin"},{"family":"Decramer","given":"Stéphane"},{"family":"Didsbury","given":"Madeleine"},{"family":"Durao","given":"Filipa"},{"family":"Durkan","given":"Anne M."},{"family":"Düzova","given":"Ali"},{"family":"Forbes","given":"Thomas"},{"family":"Gracchi","given":"Valentina"},{"family":"Güngör","given":"Tulin"},{"family":"Horinouchi","given":"Tomoko"},{"family":"Kasap Demir","given":"Belde"},{"family":"Kobayashi","given":"Yasuko"},{"family":"Koskela","given":"Mikael"},{"family":"Kurt-Sukur","given":"Eda Didem"},{"family":"La Scola","given":"Claudio"},{"family":"Langan","given":"Dean"},{"family":"Li","given":"Xiaozhong"},{"family":"Malgieri","given":"Gabriele"},{"family":"Mastrangelo","given":"Antonio"},{"family":"Min","given":"Jeesu"},{"family":"Mizerska-Wasiak","given":"Malgorzata"},{"family":"Moussaoui","given":"Nabila"},{"family":"Noyan","given":"Aytul"},{"family":"Nuutinen","given":"Matti"},{"family":"O'Gormon","given":"Jennifer"},{"family":"Okamoto","given":"Takayuki"},{"family":"Oni","given":"Louise"},{"family":"Oosterveld","given":"Michiel"},{"family":"Pańczyk-Tomaszewska","given":"Malgorzata"},{"family":"Parmaksiz","given":"Gonul"},{"family":"Pasini","given":"Andrea"},{"family":"Rianthavorn","given":"Pornpimol"},{"family":"Roelofs","given":"Joris"},{"family":"Shen","given":"Yunyan"},{"family":"Sinha","given":"Rajiv"},{"family":"Topaloglu","given":"Rezan"},{"family":"Torres","given":"Diletta Domenica"},{"family":"Udagawa","given":"Tomohiro"},{"family":"Wennerström","given":"Martin"},{"family":"Yap","given":"Yok Chin"},{"family":"Tullus","given":"Kjell"}],"issued":{"date-parts":[["2024",7,31]]}}}],"schema":"https://github.com/citation-style-language/schema/raw/master/csl-citation.json"} </w:instrText>
      </w:r>
      <w:r>
        <w:rPr>
          <w:rFonts w:eastAsiaTheme="minorEastAsia" w:cstheme="minorHAnsi"/>
          <w:color w:val="000000" w:themeColor="text1"/>
          <w:kern w:val="24"/>
          <w:sz w:val="22"/>
          <w:szCs w:val="22"/>
          <w:lang w:val="en-US" w:eastAsia="en-GB"/>
        </w:rPr>
        <w:fldChar w:fldCharType="separate"/>
      </w:r>
      <w:r w:rsidR="00642970">
        <w:rPr>
          <w:rFonts w:eastAsiaTheme="minorEastAsia" w:cstheme="minorHAnsi"/>
          <w:noProof/>
          <w:color w:val="000000" w:themeColor="text1"/>
          <w:kern w:val="24"/>
          <w:sz w:val="22"/>
          <w:szCs w:val="22"/>
          <w:lang w:val="en-US" w:eastAsia="en-GB"/>
        </w:rPr>
        <w:t>(147)</w:t>
      </w:r>
      <w:r>
        <w:rPr>
          <w:rFonts w:eastAsiaTheme="minorEastAsia" w:cstheme="minorHAnsi"/>
          <w:color w:val="000000" w:themeColor="text1"/>
          <w:kern w:val="24"/>
          <w:sz w:val="22"/>
          <w:szCs w:val="22"/>
          <w:lang w:val="en-US" w:eastAsia="en-GB"/>
        </w:rPr>
        <w:fldChar w:fldCharType="end"/>
      </w:r>
      <w:r>
        <w:rPr>
          <w:rFonts w:eastAsiaTheme="minorEastAsia" w:cstheme="minorHAnsi"/>
          <w:color w:val="000000" w:themeColor="text1"/>
          <w:kern w:val="24"/>
          <w:sz w:val="22"/>
          <w:szCs w:val="22"/>
          <w:lang w:val="en-US" w:eastAsia="en-GB"/>
        </w:rPr>
        <w:t xml:space="preserve">. The group agreed that these would be included and had the advantage of sharing similarity to the management of other forms of IM-GD such as </w:t>
      </w:r>
      <w:proofErr w:type="spellStart"/>
      <w:r>
        <w:rPr>
          <w:rFonts w:eastAsiaTheme="minorEastAsia" w:cstheme="minorHAnsi"/>
          <w:color w:val="000000" w:themeColor="text1"/>
          <w:kern w:val="24"/>
          <w:sz w:val="22"/>
          <w:szCs w:val="22"/>
          <w:lang w:val="en-US" w:eastAsia="en-GB"/>
        </w:rPr>
        <w:t>IgAN</w:t>
      </w:r>
      <w:proofErr w:type="spellEnd"/>
      <w:r>
        <w:rPr>
          <w:rFonts w:eastAsiaTheme="minorEastAsia" w:cstheme="minorHAnsi"/>
          <w:color w:val="000000" w:themeColor="text1"/>
          <w:kern w:val="24"/>
          <w:sz w:val="22"/>
          <w:szCs w:val="22"/>
          <w:lang w:val="en-US" w:eastAsia="en-GB"/>
        </w:rPr>
        <w:t xml:space="preserve"> and C3GN. As </w:t>
      </w:r>
      <w:proofErr w:type="spellStart"/>
      <w:r>
        <w:rPr>
          <w:rFonts w:eastAsiaTheme="minorEastAsia" w:cstheme="minorHAnsi"/>
          <w:color w:val="000000" w:themeColor="text1"/>
          <w:kern w:val="24"/>
          <w:sz w:val="22"/>
          <w:szCs w:val="22"/>
          <w:lang w:val="en-US" w:eastAsia="en-GB"/>
        </w:rPr>
        <w:t>IgAV</w:t>
      </w:r>
      <w:proofErr w:type="spellEnd"/>
      <w:r>
        <w:rPr>
          <w:rFonts w:eastAsiaTheme="minorEastAsia" w:cstheme="minorHAnsi"/>
          <w:color w:val="000000" w:themeColor="text1"/>
          <w:kern w:val="24"/>
          <w:sz w:val="22"/>
          <w:szCs w:val="22"/>
          <w:lang w:val="en-US" w:eastAsia="en-GB"/>
        </w:rPr>
        <w:t xml:space="preserve"> is usually a one-off episode with relapses </w:t>
      </w:r>
      <w:r w:rsidR="00660A81">
        <w:rPr>
          <w:rFonts w:eastAsiaTheme="minorEastAsia" w:cstheme="minorHAnsi"/>
          <w:color w:val="000000" w:themeColor="text1"/>
          <w:kern w:val="24"/>
          <w:sz w:val="22"/>
          <w:szCs w:val="22"/>
          <w:lang w:val="en-US" w:eastAsia="en-GB"/>
        </w:rPr>
        <w:t xml:space="preserve">mostly seen </w:t>
      </w:r>
      <w:r>
        <w:rPr>
          <w:rFonts w:eastAsiaTheme="minorEastAsia" w:cstheme="minorHAnsi"/>
          <w:color w:val="000000" w:themeColor="text1"/>
          <w:kern w:val="24"/>
          <w:sz w:val="22"/>
          <w:szCs w:val="22"/>
          <w:lang w:val="en-US" w:eastAsia="en-GB"/>
        </w:rPr>
        <w:t xml:space="preserve">during the first few months after presentation and </w:t>
      </w:r>
      <w:r w:rsidR="00660A81">
        <w:rPr>
          <w:rFonts w:eastAsiaTheme="minorEastAsia" w:cstheme="minorHAnsi"/>
          <w:color w:val="000000" w:themeColor="text1"/>
          <w:kern w:val="24"/>
          <w:sz w:val="22"/>
          <w:szCs w:val="22"/>
          <w:lang w:val="en-US" w:eastAsia="en-GB"/>
        </w:rPr>
        <w:t xml:space="preserve">being </w:t>
      </w:r>
      <w:r>
        <w:rPr>
          <w:rFonts w:eastAsiaTheme="minorEastAsia" w:cstheme="minorHAnsi"/>
          <w:color w:val="000000" w:themeColor="text1"/>
          <w:kern w:val="24"/>
          <w:sz w:val="22"/>
          <w:szCs w:val="22"/>
          <w:lang w:val="en-US" w:eastAsia="en-GB"/>
        </w:rPr>
        <w:t xml:space="preserve">rare once management </w:t>
      </w:r>
      <w:r w:rsidR="00857A64">
        <w:rPr>
          <w:rFonts w:eastAsiaTheme="minorEastAsia" w:cstheme="minorHAnsi"/>
          <w:color w:val="000000" w:themeColor="text1"/>
          <w:kern w:val="24"/>
          <w:sz w:val="22"/>
          <w:szCs w:val="22"/>
          <w:lang w:val="en-US" w:eastAsia="en-GB"/>
        </w:rPr>
        <w:t>for</w:t>
      </w:r>
      <w:r>
        <w:rPr>
          <w:rFonts w:eastAsiaTheme="minorEastAsia" w:cstheme="minorHAnsi"/>
          <w:color w:val="000000" w:themeColor="text1"/>
          <w:kern w:val="24"/>
          <w:sz w:val="22"/>
          <w:szCs w:val="22"/>
          <w:lang w:val="en-US" w:eastAsia="en-GB"/>
        </w:rPr>
        <w:t xml:space="preserve"> nephritis has commenced, </w:t>
      </w:r>
      <w:r w:rsidR="00857A64">
        <w:rPr>
          <w:rFonts w:eastAsiaTheme="minorEastAsia" w:cstheme="minorHAnsi"/>
          <w:color w:val="000000" w:themeColor="text1"/>
          <w:kern w:val="24"/>
          <w:sz w:val="22"/>
          <w:szCs w:val="22"/>
          <w:lang w:val="en-US" w:eastAsia="en-GB"/>
        </w:rPr>
        <w:t xml:space="preserve">therefore </w:t>
      </w:r>
      <w:r>
        <w:rPr>
          <w:rFonts w:eastAsiaTheme="minorEastAsia" w:cstheme="minorHAnsi"/>
          <w:color w:val="000000" w:themeColor="text1"/>
          <w:kern w:val="24"/>
          <w:sz w:val="22"/>
          <w:szCs w:val="22"/>
          <w:lang w:val="en-US" w:eastAsia="en-GB"/>
        </w:rPr>
        <w:t xml:space="preserve">the duration of treatment for </w:t>
      </w:r>
      <w:proofErr w:type="spellStart"/>
      <w:r>
        <w:rPr>
          <w:rFonts w:eastAsiaTheme="minorEastAsia" w:cstheme="minorHAnsi"/>
          <w:color w:val="000000" w:themeColor="text1"/>
          <w:kern w:val="24"/>
          <w:sz w:val="22"/>
          <w:szCs w:val="22"/>
          <w:lang w:val="en-US" w:eastAsia="en-GB"/>
        </w:rPr>
        <w:t>IgAV</w:t>
      </w:r>
      <w:proofErr w:type="spellEnd"/>
      <w:r>
        <w:rPr>
          <w:rFonts w:eastAsiaTheme="minorEastAsia" w:cstheme="minorHAnsi"/>
          <w:color w:val="000000" w:themeColor="text1"/>
          <w:kern w:val="24"/>
          <w:sz w:val="22"/>
          <w:szCs w:val="22"/>
          <w:lang w:val="en-US" w:eastAsia="en-GB"/>
        </w:rPr>
        <w:t>-N was agreed to be for a period of around 6-12 months</w:t>
      </w:r>
      <w:r w:rsidR="00857A64">
        <w:rPr>
          <w:rFonts w:eastAsiaTheme="minorEastAsia" w:cstheme="minorHAnsi"/>
          <w:color w:val="000000" w:themeColor="text1"/>
          <w:kern w:val="24"/>
          <w:sz w:val="22"/>
          <w:szCs w:val="22"/>
          <w:lang w:val="en-US" w:eastAsia="en-GB"/>
        </w:rPr>
        <w:t xml:space="preserve"> with discontinuation once response had been achieved</w:t>
      </w:r>
      <w:r>
        <w:rPr>
          <w:rFonts w:eastAsiaTheme="minorEastAsia" w:cstheme="minorHAnsi"/>
          <w:color w:val="000000" w:themeColor="text1"/>
          <w:kern w:val="24"/>
          <w:sz w:val="22"/>
          <w:szCs w:val="22"/>
          <w:lang w:val="en-US" w:eastAsia="en-GB"/>
        </w:rPr>
        <w:t xml:space="preserve">.  </w:t>
      </w:r>
    </w:p>
    <w:p w14:paraId="19877BFC" w14:textId="77777777" w:rsidR="006F0C5C" w:rsidRPr="00C00DD6" w:rsidRDefault="006F0C5C" w:rsidP="003F494F">
      <w:pPr>
        <w:pStyle w:val="NoSpacing"/>
        <w:spacing w:line="360" w:lineRule="auto"/>
        <w:rPr>
          <w:rFonts w:cstheme="minorHAnsi"/>
          <w:b/>
        </w:rPr>
      </w:pPr>
    </w:p>
    <w:p w14:paraId="33E55182" w14:textId="64CEB211" w:rsidR="0006457A" w:rsidRPr="00C00DD6" w:rsidRDefault="001630D4" w:rsidP="003F494F">
      <w:pPr>
        <w:spacing w:line="360" w:lineRule="auto"/>
        <w:rPr>
          <w:rFonts w:cstheme="minorHAnsi"/>
          <w:b/>
          <w:bCs/>
          <w:sz w:val="22"/>
          <w:szCs w:val="22"/>
        </w:rPr>
      </w:pPr>
      <w:r>
        <w:rPr>
          <w:rFonts w:eastAsia="Arial" w:cstheme="minorHAnsi"/>
          <w:b/>
          <w:sz w:val="22"/>
          <w:szCs w:val="22"/>
          <w:u w:val="single"/>
          <w:lang w:val="en" w:eastAsia="en-GB"/>
        </w:rPr>
        <w:t xml:space="preserve">GN subtype 3: </w:t>
      </w:r>
      <w:r w:rsidR="00D0665F">
        <w:rPr>
          <w:rFonts w:cstheme="minorHAnsi"/>
          <w:b/>
          <w:bCs/>
          <w:sz w:val="22"/>
          <w:szCs w:val="22"/>
          <w:u w:val="single"/>
        </w:rPr>
        <w:t>M</w:t>
      </w:r>
      <w:r w:rsidRPr="00C00DD6">
        <w:rPr>
          <w:rFonts w:cstheme="minorHAnsi"/>
          <w:b/>
          <w:bCs/>
          <w:sz w:val="22"/>
          <w:szCs w:val="22"/>
          <w:u w:val="single"/>
        </w:rPr>
        <w:t>embranous nephropathy</w:t>
      </w:r>
      <w:r w:rsidR="005C1627">
        <w:rPr>
          <w:rFonts w:cstheme="minorHAnsi"/>
          <w:b/>
          <w:bCs/>
          <w:sz w:val="22"/>
          <w:szCs w:val="22"/>
          <w:u w:val="single"/>
        </w:rPr>
        <w:t xml:space="preserve"> (MN)</w:t>
      </w:r>
    </w:p>
    <w:p w14:paraId="2ECB1FDA" w14:textId="77777777" w:rsidR="00C00DD6" w:rsidRPr="00C00DD6" w:rsidRDefault="00C00DD6" w:rsidP="003F494F">
      <w:pPr>
        <w:spacing w:line="360" w:lineRule="auto"/>
        <w:rPr>
          <w:rFonts w:cstheme="minorHAnsi"/>
          <w:b/>
          <w:bCs/>
          <w:sz w:val="22"/>
          <w:szCs w:val="22"/>
        </w:rPr>
      </w:pPr>
    </w:p>
    <w:p w14:paraId="245AEF74" w14:textId="359ED14C" w:rsidR="003D5CF4" w:rsidRPr="00C00DD6" w:rsidRDefault="001630D4" w:rsidP="003F494F">
      <w:pPr>
        <w:spacing w:line="360" w:lineRule="auto"/>
        <w:rPr>
          <w:rFonts w:cstheme="minorHAnsi"/>
          <w:b/>
          <w:bCs/>
          <w:sz w:val="22"/>
          <w:szCs w:val="22"/>
        </w:rPr>
      </w:pPr>
      <w:r w:rsidRPr="00C00DD6">
        <w:rPr>
          <w:rFonts w:cstheme="minorHAnsi"/>
          <w:b/>
          <w:bCs/>
          <w:sz w:val="22"/>
          <w:szCs w:val="22"/>
        </w:rPr>
        <w:t xml:space="preserve">Definitions </w:t>
      </w:r>
    </w:p>
    <w:p w14:paraId="7245F73C" w14:textId="49D6CB41" w:rsidR="00601B86" w:rsidRPr="00D20CBA" w:rsidRDefault="001630D4" w:rsidP="003F494F">
      <w:pPr>
        <w:spacing w:before="240" w:after="240" w:line="360" w:lineRule="auto"/>
        <w:jc w:val="both"/>
        <w:rPr>
          <w:rFonts w:eastAsia="Arial" w:cstheme="minorHAnsi"/>
          <w:sz w:val="22"/>
          <w:szCs w:val="22"/>
          <w:lang w:val="en" w:eastAsia="en-GB"/>
        </w:rPr>
      </w:pPr>
      <w:r>
        <w:rPr>
          <w:rFonts w:eastAsia="Arial" w:cstheme="minorHAnsi"/>
          <w:sz w:val="22"/>
          <w:szCs w:val="22"/>
          <w:lang w:val="en" w:eastAsia="en-GB"/>
        </w:rPr>
        <w:t>To</w:t>
      </w:r>
      <w:r w:rsidRPr="00117750">
        <w:rPr>
          <w:rFonts w:eastAsia="Arial" w:cstheme="minorHAnsi"/>
          <w:sz w:val="22"/>
          <w:szCs w:val="22"/>
          <w:lang w:val="en" w:eastAsia="en-GB"/>
        </w:rPr>
        <w:t xml:space="preserve"> align </w:t>
      </w:r>
      <w:r>
        <w:rPr>
          <w:rFonts w:eastAsia="Arial" w:cstheme="minorHAnsi"/>
          <w:sz w:val="22"/>
          <w:szCs w:val="22"/>
          <w:lang w:val="en" w:eastAsia="en-GB"/>
        </w:rPr>
        <w:t>terminology</w:t>
      </w:r>
      <w:r w:rsidRPr="00117750">
        <w:rPr>
          <w:rFonts w:eastAsia="Arial" w:cstheme="minorHAnsi"/>
          <w:sz w:val="22"/>
          <w:szCs w:val="22"/>
          <w:lang w:val="en" w:eastAsia="en-GB"/>
        </w:rPr>
        <w:t xml:space="preserve">, we suggest that the following definitions for </w:t>
      </w:r>
      <w:r w:rsidR="005C1627">
        <w:rPr>
          <w:rFonts w:eastAsia="Arial" w:cstheme="minorHAnsi"/>
          <w:sz w:val="22"/>
          <w:szCs w:val="22"/>
          <w:lang w:val="en" w:eastAsia="en-GB"/>
        </w:rPr>
        <w:t>M</w:t>
      </w:r>
      <w:r>
        <w:rPr>
          <w:rFonts w:eastAsia="Arial" w:cstheme="minorHAnsi"/>
          <w:sz w:val="22"/>
          <w:szCs w:val="22"/>
          <w:lang w:val="en" w:eastAsia="en-GB"/>
        </w:rPr>
        <w:t xml:space="preserve">N </w:t>
      </w:r>
      <w:r w:rsidRPr="00117750">
        <w:rPr>
          <w:rFonts w:eastAsia="Arial" w:cstheme="minorHAnsi"/>
          <w:sz w:val="22"/>
          <w:szCs w:val="22"/>
          <w:lang w:val="en" w:eastAsia="en-GB"/>
        </w:rPr>
        <w:t xml:space="preserve">are </w:t>
      </w:r>
      <w:r>
        <w:rPr>
          <w:rFonts w:eastAsia="Arial" w:cstheme="minorHAnsi"/>
          <w:sz w:val="22"/>
          <w:szCs w:val="22"/>
          <w:lang w:val="en" w:eastAsia="en-GB"/>
        </w:rPr>
        <w:t>used.</w:t>
      </w:r>
      <w:r w:rsidRPr="00601B86">
        <w:rPr>
          <w:rFonts w:eastAsia="Arial" w:cstheme="minorHAnsi"/>
          <w:sz w:val="22"/>
          <w:szCs w:val="22"/>
          <w:lang w:val="en" w:eastAsia="en-GB"/>
        </w:rPr>
        <w:t xml:space="preserve"> </w:t>
      </w:r>
      <w:r w:rsidRPr="00117750">
        <w:rPr>
          <w:rFonts w:eastAsia="Arial" w:cstheme="minorHAnsi"/>
          <w:sz w:val="22"/>
          <w:szCs w:val="22"/>
          <w:lang w:val="en" w:eastAsia="en-GB"/>
        </w:rPr>
        <w:t xml:space="preserve">Definitions are taken from the </w:t>
      </w:r>
      <w:r>
        <w:rPr>
          <w:rFonts w:eastAsia="Arial" w:cstheme="minorHAnsi"/>
          <w:sz w:val="22"/>
          <w:szCs w:val="22"/>
          <w:lang w:val="en" w:eastAsia="en-GB"/>
        </w:rPr>
        <w:t>KDIGO</w:t>
      </w:r>
      <w:r w:rsidRPr="00117750">
        <w:rPr>
          <w:rFonts w:eastAsia="Arial" w:cstheme="minorHAnsi"/>
          <w:sz w:val="22"/>
          <w:szCs w:val="22"/>
          <w:lang w:val="en" w:eastAsia="en-GB"/>
        </w:rPr>
        <w:t xml:space="preserve"> guidelines with minor modifications </w:t>
      </w:r>
      <w:r>
        <w:rPr>
          <w:rFonts w:eastAsia="Arial" w:cstheme="minorHAnsi"/>
          <w:sz w:val="22"/>
          <w:szCs w:val="22"/>
          <w:lang w:val="en" w:eastAsia="en-GB"/>
        </w:rPr>
        <w:t xml:space="preserve">by the GDG </w:t>
      </w:r>
      <w:r w:rsidRPr="00117750">
        <w:rPr>
          <w:rFonts w:eastAsia="Arial" w:cstheme="minorHAnsi"/>
          <w:sz w:val="22"/>
          <w:szCs w:val="22"/>
          <w:lang w:val="en" w:eastAsia="en-GB"/>
        </w:rPr>
        <w:t>for standard UK practice</w:t>
      </w:r>
      <w:r w:rsidR="00A13B72">
        <w:rPr>
          <w:rFonts w:eastAsia="Arial" w:cstheme="minorHAnsi"/>
          <w:sz w:val="22"/>
          <w:szCs w:val="22"/>
          <w:lang w:val="en" w:eastAsia="en-GB"/>
        </w:rPr>
        <w:t xml:space="preserve"> </w:t>
      </w:r>
      <w:r w:rsidR="00A13B72">
        <w:rPr>
          <w:rFonts w:eastAsia="Arial" w:cstheme="minorHAnsi"/>
          <w:sz w:val="22"/>
          <w:szCs w:val="22"/>
          <w:lang w:val="en" w:eastAsia="en-GB"/>
        </w:rPr>
        <w:fldChar w:fldCharType="begin"/>
      </w:r>
      <w:r w:rsidR="00642970">
        <w:rPr>
          <w:rFonts w:eastAsia="Arial" w:cstheme="minorHAnsi"/>
          <w:sz w:val="22"/>
          <w:szCs w:val="22"/>
          <w:lang w:val="en" w:eastAsia="en-GB"/>
        </w:rPr>
        <w:instrText xml:space="preserve"> ADDIN ZOTERO_ITEM CSL_CITATION {"citationID":"LQZjVAnL","properties":{"formattedCitation":"(5)","plainCitation":"(5)","noteIndex":0},"citationItems":[{"id":11,"uris":["http://zotero.org/users/local/lvPLY4Gu/items/PZVAFVT2"],"itemData":{"id":11,"type":"article-journal","container-title":"Kidney International","DOI":"10.1016/j.kint.2021.05.021","ISSN":"1523-1755","issue":"4S","journalAbbreviation":"Kidney Int","language":"eng","note":"PMID: 34556256","page":"S1-S276","source":"PubMed","title":"KDIGO 2021 Clinical Practice Guideline for the Management of Glomerular Diseases","volume":"100","author":[{"literal":"Kidney Disease: Improving Global Outcomes (KDIGO) Glomerular Diseases Work Group"}],"issued":{"date-parts":[["2021",10]]}}}],"schema":"https://github.com/citation-style-language/schema/raw/master/csl-citation.json"} </w:instrText>
      </w:r>
      <w:r w:rsidR="00A13B72">
        <w:rPr>
          <w:rFonts w:eastAsia="Arial" w:cstheme="minorHAnsi"/>
          <w:sz w:val="22"/>
          <w:szCs w:val="22"/>
          <w:lang w:val="en" w:eastAsia="en-GB"/>
        </w:rPr>
        <w:fldChar w:fldCharType="separate"/>
      </w:r>
      <w:r w:rsidR="00642970">
        <w:rPr>
          <w:rFonts w:eastAsia="Arial" w:cstheme="minorHAnsi"/>
          <w:noProof/>
          <w:sz w:val="22"/>
          <w:szCs w:val="22"/>
          <w:lang w:val="en" w:eastAsia="en-GB"/>
        </w:rPr>
        <w:t>(5)</w:t>
      </w:r>
      <w:r w:rsidR="00A13B72">
        <w:rPr>
          <w:rFonts w:eastAsia="Arial" w:cstheme="minorHAnsi"/>
          <w:sz w:val="22"/>
          <w:szCs w:val="22"/>
          <w:lang w:val="en" w:eastAsia="en-GB"/>
        </w:rPr>
        <w:fldChar w:fldCharType="end"/>
      </w:r>
      <w:r w:rsidRPr="00117750">
        <w:rPr>
          <w:rFonts w:eastAsia="Arial" w:cstheme="minorHAnsi"/>
          <w:sz w:val="22"/>
          <w:szCs w:val="22"/>
          <w:lang w:val="en" w:eastAsia="en-GB"/>
        </w:rPr>
        <w:t xml:space="preserve">.  </w:t>
      </w:r>
    </w:p>
    <w:tbl>
      <w:tblPr>
        <w:tblStyle w:val="TableGrid"/>
        <w:tblW w:w="10485" w:type="dxa"/>
        <w:tblLook w:val="04A0" w:firstRow="1" w:lastRow="0" w:firstColumn="1" w:lastColumn="0" w:noHBand="0" w:noVBand="1"/>
      </w:tblPr>
      <w:tblGrid>
        <w:gridCol w:w="846"/>
        <w:gridCol w:w="9639"/>
      </w:tblGrid>
      <w:tr w:rsidR="00837E18" w14:paraId="21E05B20" w14:textId="77777777" w:rsidTr="00C00DD6">
        <w:tc>
          <w:tcPr>
            <w:tcW w:w="10485" w:type="dxa"/>
            <w:gridSpan w:val="2"/>
          </w:tcPr>
          <w:p w14:paraId="561FED53" w14:textId="77777777" w:rsidR="00601B86" w:rsidRPr="00C00DD6" w:rsidRDefault="001630D4" w:rsidP="003F494F">
            <w:pPr>
              <w:spacing w:before="240" w:line="360" w:lineRule="auto"/>
              <w:rPr>
                <w:rFonts w:eastAsia="Arial" w:cstheme="minorHAnsi"/>
                <w:b/>
                <w:sz w:val="22"/>
                <w:szCs w:val="22"/>
                <w:lang w:val="en" w:eastAsia="en-GB"/>
              </w:rPr>
            </w:pPr>
            <w:r w:rsidRPr="00C00DD6">
              <w:rPr>
                <w:rFonts w:eastAsia="Arial" w:cstheme="minorHAnsi"/>
                <w:b/>
                <w:sz w:val="22"/>
                <w:szCs w:val="22"/>
                <w:lang w:val="en" w:eastAsia="en-GB"/>
              </w:rPr>
              <w:t xml:space="preserve">Diagnosis </w:t>
            </w:r>
          </w:p>
        </w:tc>
      </w:tr>
      <w:tr w:rsidR="00837E18" w14:paraId="71F2B545" w14:textId="77777777" w:rsidTr="00C00DD6">
        <w:tc>
          <w:tcPr>
            <w:tcW w:w="846" w:type="dxa"/>
          </w:tcPr>
          <w:p w14:paraId="3714A986" w14:textId="77777777" w:rsidR="00601B86" w:rsidRPr="00C00DD6" w:rsidRDefault="001630D4" w:rsidP="003F494F">
            <w:pPr>
              <w:spacing w:before="240" w:line="360" w:lineRule="auto"/>
              <w:jc w:val="center"/>
              <w:rPr>
                <w:rFonts w:eastAsia="Arial" w:cstheme="minorHAnsi"/>
                <w:sz w:val="22"/>
                <w:szCs w:val="22"/>
                <w:lang w:val="en" w:eastAsia="en-GB"/>
              </w:rPr>
            </w:pPr>
            <w:r w:rsidRPr="00C00DD6">
              <w:rPr>
                <w:rFonts w:eastAsia="Arial" w:cstheme="minorHAnsi"/>
                <w:sz w:val="22"/>
                <w:szCs w:val="22"/>
                <w:lang w:val="en" w:eastAsia="en-GB"/>
              </w:rPr>
              <w:t>a</w:t>
            </w:r>
          </w:p>
        </w:tc>
        <w:tc>
          <w:tcPr>
            <w:tcW w:w="9639" w:type="dxa"/>
          </w:tcPr>
          <w:p w14:paraId="2EB85DC9" w14:textId="37087C64" w:rsidR="00601B86" w:rsidRPr="00D20CBA" w:rsidRDefault="001630D4" w:rsidP="003F494F">
            <w:pPr>
              <w:pStyle w:val="NormalWeb"/>
              <w:spacing w:before="0" w:beforeAutospacing="0" w:after="0" w:afterAutospacing="0" w:line="360" w:lineRule="auto"/>
              <w:rPr>
                <w:rFonts w:asciiTheme="minorHAnsi" w:eastAsiaTheme="minorEastAsia" w:hAnsiTheme="minorHAnsi" w:cstheme="minorHAnsi"/>
                <w:i/>
                <w:iCs/>
                <w:color w:val="000000" w:themeColor="text1"/>
                <w:kern w:val="24"/>
                <w:sz w:val="22"/>
                <w:szCs w:val="22"/>
              </w:rPr>
            </w:pPr>
            <w:r>
              <w:rPr>
                <w:rFonts w:asciiTheme="minorHAnsi" w:eastAsiaTheme="minorEastAsia" w:hAnsiTheme="minorHAnsi" w:cstheme="minorHAnsi"/>
                <w:color w:val="000000" w:themeColor="text1"/>
                <w:kern w:val="24"/>
                <w:sz w:val="22"/>
                <w:szCs w:val="22"/>
              </w:rPr>
              <w:t>The diagnosis of MN is based on the h</w:t>
            </w:r>
            <w:r w:rsidRPr="00C00DD6">
              <w:rPr>
                <w:rFonts w:asciiTheme="minorHAnsi" w:eastAsiaTheme="minorEastAsia" w:hAnsiTheme="minorHAnsi" w:cstheme="minorHAnsi"/>
                <w:color w:val="000000" w:themeColor="text1"/>
                <w:kern w:val="24"/>
                <w:sz w:val="22"/>
                <w:szCs w:val="22"/>
              </w:rPr>
              <w:t>istological description in the absence of any secondary causes (SLE, chronic hepatitis B infection, rarely neoplasia)</w:t>
            </w:r>
          </w:p>
        </w:tc>
      </w:tr>
      <w:tr w:rsidR="00837E18" w14:paraId="259E42D6" w14:textId="77777777" w:rsidTr="00C00DD6">
        <w:tc>
          <w:tcPr>
            <w:tcW w:w="846" w:type="dxa"/>
          </w:tcPr>
          <w:p w14:paraId="0720FC53" w14:textId="77777777" w:rsidR="00601B86" w:rsidRPr="00C00DD6" w:rsidRDefault="001630D4" w:rsidP="003F494F">
            <w:pPr>
              <w:spacing w:before="240" w:line="360" w:lineRule="auto"/>
              <w:jc w:val="center"/>
              <w:rPr>
                <w:rFonts w:eastAsia="Arial" w:cstheme="minorHAnsi"/>
                <w:sz w:val="22"/>
                <w:szCs w:val="22"/>
                <w:lang w:val="en" w:eastAsia="en-GB"/>
              </w:rPr>
            </w:pPr>
            <w:r w:rsidRPr="00C00DD6">
              <w:rPr>
                <w:rFonts w:eastAsia="Arial" w:cstheme="minorHAnsi"/>
                <w:sz w:val="22"/>
                <w:szCs w:val="22"/>
                <w:lang w:val="en" w:eastAsia="en-GB"/>
              </w:rPr>
              <w:lastRenderedPageBreak/>
              <w:t>b</w:t>
            </w:r>
          </w:p>
        </w:tc>
        <w:tc>
          <w:tcPr>
            <w:tcW w:w="9639" w:type="dxa"/>
          </w:tcPr>
          <w:p w14:paraId="177CB0FB" w14:textId="047471B6" w:rsidR="00601B86" w:rsidRPr="00D20CBA" w:rsidRDefault="001630D4" w:rsidP="003F494F">
            <w:pPr>
              <w:pStyle w:val="NormalWeb"/>
              <w:spacing w:before="0" w:beforeAutospacing="0" w:after="0" w:afterAutospacing="0" w:line="360" w:lineRule="auto"/>
              <w:rPr>
                <w:rFonts w:asciiTheme="minorHAnsi" w:eastAsiaTheme="minorEastAsia" w:hAnsiTheme="minorHAnsi" w:cstheme="minorHAnsi"/>
                <w:color w:val="000000" w:themeColor="text1"/>
                <w:kern w:val="24"/>
                <w:sz w:val="22"/>
                <w:szCs w:val="22"/>
              </w:rPr>
            </w:pPr>
            <w:r>
              <w:rPr>
                <w:rFonts w:asciiTheme="minorHAnsi" w:eastAsiaTheme="minorEastAsia" w:hAnsiTheme="minorHAnsi" w:cstheme="minorHAnsi"/>
                <w:color w:val="000000" w:themeColor="text1"/>
                <w:kern w:val="24"/>
                <w:sz w:val="22"/>
                <w:szCs w:val="22"/>
              </w:rPr>
              <w:t xml:space="preserve">The diagnosis of </w:t>
            </w:r>
            <w:r w:rsidRPr="00D51325">
              <w:rPr>
                <w:rFonts w:asciiTheme="minorHAnsi" w:eastAsiaTheme="minorEastAsia" w:hAnsiTheme="minorHAnsi" w:cstheme="minorHAnsi"/>
                <w:color w:val="000000" w:themeColor="text1"/>
                <w:kern w:val="24"/>
                <w:sz w:val="22"/>
                <w:szCs w:val="22"/>
              </w:rPr>
              <w:t xml:space="preserve">MN relies on the finding of positive antibodies </w:t>
            </w:r>
            <w:r w:rsidR="00D51325" w:rsidRPr="00D51325">
              <w:rPr>
                <w:rFonts w:asciiTheme="minorHAnsi" w:eastAsiaTheme="minorEastAsia" w:hAnsiTheme="minorHAnsi" w:cstheme="minorHAnsi"/>
                <w:color w:val="000000" w:themeColor="text1"/>
                <w:kern w:val="24"/>
                <w:sz w:val="22"/>
                <w:szCs w:val="22"/>
              </w:rPr>
              <w:t>(</w:t>
            </w:r>
            <w:r w:rsidR="00660A81">
              <w:rPr>
                <w:rFonts w:asciiTheme="minorHAnsi" w:eastAsiaTheme="minorEastAsia" w:hAnsiTheme="minorHAnsi" w:cstheme="minorHAnsi"/>
                <w:color w:val="000000" w:themeColor="text1"/>
                <w:kern w:val="24"/>
                <w:sz w:val="22"/>
                <w:szCs w:val="22"/>
              </w:rPr>
              <w:t xml:space="preserve">with current panels including </w:t>
            </w:r>
            <w:r w:rsidR="00D51325" w:rsidRPr="003F494F">
              <w:rPr>
                <w:rFonts w:asciiTheme="minorHAnsi" w:hAnsiTheme="minorHAnsi" w:cstheme="minorHAnsi"/>
                <w:color w:val="2F2E2E"/>
                <w:sz w:val="22"/>
                <w:szCs w:val="22"/>
              </w:rPr>
              <w:t xml:space="preserve">phospholipase A2 receptor antibody (PLA2R) and thrombospondin type 1 domain-containing protein 7A (THSD7A)) </w:t>
            </w:r>
            <w:r w:rsidRPr="00D51325">
              <w:rPr>
                <w:rFonts w:asciiTheme="minorHAnsi" w:eastAsiaTheme="minorEastAsia" w:hAnsiTheme="minorHAnsi" w:cstheme="minorHAnsi"/>
                <w:color w:val="000000" w:themeColor="text1"/>
                <w:kern w:val="24"/>
                <w:sz w:val="22"/>
                <w:szCs w:val="22"/>
              </w:rPr>
              <w:t>or characteristic</w:t>
            </w:r>
            <w:r>
              <w:rPr>
                <w:rFonts w:asciiTheme="minorHAnsi" w:eastAsiaTheme="minorEastAsia" w:hAnsiTheme="minorHAnsi" w:cstheme="minorHAnsi"/>
                <w:color w:val="000000" w:themeColor="text1"/>
                <w:kern w:val="24"/>
                <w:sz w:val="22"/>
                <w:szCs w:val="22"/>
              </w:rPr>
              <w:t xml:space="preserve"> histolog</w:t>
            </w:r>
            <w:r w:rsidR="00D0665F">
              <w:rPr>
                <w:rFonts w:asciiTheme="minorHAnsi" w:eastAsiaTheme="minorEastAsia" w:hAnsiTheme="minorHAnsi" w:cstheme="minorHAnsi"/>
                <w:color w:val="000000" w:themeColor="text1"/>
                <w:kern w:val="24"/>
                <w:sz w:val="22"/>
                <w:szCs w:val="22"/>
              </w:rPr>
              <w:t>ical</w:t>
            </w:r>
            <w:r>
              <w:rPr>
                <w:rFonts w:asciiTheme="minorHAnsi" w:eastAsiaTheme="minorEastAsia" w:hAnsiTheme="minorHAnsi" w:cstheme="minorHAnsi"/>
                <w:color w:val="000000" w:themeColor="text1"/>
                <w:kern w:val="24"/>
                <w:sz w:val="22"/>
                <w:szCs w:val="22"/>
              </w:rPr>
              <w:t xml:space="preserve"> features</w:t>
            </w:r>
            <w:r w:rsidR="00D0665F">
              <w:rPr>
                <w:rFonts w:asciiTheme="minorHAnsi" w:eastAsiaTheme="minorEastAsia" w:hAnsiTheme="minorHAnsi" w:cstheme="minorHAnsi"/>
                <w:color w:val="000000" w:themeColor="text1"/>
                <w:kern w:val="24"/>
                <w:sz w:val="22"/>
                <w:szCs w:val="22"/>
              </w:rPr>
              <w:t>.</w:t>
            </w:r>
            <w:r w:rsidRPr="00C00DD6">
              <w:rPr>
                <w:rFonts w:asciiTheme="minorHAnsi" w:eastAsiaTheme="minorEastAsia" w:hAnsiTheme="minorHAnsi" w:cstheme="minorHAnsi"/>
                <w:color w:val="000000" w:themeColor="text1"/>
                <w:kern w:val="24"/>
                <w:sz w:val="22"/>
                <w:szCs w:val="22"/>
              </w:rPr>
              <w:t xml:space="preserve"> </w:t>
            </w:r>
          </w:p>
        </w:tc>
      </w:tr>
      <w:tr w:rsidR="00837E18" w14:paraId="4BB89CC8" w14:textId="77777777" w:rsidTr="00C00DD6">
        <w:tc>
          <w:tcPr>
            <w:tcW w:w="846" w:type="dxa"/>
          </w:tcPr>
          <w:p w14:paraId="4376C151" w14:textId="77777777" w:rsidR="00601B86" w:rsidRPr="00C00DD6" w:rsidRDefault="001630D4" w:rsidP="003F494F">
            <w:pPr>
              <w:spacing w:before="240" w:line="360" w:lineRule="auto"/>
              <w:jc w:val="center"/>
              <w:rPr>
                <w:rFonts w:eastAsia="Arial" w:cstheme="minorHAnsi"/>
                <w:sz w:val="22"/>
                <w:szCs w:val="22"/>
                <w:lang w:val="en" w:eastAsia="en-GB"/>
              </w:rPr>
            </w:pPr>
            <w:r w:rsidRPr="00C00DD6">
              <w:rPr>
                <w:rFonts w:eastAsia="Arial" w:cstheme="minorHAnsi"/>
                <w:sz w:val="22"/>
                <w:szCs w:val="22"/>
                <w:lang w:val="en" w:eastAsia="en-GB"/>
              </w:rPr>
              <w:t>c</w:t>
            </w:r>
          </w:p>
        </w:tc>
        <w:tc>
          <w:tcPr>
            <w:tcW w:w="9639" w:type="dxa"/>
          </w:tcPr>
          <w:p w14:paraId="3DE31565" w14:textId="5390ED84" w:rsidR="00601B86" w:rsidRPr="00D20CBA" w:rsidRDefault="001630D4" w:rsidP="003F494F">
            <w:pPr>
              <w:pStyle w:val="NormalWeb"/>
              <w:spacing w:before="0" w:beforeAutospacing="0" w:after="0" w:afterAutospacing="0" w:line="360" w:lineRule="auto"/>
              <w:rPr>
                <w:rFonts w:asciiTheme="minorHAnsi" w:eastAsiaTheme="minorEastAsia" w:hAnsiTheme="minorHAnsi" w:cstheme="minorHAnsi"/>
                <w:color w:val="000000" w:themeColor="text1"/>
                <w:kern w:val="24"/>
                <w:sz w:val="22"/>
                <w:szCs w:val="22"/>
              </w:rPr>
            </w:pPr>
            <w:r>
              <w:rPr>
                <w:rFonts w:asciiTheme="minorHAnsi" w:eastAsiaTheme="minorEastAsia" w:hAnsiTheme="minorHAnsi" w:cstheme="minorHAnsi"/>
                <w:color w:val="000000" w:themeColor="text1"/>
                <w:kern w:val="24"/>
                <w:sz w:val="22"/>
                <w:szCs w:val="22"/>
              </w:rPr>
              <w:t xml:space="preserve">When a diagnosis of MN is suspected or proven, all patients should have antibody testing performed to reveal markers that may inform disease monitoring and treatment. </w:t>
            </w:r>
          </w:p>
        </w:tc>
      </w:tr>
      <w:tr w:rsidR="00837E18" w14:paraId="0E1C69E2" w14:textId="77777777" w:rsidTr="00C00DD6">
        <w:tc>
          <w:tcPr>
            <w:tcW w:w="846" w:type="dxa"/>
          </w:tcPr>
          <w:p w14:paraId="6386B6D7" w14:textId="55877715" w:rsidR="00DD7911" w:rsidRPr="00C00DD6" w:rsidRDefault="003F494F" w:rsidP="003F494F">
            <w:pPr>
              <w:spacing w:before="240" w:line="360" w:lineRule="auto"/>
              <w:jc w:val="center"/>
              <w:rPr>
                <w:rFonts w:eastAsia="Arial" w:cstheme="minorHAnsi"/>
                <w:sz w:val="22"/>
                <w:szCs w:val="22"/>
                <w:lang w:val="en" w:eastAsia="en-GB"/>
              </w:rPr>
            </w:pPr>
            <w:r>
              <w:rPr>
                <w:rFonts w:eastAsia="Arial" w:cstheme="minorHAnsi"/>
                <w:sz w:val="22"/>
                <w:szCs w:val="22"/>
                <w:lang w:val="en" w:eastAsia="en-GB"/>
              </w:rPr>
              <w:t>d</w:t>
            </w:r>
          </w:p>
        </w:tc>
        <w:tc>
          <w:tcPr>
            <w:tcW w:w="9639" w:type="dxa"/>
          </w:tcPr>
          <w:p w14:paraId="42212F32" w14:textId="516B89BB" w:rsidR="00DD7911" w:rsidRDefault="001630D4" w:rsidP="003F494F">
            <w:pPr>
              <w:pStyle w:val="NormalWeb"/>
              <w:spacing w:before="0" w:beforeAutospacing="0" w:after="0" w:afterAutospacing="0" w:line="360" w:lineRule="auto"/>
              <w:rPr>
                <w:rFonts w:asciiTheme="minorHAnsi" w:eastAsiaTheme="minorEastAsia" w:hAnsiTheme="minorHAnsi" w:cstheme="minorHAnsi"/>
                <w:color w:val="000000" w:themeColor="text1"/>
                <w:kern w:val="24"/>
                <w:sz w:val="22"/>
                <w:szCs w:val="22"/>
              </w:rPr>
            </w:pPr>
            <w:r>
              <w:rPr>
                <w:rFonts w:asciiTheme="minorHAnsi" w:eastAsiaTheme="minorEastAsia" w:hAnsiTheme="minorHAnsi" w:cstheme="minorHAnsi"/>
                <w:color w:val="000000" w:themeColor="text1"/>
                <w:kern w:val="24"/>
                <w:sz w:val="22"/>
                <w:szCs w:val="22"/>
              </w:rPr>
              <w:t xml:space="preserve">In antibody positive disease, these markers should be performed every 3-6 months to guide treatment. </w:t>
            </w:r>
          </w:p>
        </w:tc>
      </w:tr>
      <w:tr w:rsidR="00837E18" w14:paraId="21F76D3B" w14:textId="77777777" w:rsidTr="00C00DD6">
        <w:tc>
          <w:tcPr>
            <w:tcW w:w="846" w:type="dxa"/>
          </w:tcPr>
          <w:p w14:paraId="04637D60" w14:textId="37273D0B" w:rsidR="00601B86" w:rsidRPr="00C00DD6" w:rsidRDefault="001630D4" w:rsidP="003F494F">
            <w:pPr>
              <w:spacing w:before="240" w:line="360" w:lineRule="auto"/>
              <w:jc w:val="center"/>
              <w:rPr>
                <w:rFonts w:eastAsia="Arial" w:cstheme="minorHAnsi"/>
                <w:sz w:val="22"/>
                <w:szCs w:val="22"/>
                <w:lang w:val="en" w:eastAsia="en-GB"/>
              </w:rPr>
            </w:pPr>
            <w:r>
              <w:rPr>
                <w:rFonts w:eastAsia="Arial" w:cstheme="minorHAnsi"/>
                <w:sz w:val="22"/>
                <w:szCs w:val="22"/>
                <w:lang w:val="en" w:eastAsia="en-GB"/>
              </w:rPr>
              <w:t>e</w:t>
            </w:r>
          </w:p>
        </w:tc>
        <w:tc>
          <w:tcPr>
            <w:tcW w:w="9639" w:type="dxa"/>
          </w:tcPr>
          <w:p w14:paraId="0013178C" w14:textId="2D317896" w:rsidR="00D20CBA" w:rsidRDefault="001630D4" w:rsidP="003F494F">
            <w:pPr>
              <w:spacing w:before="240" w:line="360" w:lineRule="auto"/>
              <w:rPr>
                <w:rFonts w:eastAsiaTheme="minorEastAsia" w:cstheme="minorHAnsi"/>
                <w:color w:val="000000" w:themeColor="text1"/>
                <w:kern w:val="24"/>
                <w:sz w:val="22"/>
                <w:szCs w:val="22"/>
              </w:rPr>
            </w:pPr>
            <w:r w:rsidRPr="00C00DD6">
              <w:rPr>
                <w:rFonts w:cstheme="minorHAnsi"/>
                <w:sz w:val="22"/>
                <w:szCs w:val="22"/>
              </w:rPr>
              <w:t xml:space="preserve">For children who have not received any treatment prior to </w:t>
            </w:r>
            <w:r>
              <w:rPr>
                <w:rFonts w:cstheme="minorHAnsi"/>
                <w:sz w:val="22"/>
                <w:szCs w:val="22"/>
              </w:rPr>
              <w:t xml:space="preserve">the kidney </w:t>
            </w:r>
            <w:r w:rsidRPr="00C00DD6">
              <w:rPr>
                <w:rFonts w:cstheme="minorHAnsi"/>
                <w:sz w:val="22"/>
                <w:szCs w:val="22"/>
              </w:rPr>
              <w:t xml:space="preserve">biopsy, we recommend stratifying patients into low- vs </w:t>
            </w:r>
            <w:r w:rsidR="00660A81">
              <w:rPr>
                <w:rFonts w:cstheme="minorHAnsi"/>
                <w:sz w:val="22"/>
                <w:szCs w:val="22"/>
              </w:rPr>
              <w:t>medium/</w:t>
            </w:r>
            <w:r w:rsidRPr="00C00DD6">
              <w:rPr>
                <w:rFonts w:cstheme="minorHAnsi"/>
                <w:sz w:val="22"/>
                <w:szCs w:val="22"/>
              </w:rPr>
              <w:t>high-risk</w:t>
            </w:r>
            <w:r>
              <w:rPr>
                <w:rFonts w:cstheme="minorHAnsi"/>
                <w:sz w:val="22"/>
                <w:szCs w:val="22"/>
              </w:rPr>
              <w:t>.</w:t>
            </w:r>
            <w:r w:rsidRPr="00C00DD6">
              <w:rPr>
                <w:rFonts w:eastAsiaTheme="minorEastAsia" w:cstheme="minorHAnsi"/>
                <w:color w:val="000000" w:themeColor="text1"/>
                <w:kern w:val="24"/>
                <w:sz w:val="22"/>
                <w:szCs w:val="22"/>
              </w:rPr>
              <w:t xml:space="preserve"> </w:t>
            </w:r>
          </w:p>
          <w:p w14:paraId="12EBAB23" w14:textId="163D0DC3" w:rsidR="00D20CBA" w:rsidRPr="00D20CBA" w:rsidRDefault="001630D4" w:rsidP="003F494F">
            <w:pPr>
              <w:pStyle w:val="ListParagraph"/>
              <w:numPr>
                <w:ilvl w:val="0"/>
                <w:numId w:val="32"/>
              </w:numPr>
              <w:spacing w:before="240" w:line="360" w:lineRule="auto"/>
              <w:rPr>
                <w:rFonts w:eastAsia="Arial" w:cstheme="minorHAnsi"/>
                <w:sz w:val="22"/>
                <w:szCs w:val="22"/>
                <w:lang w:val="en" w:eastAsia="en-GB"/>
              </w:rPr>
            </w:pPr>
            <w:r w:rsidRPr="00D20CBA">
              <w:rPr>
                <w:rFonts w:eastAsiaTheme="minorEastAsia" w:cstheme="minorHAnsi"/>
                <w:color w:val="000000" w:themeColor="text1"/>
                <w:kern w:val="24"/>
                <w:sz w:val="22"/>
                <w:szCs w:val="22"/>
              </w:rPr>
              <w:t xml:space="preserve">Low risk: proteinuria &lt;200mg/mmol over 3 months or nephrotic range proteinuria </w:t>
            </w:r>
            <w:r>
              <w:rPr>
                <w:rFonts w:eastAsiaTheme="minorEastAsia" w:cstheme="minorHAnsi"/>
                <w:color w:val="000000" w:themeColor="text1"/>
                <w:kern w:val="24"/>
                <w:sz w:val="22"/>
                <w:szCs w:val="22"/>
              </w:rPr>
              <w:t xml:space="preserve">that has </w:t>
            </w:r>
            <w:r w:rsidR="006963F4">
              <w:rPr>
                <w:rFonts w:eastAsiaTheme="minorEastAsia" w:cstheme="minorHAnsi"/>
                <w:color w:val="000000" w:themeColor="text1"/>
                <w:kern w:val="24"/>
                <w:sz w:val="22"/>
                <w:szCs w:val="22"/>
              </w:rPr>
              <w:t xml:space="preserve">already </w:t>
            </w:r>
            <w:r w:rsidRPr="00D20CBA">
              <w:rPr>
                <w:rFonts w:eastAsiaTheme="minorEastAsia" w:cstheme="minorHAnsi"/>
                <w:color w:val="000000" w:themeColor="text1"/>
                <w:kern w:val="24"/>
                <w:sz w:val="22"/>
                <w:szCs w:val="22"/>
              </w:rPr>
              <w:t>reduc</w:t>
            </w:r>
            <w:r>
              <w:rPr>
                <w:rFonts w:eastAsiaTheme="minorEastAsia" w:cstheme="minorHAnsi"/>
                <w:color w:val="000000" w:themeColor="text1"/>
                <w:kern w:val="24"/>
                <w:sz w:val="22"/>
                <w:szCs w:val="22"/>
              </w:rPr>
              <w:t>ed</w:t>
            </w:r>
            <w:r w:rsidRPr="00D20CBA">
              <w:rPr>
                <w:rFonts w:eastAsiaTheme="minorEastAsia" w:cstheme="minorHAnsi"/>
                <w:color w:val="000000" w:themeColor="text1"/>
                <w:kern w:val="24"/>
                <w:sz w:val="22"/>
                <w:szCs w:val="22"/>
              </w:rPr>
              <w:t xml:space="preserve"> by 50%</w:t>
            </w:r>
            <w:r w:rsidR="00660A81">
              <w:rPr>
                <w:rFonts w:eastAsiaTheme="minorEastAsia" w:cstheme="minorHAnsi"/>
                <w:color w:val="000000" w:themeColor="text1"/>
                <w:kern w:val="24"/>
                <w:sz w:val="22"/>
                <w:szCs w:val="22"/>
              </w:rPr>
              <w:t xml:space="preserve"> and a normal eGFR</w:t>
            </w:r>
            <w:r w:rsidR="00D0665F">
              <w:rPr>
                <w:rFonts w:eastAsiaTheme="minorEastAsia" w:cstheme="minorHAnsi"/>
                <w:color w:val="000000" w:themeColor="text1"/>
                <w:kern w:val="24"/>
                <w:sz w:val="22"/>
                <w:szCs w:val="22"/>
              </w:rPr>
              <w:t>.</w:t>
            </w:r>
            <w:r w:rsidRPr="00C00DD6">
              <w:rPr>
                <w:rFonts w:cstheme="minorHAnsi"/>
                <w:sz w:val="22"/>
                <w:szCs w:val="22"/>
              </w:rPr>
              <w:t xml:space="preserve"> </w:t>
            </w:r>
          </w:p>
          <w:p w14:paraId="77CD81BF" w14:textId="5CC76EBD" w:rsidR="00601B86" w:rsidRPr="00D20CBA" w:rsidRDefault="001630D4" w:rsidP="003F494F">
            <w:pPr>
              <w:pStyle w:val="ListParagraph"/>
              <w:numPr>
                <w:ilvl w:val="0"/>
                <w:numId w:val="32"/>
              </w:numPr>
              <w:spacing w:before="240" w:line="360" w:lineRule="auto"/>
              <w:rPr>
                <w:rFonts w:eastAsia="Arial" w:cstheme="minorHAnsi"/>
                <w:sz w:val="22"/>
                <w:szCs w:val="22"/>
                <w:lang w:val="en" w:eastAsia="en-GB"/>
              </w:rPr>
            </w:pPr>
            <w:r w:rsidRPr="00C00DD6">
              <w:rPr>
                <w:rFonts w:cstheme="minorHAnsi"/>
                <w:sz w:val="22"/>
                <w:szCs w:val="22"/>
              </w:rPr>
              <w:t xml:space="preserve">Moderate- to high-risk: Reduced </w:t>
            </w:r>
            <w:r>
              <w:rPr>
                <w:rFonts w:cstheme="minorHAnsi"/>
                <w:sz w:val="22"/>
                <w:szCs w:val="22"/>
              </w:rPr>
              <w:t>e</w:t>
            </w:r>
            <w:r w:rsidRPr="00C00DD6">
              <w:rPr>
                <w:rFonts w:cstheme="minorHAnsi"/>
                <w:sz w:val="22"/>
                <w:szCs w:val="22"/>
              </w:rPr>
              <w:t xml:space="preserve">GFR, nephrotic range proteinuria </w:t>
            </w:r>
            <w:r>
              <w:rPr>
                <w:rFonts w:cstheme="minorHAnsi"/>
                <w:sz w:val="22"/>
                <w:szCs w:val="22"/>
              </w:rPr>
              <w:t xml:space="preserve">that has </w:t>
            </w:r>
            <w:r w:rsidRPr="00C00DD6">
              <w:rPr>
                <w:rFonts w:cstheme="minorHAnsi"/>
                <w:sz w:val="22"/>
                <w:szCs w:val="22"/>
              </w:rPr>
              <w:t>not</w:t>
            </w:r>
            <w:r w:rsidR="006963F4">
              <w:rPr>
                <w:rFonts w:cstheme="minorHAnsi"/>
                <w:sz w:val="22"/>
                <w:szCs w:val="22"/>
              </w:rPr>
              <w:t xml:space="preserve"> </w:t>
            </w:r>
            <w:r>
              <w:rPr>
                <w:rFonts w:cstheme="minorHAnsi"/>
                <w:sz w:val="22"/>
                <w:szCs w:val="22"/>
              </w:rPr>
              <w:t>improved</w:t>
            </w:r>
            <w:r w:rsidR="00D0665F">
              <w:rPr>
                <w:rFonts w:cstheme="minorHAnsi"/>
                <w:sz w:val="22"/>
                <w:szCs w:val="22"/>
              </w:rPr>
              <w:t>.</w:t>
            </w:r>
          </w:p>
        </w:tc>
      </w:tr>
    </w:tbl>
    <w:p w14:paraId="5DA67694" w14:textId="77777777" w:rsidR="00601B86" w:rsidRPr="00C00DD6" w:rsidRDefault="00601B86" w:rsidP="003F494F">
      <w:pPr>
        <w:spacing w:line="360" w:lineRule="auto"/>
        <w:rPr>
          <w:rFonts w:eastAsiaTheme="minorEastAsia" w:cstheme="minorHAnsi"/>
          <w:b/>
          <w:bCs/>
          <w:color w:val="000000" w:themeColor="text1"/>
          <w:kern w:val="24"/>
          <w:sz w:val="22"/>
          <w:szCs w:val="22"/>
          <w:lang w:val="en-US"/>
        </w:rPr>
      </w:pPr>
    </w:p>
    <w:p w14:paraId="7F74B2C7" w14:textId="33994EED" w:rsidR="0006457A" w:rsidRPr="00C00DD6" w:rsidRDefault="001630D4" w:rsidP="003F494F">
      <w:pPr>
        <w:pStyle w:val="NormalWeb"/>
        <w:spacing w:before="0" w:beforeAutospacing="0" w:after="0" w:afterAutospacing="0" w:line="360" w:lineRule="auto"/>
        <w:rPr>
          <w:rFonts w:asciiTheme="minorHAnsi" w:hAnsiTheme="minorHAnsi" w:cstheme="minorHAnsi"/>
          <w:b/>
          <w:bCs/>
          <w:sz w:val="22"/>
          <w:szCs w:val="22"/>
          <w:lang w:val="en"/>
        </w:rPr>
      </w:pPr>
      <w:r w:rsidRPr="00C00DD6">
        <w:rPr>
          <w:rFonts w:asciiTheme="minorHAnsi" w:hAnsiTheme="minorHAnsi" w:cstheme="minorHAnsi"/>
          <w:b/>
          <w:bCs/>
          <w:sz w:val="22"/>
          <w:szCs w:val="22"/>
          <w:lang w:val="en"/>
        </w:rPr>
        <w:t xml:space="preserve">Management of membranous nephropathy </w:t>
      </w:r>
    </w:p>
    <w:p w14:paraId="0D70B0C5" w14:textId="77777777" w:rsidR="003D5CF4" w:rsidRPr="00C00DD6" w:rsidRDefault="003D5CF4" w:rsidP="003F494F">
      <w:pPr>
        <w:pStyle w:val="NormalWeb"/>
        <w:spacing w:before="0" w:beforeAutospacing="0" w:after="0" w:afterAutospacing="0" w:line="360" w:lineRule="auto"/>
        <w:rPr>
          <w:rFonts w:asciiTheme="minorHAnsi" w:eastAsiaTheme="minorEastAsia" w:hAnsiTheme="minorHAnsi" w:cstheme="minorHAnsi"/>
          <w:color w:val="000000" w:themeColor="text1"/>
          <w:kern w:val="24"/>
          <w:sz w:val="22"/>
          <w:szCs w:val="22"/>
          <w:lang w:val="en-US"/>
        </w:rPr>
      </w:pPr>
    </w:p>
    <w:tbl>
      <w:tblPr>
        <w:tblStyle w:val="TableGrid"/>
        <w:tblW w:w="10490" w:type="dxa"/>
        <w:tblInd w:w="-5" w:type="dxa"/>
        <w:tblLook w:val="04A0" w:firstRow="1" w:lastRow="0" w:firstColumn="1" w:lastColumn="0" w:noHBand="0" w:noVBand="1"/>
      </w:tblPr>
      <w:tblGrid>
        <w:gridCol w:w="1034"/>
        <w:gridCol w:w="7613"/>
        <w:gridCol w:w="1843"/>
      </w:tblGrid>
      <w:tr w:rsidR="00837E18" w14:paraId="1FBCCA16" w14:textId="77777777" w:rsidTr="00C00DD6">
        <w:tc>
          <w:tcPr>
            <w:tcW w:w="1034" w:type="dxa"/>
          </w:tcPr>
          <w:p w14:paraId="3AFB723B" w14:textId="77777777" w:rsidR="0006457A" w:rsidRPr="00C00DD6" w:rsidRDefault="001630D4" w:rsidP="003F494F">
            <w:pPr>
              <w:spacing w:line="360" w:lineRule="auto"/>
              <w:jc w:val="center"/>
              <w:rPr>
                <w:rFonts w:cstheme="minorHAnsi"/>
                <w:b/>
                <w:sz w:val="22"/>
                <w:szCs w:val="22"/>
              </w:rPr>
            </w:pPr>
            <w:r w:rsidRPr="00C00DD6">
              <w:rPr>
                <w:rFonts w:cstheme="minorHAnsi"/>
                <w:b/>
                <w:sz w:val="22"/>
                <w:szCs w:val="22"/>
              </w:rPr>
              <w:t>Number</w:t>
            </w:r>
          </w:p>
        </w:tc>
        <w:tc>
          <w:tcPr>
            <w:tcW w:w="7613" w:type="dxa"/>
          </w:tcPr>
          <w:p w14:paraId="5B5A17AD" w14:textId="77777777" w:rsidR="0006457A" w:rsidRPr="00C00DD6" w:rsidRDefault="001630D4" w:rsidP="003F494F">
            <w:pPr>
              <w:spacing w:line="360" w:lineRule="auto"/>
              <w:rPr>
                <w:rFonts w:cstheme="minorHAnsi"/>
                <w:b/>
                <w:sz w:val="22"/>
                <w:szCs w:val="22"/>
              </w:rPr>
            </w:pPr>
            <w:r w:rsidRPr="00C00DD6">
              <w:rPr>
                <w:rFonts w:cstheme="minorHAnsi"/>
                <w:b/>
                <w:sz w:val="22"/>
                <w:szCs w:val="22"/>
              </w:rPr>
              <w:t>RECOMMENTATION</w:t>
            </w:r>
          </w:p>
        </w:tc>
        <w:tc>
          <w:tcPr>
            <w:tcW w:w="1843" w:type="dxa"/>
          </w:tcPr>
          <w:p w14:paraId="2A4B2450" w14:textId="2D6473E5" w:rsidR="0006457A" w:rsidRPr="00C00DD6" w:rsidRDefault="001630D4" w:rsidP="003F494F">
            <w:pPr>
              <w:spacing w:line="360" w:lineRule="auto"/>
              <w:jc w:val="center"/>
              <w:rPr>
                <w:rFonts w:cstheme="minorHAnsi"/>
                <w:b/>
                <w:sz w:val="22"/>
                <w:szCs w:val="22"/>
              </w:rPr>
            </w:pPr>
            <w:r w:rsidRPr="00C00DD6">
              <w:rPr>
                <w:rFonts w:cstheme="minorHAnsi"/>
                <w:b/>
                <w:sz w:val="22"/>
                <w:szCs w:val="22"/>
              </w:rPr>
              <w:t>Grade</w:t>
            </w:r>
          </w:p>
        </w:tc>
      </w:tr>
      <w:tr w:rsidR="00837E18" w14:paraId="0615B5DF" w14:textId="77777777" w:rsidTr="00C00DD6">
        <w:tc>
          <w:tcPr>
            <w:tcW w:w="1034" w:type="dxa"/>
          </w:tcPr>
          <w:p w14:paraId="5DFD6BBF" w14:textId="09D20815" w:rsidR="0006457A" w:rsidRPr="00C00DD6" w:rsidRDefault="001630D4" w:rsidP="003F494F">
            <w:pPr>
              <w:spacing w:line="360" w:lineRule="auto"/>
              <w:jc w:val="center"/>
              <w:rPr>
                <w:rFonts w:cstheme="minorHAnsi"/>
                <w:sz w:val="22"/>
                <w:szCs w:val="22"/>
              </w:rPr>
            </w:pPr>
            <w:r>
              <w:rPr>
                <w:rFonts w:cstheme="minorHAnsi"/>
                <w:sz w:val="22"/>
                <w:szCs w:val="22"/>
              </w:rPr>
              <w:t xml:space="preserve">MN </w:t>
            </w:r>
            <w:r w:rsidRPr="00C00DD6">
              <w:rPr>
                <w:rFonts w:cstheme="minorHAnsi"/>
                <w:sz w:val="22"/>
                <w:szCs w:val="22"/>
              </w:rPr>
              <w:t>3.1</w:t>
            </w:r>
          </w:p>
        </w:tc>
        <w:tc>
          <w:tcPr>
            <w:tcW w:w="7613" w:type="dxa"/>
          </w:tcPr>
          <w:p w14:paraId="5E1B5899" w14:textId="4816270A" w:rsidR="0006457A" w:rsidRPr="00C00DD6" w:rsidRDefault="001630D4" w:rsidP="003F494F">
            <w:pPr>
              <w:pStyle w:val="NormalWeb"/>
              <w:shd w:val="clear" w:color="auto" w:fill="FFFFFF" w:themeFill="background1"/>
              <w:spacing w:line="360" w:lineRule="auto"/>
              <w:rPr>
                <w:rFonts w:asciiTheme="minorHAnsi" w:hAnsiTheme="minorHAnsi" w:cstheme="minorHAnsi"/>
                <w:sz w:val="22"/>
                <w:szCs w:val="22"/>
              </w:rPr>
            </w:pPr>
            <w:r w:rsidRPr="005C1627">
              <w:rPr>
                <w:rFonts w:asciiTheme="minorHAnsi" w:hAnsiTheme="minorHAnsi" w:cstheme="minorHAnsi"/>
                <w:sz w:val="22"/>
                <w:szCs w:val="22"/>
                <w:u w:val="single"/>
              </w:rPr>
              <w:t>We suggest</w:t>
            </w:r>
            <w:r>
              <w:rPr>
                <w:rFonts w:asciiTheme="minorHAnsi" w:hAnsiTheme="minorHAnsi" w:cstheme="minorHAnsi"/>
                <w:sz w:val="22"/>
                <w:szCs w:val="22"/>
              </w:rPr>
              <w:t xml:space="preserve"> the use of </w:t>
            </w:r>
            <w:proofErr w:type="spellStart"/>
            <w:r>
              <w:rPr>
                <w:rFonts w:asciiTheme="minorHAnsi" w:hAnsiTheme="minorHAnsi" w:cstheme="minorHAnsi"/>
                <w:sz w:val="22"/>
                <w:szCs w:val="22"/>
              </w:rPr>
              <w:t>RAASi</w:t>
            </w:r>
            <w:proofErr w:type="spellEnd"/>
            <w:r w:rsidRPr="00C00DD6">
              <w:rPr>
                <w:rFonts w:asciiTheme="minorHAnsi" w:hAnsiTheme="minorHAnsi" w:cstheme="minorHAnsi"/>
                <w:sz w:val="22"/>
                <w:szCs w:val="22"/>
              </w:rPr>
              <w:t xml:space="preserve"> and monitor</w:t>
            </w:r>
            <w:r>
              <w:rPr>
                <w:rFonts w:asciiTheme="minorHAnsi" w:hAnsiTheme="minorHAnsi" w:cstheme="minorHAnsi"/>
                <w:sz w:val="22"/>
                <w:szCs w:val="22"/>
              </w:rPr>
              <w:t>ing</w:t>
            </w:r>
            <w:r w:rsidRPr="00C00DD6">
              <w:rPr>
                <w:rFonts w:asciiTheme="minorHAnsi" w:hAnsiTheme="minorHAnsi" w:cstheme="minorHAnsi"/>
                <w:sz w:val="22"/>
                <w:szCs w:val="22"/>
              </w:rPr>
              <w:t xml:space="preserve"> clinical response </w:t>
            </w:r>
            <w:r>
              <w:rPr>
                <w:rFonts w:asciiTheme="minorHAnsi" w:hAnsiTheme="minorHAnsi" w:cstheme="minorHAnsi"/>
                <w:sz w:val="22"/>
                <w:szCs w:val="22"/>
              </w:rPr>
              <w:t>with</w:t>
            </w:r>
            <w:r w:rsidRPr="00C00DD6">
              <w:rPr>
                <w:rFonts w:asciiTheme="minorHAnsi" w:hAnsiTheme="minorHAnsi" w:cstheme="minorHAnsi"/>
                <w:sz w:val="22"/>
                <w:szCs w:val="22"/>
              </w:rPr>
              <w:t xml:space="preserve"> antibod</w:t>
            </w:r>
            <w:r>
              <w:rPr>
                <w:rFonts w:asciiTheme="minorHAnsi" w:hAnsiTheme="minorHAnsi" w:cstheme="minorHAnsi"/>
                <w:sz w:val="22"/>
                <w:szCs w:val="22"/>
              </w:rPr>
              <w:t>y findings</w:t>
            </w:r>
            <w:r w:rsidRPr="00C00DD6">
              <w:rPr>
                <w:rFonts w:asciiTheme="minorHAnsi" w:hAnsiTheme="minorHAnsi" w:cstheme="minorHAnsi"/>
                <w:sz w:val="22"/>
                <w:szCs w:val="22"/>
              </w:rPr>
              <w:t xml:space="preserve"> </w:t>
            </w:r>
            <w:r>
              <w:rPr>
                <w:rFonts w:asciiTheme="minorHAnsi" w:hAnsiTheme="minorHAnsi" w:cstheme="minorHAnsi"/>
                <w:sz w:val="22"/>
                <w:szCs w:val="22"/>
              </w:rPr>
              <w:t>in the first</w:t>
            </w:r>
            <w:r w:rsidRPr="00C00DD6">
              <w:rPr>
                <w:rFonts w:asciiTheme="minorHAnsi" w:hAnsiTheme="minorHAnsi" w:cstheme="minorHAnsi"/>
                <w:sz w:val="22"/>
                <w:szCs w:val="22"/>
              </w:rPr>
              <w:t xml:space="preserve"> 3 months </w:t>
            </w:r>
            <w:r>
              <w:rPr>
                <w:rFonts w:asciiTheme="minorHAnsi" w:hAnsiTheme="minorHAnsi" w:cstheme="minorHAnsi"/>
                <w:sz w:val="22"/>
                <w:szCs w:val="22"/>
              </w:rPr>
              <w:t>in patients who have l</w:t>
            </w:r>
            <w:r w:rsidRPr="00C00DD6">
              <w:rPr>
                <w:rFonts w:asciiTheme="minorHAnsi" w:hAnsiTheme="minorHAnsi" w:cstheme="minorHAnsi"/>
                <w:sz w:val="22"/>
                <w:szCs w:val="22"/>
              </w:rPr>
              <w:t xml:space="preserve">ow-risk </w:t>
            </w:r>
            <w:r>
              <w:rPr>
                <w:rFonts w:asciiTheme="minorHAnsi" w:hAnsiTheme="minorHAnsi" w:cstheme="minorHAnsi"/>
                <w:sz w:val="22"/>
                <w:szCs w:val="22"/>
              </w:rPr>
              <w:t xml:space="preserve">disease </w:t>
            </w:r>
            <w:r w:rsidRPr="00C00DD6">
              <w:rPr>
                <w:rFonts w:asciiTheme="minorHAnsi" w:hAnsiTheme="minorHAnsi" w:cstheme="minorHAnsi"/>
                <w:sz w:val="22"/>
                <w:szCs w:val="22"/>
              </w:rPr>
              <w:t xml:space="preserve">and </w:t>
            </w:r>
            <w:r w:rsidR="006963F4">
              <w:rPr>
                <w:rFonts w:asciiTheme="minorHAnsi" w:hAnsiTheme="minorHAnsi" w:cstheme="minorHAnsi"/>
                <w:sz w:val="22"/>
                <w:szCs w:val="22"/>
              </w:rPr>
              <w:t xml:space="preserve">who </w:t>
            </w:r>
            <w:r>
              <w:rPr>
                <w:rFonts w:asciiTheme="minorHAnsi" w:hAnsiTheme="minorHAnsi" w:cstheme="minorHAnsi"/>
                <w:sz w:val="22"/>
                <w:szCs w:val="22"/>
              </w:rPr>
              <w:t xml:space="preserve">have not received any prior treatment. </w:t>
            </w:r>
          </w:p>
        </w:tc>
        <w:tc>
          <w:tcPr>
            <w:tcW w:w="1843" w:type="dxa"/>
          </w:tcPr>
          <w:p w14:paraId="5A22DA18" w14:textId="342840B2" w:rsidR="0006457A" w:rsidRPr="00C00DD6" w:rsidRDefault="001630D4" w:rsidP="003F494F">
            <w:pPr>
              <w:spacing w:line="360" w:lineRule="auto"/>
              <w:jc w:val="center"/>
              <w:rPr>
                <w:rFonts w:cstheme="minorHAnsi"/>
                <w:b/>
                <w:sz w:val="22"/>
                <w:szCs w:val="22"/>
              </w:rPr>
            </w:pPr>
            <w:r>
              <w:rPr>
                <w:rFonts w:cstheme="minorHAnsi"/>
                <w:b/>
                <w:sz w:val="22"/>
                <w:szCs w:val="22"/>
              </w:rPr>
              <w:t>2C</w:t>
            </w:r>
          </w:p>
        </w:tc>
      </w:tr>
      <w:tr w:rsidR="00837E18" w14:paraId="60B6B0C7" w14:textId="77777777" w:rsidTr="00C00DD6">
        <w:tc>
          <w:tcPr>
            <w:tcW w:w="1034" w:type="dxa"/>
          </w:tcPr>
          <w:p w14:paraId="09EED5C0" w14:textId="065CB3A5" w:rsidR="0006457A" w:rsidRPr="00C00DD6" w:rsidRDefault="001630D4" w:rsidP="003F494F">
            <w:pPr>
              <w:spacing w:line="360" w:lineRule="auto"/>
              <w:jc w:val="center"/>
              <w:rPr>
                <w:rFonts w:cstheme="minorHAnsi"/>
                <w:sz w:val="22"/>
                <w:szCs w:val="22"/>
              </w:rPr>
            </w:pPr>
            <w:r>
              <w:rPr>
                <w:rFonts w:cstheme="minorHAnsi"/>
                <w:sz w:val="22"/>
                <w:szCs w:val="22"/>
              </w:rPr>
              <w:t xml:space="preserve">MN </w:t>
            </w:r>
            <w:r w:rsidRPr="00C00DD6">
              <w:rPr>
                <w:rFonts w:cstheme="minorHAnsi"/>
                <w:sz w:val="22"/>
                <w:szCs w:val="22"/>
              </w:rPr>
              <w:t>3.2</w:t>
            </w:r>
          </w:p>
        </w:tc>
        <w:tc>
          <w:tcPr>
            <w:tcW w:w="7613" w:type="dxa"/>
          </w:tcPr>
          <w:p w14:paraId="2CE2893C" w14:textId="3877D1EC" w:rsidR="0006457A" w:rsidRPr="00C00DD6" w:rsidRDefault="001630D4" w:rsidP="003F494F">
            <w:pPr>
              <w:spacing w:line="360" w:lineRule="auto"/>
              <w:rPr>
                <w:rFonts w:eastAsiaTheme="minorEastAsia" w:cstheme="minorHAnsi"/>
                <w:color w:val="000000" w:themeColor="text1"/>
                <w:kern w:val="24"/>
                <w:sz w:val="22"/>
                <w:szCs w:val="22"/>
              </w:rPr>
            </w:pPr>
            <w:r w:rsidRPr="005C1627">
              <w:rPr>
                <w:rFonts w:eastAsiaTheme="minorEastAsia" w:cstheme="minorHAnsi"/>
                <w:color w:val="000000" w:themeColor="text1"/>
                <w:kern w:val="24"/>
                <w:sz w:val="22"/>
                <w:szCs w:val="22"/>
                <w:u w:val="single"/>
              </w:rPr>
              <w:t>We</w:t>
            </w:r>
            <w:r w:rsidR="009A130F">
              <w:rPr>
                <w:rFonts w:eastAsiaTheme="minorEastAsia" w:cstheme="minorHAnsi"/>
                <w:color w:val="000000" w:themeColor="text1"/>
                <w:kern w:val="24"/>
                <w:sz w:val="22"/>
                <w:szCs w:val="22"/>
                <w:u w:val="single"/>
              </w:rPr>
              <w:t xml:space="preserve"> </w:t>
            </w:r>
            <w:r w:rsidRPr="005C1627">
              <w:rPr>
                <w:rFonts w:eastAsiaTheme="minorEastAsia" w:cstheme="minorHAnsi"/>
                <w:color w:val="000000" w:themeColor="text1"/>
                <w:kern w:val="24"/>
                <w:sz w:val="22"/>
                <w:szCs w:val="22"/>
                <w:u w:val="single"/>
              </w:rPr>
              <w:t>suggest</w:t>
            </w:r>
            <w:r>
              <w:rPr>
                <w:rFonts w:eastAsiaTheme="minorEastAsia" w:cstheme="minorHAnsi"/>
                <w:color w:val="000000" w:themeColor="text1"/>
                <w:kern w:val="24"/>
                <w:sz w:val="22"/>
                <w:szCs w:val="22"/>
              </w:rPr>
              <w:t xml:space="preserve"> </w:t>
            </w:r>
            <w:r w:rsidR="009A130F">
              <w:rPr>
                <w:rFonts w:eastAsiaTheme="minorEastAsia" w:cstheme="minorHAnsi"/>
                <w:color w:val="000000" w:themeColor="text1"/>
                <w:kern w:val="24"/>
                <w:sz w:val="22"/>
                <w:szCs w:val="22"/>
              </w:rPr>
              <w:t>a trial of</w:t>
            </w:r>
            <w:r>
              <w:rPr>
                <w:rFonts w:eastAsiaTheme="minorEastAsia" w:cstheme="minorHAnsi"/>
                <w:color w:val="000000" w:themeColor="text1"/>
                <w:kern w:val="24"/>
                <w:sz w:val="22"/>
                <w:szCs w:val="22"/>
              </w:rPr>
              <w:t xml:space="preserve"> corticosteroids in patients who are </w:t>
            </w:r>
            <w:r w:rsidR="00660A81">
              <w:rPr>
                <w:rFonts w:eastAsiaTheme="minorEastAsia" w:cstheme="minorHAnsi"/>
                <w:color w:val="000000" w:themeColor="text1"/>
                <w:kern w:val="24"/>
                <w:sz w:val="22"/>
                <w:szCs w:val="22"/>
              </w:rPr>
              <w:t xml:space="preserve">at a </w:t>
            </w:r>
            <w:r>
              <w:rPr>
                <w:rFonts w:eastAsiaTheme="minorEastAsia" w:cstheme="minorHAnsi"/>
                <w:color w:val="000000" w:themeColor="text1"/>
                <w:kern w:val="24"/>
                <w:sz w:val="22"/>
                <w:szCs w:val="22"/>
              </w:rPr>
              <w:t>l</w:t>
            </w:r>
            <w:r w:rsidRPr="00C00DD6">
              <w:rPr>
                <w:rFonts w:eastAsiaTheme="minorEastAsia" w:cstheme="minorHAnsi"/>
                <w:color w:val="000000" w:themeColor="text1"/>
                <w:kern w:val="24"/>
                <w:sz w:val="22"/>
                <w:szCs w:val="22"/>
              </w:rPr>
              <w:t xml:space="preserve">ow risk </w:t>
            </w:r>
            <w:r>
              <w:rPr>
                <w:rFonts w:eastAsiaTheme="minorEastAsia" w:cstheme="minorHAnsi"/>
                <w:color w:val="000000" w:themeColor="text1"/>
                <w:kern w:val="24"/>
                <w:sz w:val="22"/>
                <w:szCs w:val="22"/>
              </w:rPr>
              <w:t xml:space="preserve">of disease progression </w:t>
            </w:r>
            <w:r w:rsidRPr="00C00DD6">
              <w:rPr>
                <w:rFonts w:eastAsiaTheme="minorEastAsia" w:cstheme="minorHAnsi"/>
                <w:color w:val="000000" w:themeColor="text1"/>
                <w:kern w:val="24"/>
                <w:sz w:val="22"/>
                <w:szCs w:val="22"/>
              </w:rPr>
              <w:t xml:space="preserve">and </w:t>
            </w:r>
            <w:r w:rsidR="00DD7911">
              <w:rPr>
                <w:rFonts w:eastAsiaTheme="minorEastAsia" w:cstheme="minorHAnsi"/>
                <w:color w:val="000000" w:themeColor="text1"/>
                <w:kern w:val="24"/>
                <w:sz w:val="22"/>
                <w:szCs w:val="22"/>
              </w:rPr>
              <w:t xml:space="preserve">who are </w:t>
            </w:r>
            <w:r>
              <w:rPr>
                <w:rFonts w:eastAsiaTheme="minorEastAsia" w:cstheme="minorHAnsi"/>
                <w:color w:val="000000" w:themeColor="text1"/>
                <w:kern w:val="24"/>
                <w:sz w:val="22"/>
                <w:szCs w:val="22"/>
              </w:rPr>
              <w:t>not showing signs of improvement.</w:t>
            </w:r>
          </w:p>
        </w:tc>
        <w:tc>
          <w:tcPr>
            <w:tcW w:w="1843" w:type="dxa"/>
          </w:tcPr>
          <w:p w14:paraId="09B786B0" w14:textId="3E449816" w:rsidR="0006457A" w:rsidRPr="00C00DD6" w:rsidRDefault="001630D4" w:rsidP="003F494F">
            <w:pPr>
              <w:spacing w:line="360" w:lineRule="auto"/>
              <w:jc w:val="center"/>
              <w:rPr>
                <w:rFonts w:cstheme="minorHAnsi"/>
                <w:b/>
                <w:sz w:val="22"/>
                <w:szCs w:val="22"/>
              </w:rPr>
            </w:pPr>
            <w:r>
              <w:rPr>
                <w:rFonts w:cstheme="minorHAnsi"/>
                <w:b/>
                <w:sz w:val="22"/>
                <w:szCs w:val="22"/>
              </w:rPr>
              <w:t>2C</w:t>
            </w:r>
          </w:p>
        </w:tc>
      </w:tr>
      <w:tr w:rsidR="00837E18" w14:paraId="74B83FB5" w14:textId="77777777" w:rsidTr="00C00DD6">
        <w:tc>
          <w:tcPr>
            <w:tcW w:w="1034" w:type="dxa"/>
          </w:tcPr>
          <w:p w14:paraId="33FA96A6" w14:textId="7F5E1151" w:rsidR="0006457A" w:rsidRPr="00C00DD6" w:rsidRDefault="001630D4" w:rsidP="003F494F">
            <w:pPr>
              <w:spacing w:line="360" w:lineRule="auto"/>
              <w:jc w:val="center"/>
              <w:rPr>
                <w:rFonts w:cstheme="minorHAnsi"/>
                <w:sz w:val="22"/>
                <w:szCs w:val="22"/>
              </w:rPr>
            </w:pPr>
            <w:r>
              <w:rPr>
                <w:rFonts w:cstheme="minorHAnsi"/>
                <w:sz w:val="22"/>
                <w:szCs w:val="22"/>
              </w:rPr>
              <w:t xml:space="preserve">MN </w:t>
            </w:r>
            <w:r w:rsidRPr="00C00DD6">
              <w:rPr>
                <w:rFonts w:cstheme="minorHAnsi"/>
                <w:sz w:val="22"/>
                <w:szCs w:val="22"/>
              </w:rPr>
              <w:t>3.</w:t>
            </w:r>
            <w:r>
              <w:rPr>
                <w:rFonts w:cstheme="minorHAnsi"/>
                <w:sz w:val="22"/>
                <w:szCs w:val="22"/>
              </w:rPr>
              <w:t>3</w:t>
            </w:r>
          </w:p>
        </w:tc>
        <w:tc>
          <w:tcPr>
            <w:tcW w:w="7613" w:type="dxa"/>
          </w:tcPr>
          <w:p w14:paraId="2F723D17" w14:textId="3327C59B" w:rsidR="0006457A" w:rsidRPr="00C00DD6" w:rsidRDefault="001630D4" w:rsidP="003F494F">
            <w:pPr>
              <w:pStyle w:val="NormalWeb"/>
              <w:shd w:val="clear" w:color="auto" w:fill="FFFFFF"/>
              <w:spacing w:line="360" w:lineRule="auto"/>
              <w:rPr>
                <w:rFonts w:asciiTheme="minorHAnsi" w:hAnsiTheme="minorHAnsi" w:cstheme="minorHAnsi"/>
                <w:sz w:val="22"/>
                <w:szCs w:val="22"/>
              </w:rPr>
            </w:pPr>
            <w:r w:rsidRPr="005C1627">
              <w:rPr>
                <w:rFonts w:asciiTheme="minorHAnsi" w:hAnsiTheme="minorHAnsi" w:cstheme="minorHAnsi"/>
                <w:sz w:val="22"/>
                <w:szCs w:val="22"/>
                <w:u w:val="single"/>
              </w:rPr>
              <w:t>We suggest</w:t>
            </w:r>
            <w:r>
              <w:rPr>
                <w:rFonts w:asciiTheme="minorHAnsi" w:hAnsiTheme="minorHAnsi" w:cstheme="minorHAnsi"/>
                <w:sz w:val="22"/>
                <w:szCs w:val="22"/>
              </w:rPr>
              <w:t xml:space="preserve"> the use of rituximab, or alternative B cell depleting agents, in addition to corticosteroids in patients with MN who are at m</w:t>
            </w:r>
            <w:r w:rsidRPr="00C00DD6">
              <w:rPr>
                <w:rFonts w:asciiTheme="minorHAnsi" w:hAnsiTheme="minorHAnsi" w:cstheme="minorHAnsi"/>
                <w:sz w:val="22"/>
                <w:szCs w:val="22"/>
              </w:rPr>
              <w:t xml:space="preserve">oderate- to high-risk </w:t>
            </w:r>
            <w:r>
              <w:rPr>
                <w:rFonts w:asciiTheme="minorHAnsi" w:hAnsiTheme="minorHAnsi" w:cstheme="minorHAnsi"/>
                <w:sz w:val="22"/>
                <w:szCs w:val="22"/>
              </w:rPr>
              <w:t xml:space="preserve">of disease progression and who have not received any prior treatment. </w:t>
            </w:r>
          </w:p>
        </w:tc>
        <w:tc>
          <w:tcPr>
            <w:tcW w:w="1843" w:type="dxa"/>
          </w:tcPr>
          <w:p w14:paraId="4C9E6C94" w14:textId="74D91EC1" w:rsidR="0006457A" w:rsidRPr="00C00DD6" w:rsidRDefault="001630D4" w:rsidP="003F494F">
            <w:pPr>
              <w:spacing w:line="360" w:lineRule="auto"/>
              <w:jc w:val="center"/>
              <w:rPr>
                <w:rFonts w:cstheme="minorHAnsi"/>
                <w:b/>
                <w:sz w:val="22"/>
                <w:szCs w:val="22"/>
              </w:rPr>
            </w:pPr>
            <w:r>
              <w:rPr>
                <w:rFonts w:cstheme="minorHAnsi"/>
                <w:b/>
                <w:sz w:val="22"/>
                <w:szCs w:val="22"/>
              </w:rPr>
              <w:t>2C</w:t>
            </w:r>
          </w:p>
        </w:tc>
      </w:tr>
      <w:tr w:rsidR="00837E18" w14:paraId="5DC568C5" w14:textId="77777777" w:rsidTr="00C00DD6">
        <w:tc>
          <w:tcPr>
            <w:tcW w:w="1034" w:type="dxa"/>
          </w:tcPr>
          <w:p w14:paraId="5B70E9B4" w14:textId="3DC9EA44" w:rsidR="0006457A" w:rsidRPr="00C00DD6" w:rsidRDefault="001630D4" w:rsidP="003F494F">
            <w:pPr>
              <w:spacing w:line="360" w:lineRule="auto"/>
              <w:jc w:val="center"/>
              <w:rPr>
                <w:rFonts w:cstheme="minorHAnsi"/>
                <w:sz w:val="22"/>
                <w:szCs w:val="22"/>
              </w:rPr>
            </w:pPr>
            <w:r>
              <w:rPr>
                <w:rFonts w:cstheme="minorHAnsi"/>
                <w:sz w:val="22"/>
                <w:szCs w:val="22"/>
              </w:rPr>
              <w:t xml:space="preserve">MN </w:t>
            </w:r>
            <w:r w:rsidRPr="00C00DD6">
              <w:rPr>
                <w:rFonts w:cstheme="minorHAnsi"/>
                <w:sz w:val="22"/>
                <w:szCs w:val="22"/>
              </w:rPr>
              <w:t>3.</w:t>
            </w:r>
            <w:r w:rsidR="00D0665F">
              <w:rPr>
                <w:rFonts w:cstheme="minorHAnsi"/>
                <w:sz w:val="22"/>
                <w:szCs w:val="22"/>
              </w:rPr>
              <w:t>4</w:t>
            </w:r>
          </w:p>
        </w:tc>
        <w:tc>
          <w:tcPr>
            <w:tcW w:w="7613" w:type="dxa"/>
          </w:tcPr>
          <w:p w14:paraId="63DE1AD3" w14:textId="5D5C90CC" w:rsidR="0006457A" w:rsidRPr="00C00DD6" w:rsidRDefault="001630D4" w:rsidP="003F494F">
            <w:pPr>
              <w:spacing w:line="360" w:lineRule="auto"/>
              <w:rPr>
                <w:rFonts w:eastAsia="Times New Roman" w:cstheme="minorHAnsi"/>
                <w:sz w:val="22"/>
                <w:szCs w:val="22"/>
                <w:lang w:eastAsia="en-GB"/>
              </w:rPr>
            </w:pPr>
            <w:r w:rsidRPr="00D20CBA">
              <w:rPr>
                <w:rFonts w:eastAsia="Arial" w:cstheme="minorHAnsi"/>
                <w:bCs/>
                <w:color w:val="000000"/>
                <w:sz w:val="22"/>
                <w:szCs w:val="22"/>
                <w:u w:val="single"/>
              </w:rPr>
              <w:t>We suggest</w:t>
            </w:r>
            <w:r w:rsidRPr="00D20CBA">
              <w:rPr>
                <w:rFonts w:eastAsia="Arial" w:cstheme="minorHAnsi"/>
                <w:bCs/>
                <w:color w:val="000000"/>
                <w:sz w:val="22"/>
                <w:szCs w:val="22"/>
              </w:rPr>
              <w:t xml:space="preserve"> </w:t>
            </w:r>
            <w:r>
              <w:rPr>
                <w:rFonts w:eastAsia="Arial" w:cstheme="minorHAnsi"/>
                <w:bCs/>
                <w:color w:val="000000"/>
                <w:sz w:val="22"/>
                <w:szCs w:val="22"/>
              </w:rPr>
              <w:t>the use of alternative</w:t>
            </w:r>
            <w:r w:rsidRPr="00D20CBA">
              <w:rPr>
                <w:rFonts w:eastAsia="Arial" w:cstheme="minorHAnsi"/>
                <w:bCs/>
                <w:color w:val="000000"/>
                <w:sz w:val="22"/>
                <w:szCs w:val="22"/>
              </w:rPr>
              <w:t xml:space="preserve"> immunosuppressive agents </w:t>
            </w:r>
            <w:r>
              <w:rPr>
                <w:rFonts w:eastAsia="Arial" w:cstheme="minorHAnsi"/>
                <w:bCs/>
                <w:color w:val="000000"/>
                <w:sz w:val="22"/>
                <w:szCs w:val="22"/>
              </w:rPr>
              <w:t>(</w:t>
            </w:r>
            <w:proofErr w:type="spellStart"/>
            <w:r w:rsidR="00660A81">
              <w:rPr>
                <w:rFonts w:eastAsia="Arial" w:cstheme="minorHAnsi"/>
                <w:bCs/>
                <w:color w:val="000000"/>
                <w:sz w:val="22"/>
                <w:szCs w:val="22"/>
              </w:rPr>
              <w:t>eg</w:t>
            </w:r>
            <w:proofErr w:type="spellEnd"/>
            <w:r w:rsidR="00660A81">
              <w:rPr>
                <w:rFonts w:eastAsia="Arial" w:cstheme="minorHAnsi"/>
                <w:bCs/>
                <w:color w:val="000000"/>
                <w:sz w:val="22"/>
                <w:szCs w:val="22"/>
              </w:rPr>
              <w:t xml:space="preserve">: </w:t>
            </w:r>
            <w:r>
              <w:rPr>
                <w:rFonts w:eastAsia="Arial" w:cstheme="minorHAnsi"/>
                <w:sz w:val="22"/>
                <w:szCs w:val="22"/>
                <w:lang w:val="en" w:eastAsia="en-GB"/>
              </w:rPr>
              <w:t>MM</w:t>
            </w:r>
            <w:r w:rsidR="00660A81">
              <w:rPr>
                <w:rFonts w:eastAsia="Arial" w:cstheme="minorHAnsi"/>
                <w:sz w:val="22"/>
                <w:szCs w:val="22"/>
                <w:lang w:val="en" w:eastAsia="en-GB"/>
              </w:rPr>
              <w:t>F or</w:t>
            </w:r>
            <w:r>
              <w:rPr>
                <w:rFonts w:eastAsia="Arial" w:cstheme="minorHAnsi"/>
                <w:sz w:val="22"/>
                <w:szCs w:val="22"/>
                <w:lang w:val="en" w:eastAsia="en-GB"/>
              </w:rPr>
              <w:t xml:space="preserve"> </w:t>
            </w:r>
            <w:r w:rsidR="00D0665F">
              <w:rPr>
                <w:rFonts w:eastAsia="Arial" w:cstheme="minorHAnsi"/>
                <w:sz w:val="22"/>
                <w:szCs w:val="22"/>
                <w:lang w:val="en" w:eastAsia="en-GB"/>
              </w:rPr>
              <w:t>tacrolimus</w:t>
            </w:r>
            <w:r>
              <w:rPr>
                <w:rFonts w:eastAsia="Arial" w:cstheme="minorHAnsi"/>
                <w:bCs/>
                <w:color w:val="000000"/>
                <w:sz w:val="22"/>
                <w:szCs w:val="22"/>
              </w:rPr>
              <w:t xml:space="preserve">) </w:t>
            </w:r>
            <w:r w:rsidRPr="00D20CBA">
              <w:rPr>
                <w:rFonts w:eastAsia="Arial" w:cstheme="minorHAnsi"/>
                <w:bCs/>
                <w:color w:val="000000"/>
                <w:sz w:val="22"/>
                <w:szCs w:val="22"/>
              </w:rPr>
              <w:t xml:space="preserve">in </w:t>
            </w:r>
            <w:r>
              <w:rPr>
                <w:rFonts w:eastAsia="Arial" w:cstheme="minorHAnsi"/>
                <w:bCs/>
                <w:color w:val="000000"/>
                <w:sz w:val="22"/>
                <w:szCs w:val="22"/>
              </w:rPr>
              <w:t>cases that have not achieved complete re</w:t>
            </w:r>
            <w:r w:rsidR="00D0665F">
              <w:rPr>
                <w:rFonts w:eastAsia="Arial" w:cstheme="minorHAnsi"/>
                <w:bCs/>
                <w:color w:val="000000"/>
                <w:sz w:val="22"/>
                <w:szCs w:val="22"/>
              </w:rPr>
              <w:t>sponse</w:t>
            </w:r>
            <w:r>
              <w:rPr>
                <w:rFonts w:eastAsia="Arial" w:cstheme="minorHAnsi"/>
                <w:bCs/>
                <w:color w:val="000000"/>
                <w:sz w:val="22"/>
                <w:szCs w:val="22"/>
              </w:rPr>
              <w:t xml:space="preserve"> after initial treatment for 6-12 months </w:t>
            </w:r>
            <w:r w:rsidR="00DD7911">
              <w:rPr>
                <w:rFonts w:eastAsia="Arial" w:cstheme="minorHAnsi"/>
                <w:bCs/>
                <w:color w:val="000000"/>
                <w:sz w:val="22"/>
                <w:szCs w:val="22"/>
              </w:rPr>
              <w:t xml:space="preserve">with rituximab </w:t>
            </w:r>
            <w:r>
              <w:rPr>
                <w:rFonts w:eastAsia="Arial" w:cstheme="minorHAnsi"/>
                <w:bCs/>
                <w:color w:val="000000"/>
                <w:sz w:val="22"/>
                <w:szCs w:val="22"/>
              </w:rPr>
              <w:t xml:space="preserve">or as </w:t>
            </w:r>
            <w:r w:rsidR="00D0665F">
              <w:rPr>
                <w:rFonts w:eastAsia="Arial" w:cstheme="minorHAnsi"/>
                <w:bCs/>
                <w:color w:val="000000"/>
                <w:sz w:val="22"/>
                <w:szCs w:val="22"/>
              </w:rPr>
              <w:t>a</w:t>
            </w:r>
            <w:r>
              <w:rPr>
                <w:rFonts w:eastAsia="Arial" w:cstheme="minorHAnsi"/>
                <w:bCs/>
                <w:color w:val="000000"/>
                <w:sz w:val="22"/>
                <w:szCs w:val="22"/>
              </w:rPr>
              <w:t xml:space="preserve"> steroid sparing intervention.</w:t>
            </w:r>
          </w:p>
        </w:tc>
        <w:tc>
          <w:tcPr>
            <w:tcW w:w="1843" w:type="dxa"/>
          </w:tcPr>
          <w:p w14:paraId="5AB7F1D5" w14:textId="2F8037DC" w:rsidR="0006457A" w:rsidRPr="00C00DD6" w:rsidRDefault="001630D4" w:rsidP="003F494F">
            <w:pPr>
              <w:spacing w:line="360" w:lineRule="auto"/>
              <w:jc w:val="center"/>
              <w:rPr>
                <w:rFonts w:cstheme="minorHAnsi"/>
                <w:b/>
                <w:sz w:val="22"/>
                <w:szCs w:val="22"/>
              </w:rPr>
            </w:pPr>
            <w:r>
              <w:rPr>
                <w:rFonts w:cstheme="minorHAnsi"/>
                <w:b/>
                <w:sz w:val="22"/>
                <w:szCs w:val="22"/>
              </w:rPr>
              <w:t>2C</w:t>
            </w:r>
          </w:p>
        </w:tc>
      </w:tr>
      <w:tr w:rsidR="00837E18" w14:paraId="70AE44A3" w14:textId="77777777" w:rsidTr="00C00DD6">
        <w:tc>
          <w:tcPr>
            <w:tcW w:w="1034" w:type="dxa"/>
          </w:tcPr>
          <w:p w14:paraId="11F10DC3" w14:textId="75D37751" w:rsidR="005C1627" w:rsidRDefault="001630D4" w:rsidP="003F494F">
            <w:pPr>
              <w:spacing w:line="360" w:lineRule="auto"/>
              <w:jc w:val="center"/>
              <w:rPr>
                <w:rFonts w:cstheme="minorHAnsi"/>
                <w:sz w:val="22"/>
                <w:szCs w:val="22"/>
              </w:rPr>
            </w:pPr>
            <w:r>
              <w:rPr>
                <w:rFonts w:cstheme="minorHAnsi"/>
                <w:sz w:val="22"/>
                <w:szCs w:val="22"/>
              </w:rPr>
              <w:t>MN 3.</w:t>
            </w:r>
            <w:r w:rsidR="00D0665F">
              <w:rPr>
                <w:rFonts w:cstheme="minorHAnsi"/>
                <w:sz w:val="22"/>
                <w:szCs w:val="22"/>
              </w:rPr>
              <w:t>5</w:t>
            </w:r>
          </w:p>
        </w:tc>
        <w:tc>
          <w:tcPr>
            <w:tcW w:w="7613" w:type="dxa"/>
          </w:tcPr>
          <w:p w14:paraId="67A9BF3D" w14:textId="2440CDDF" w:rsidR="005C1627" w:rsidRPr="00D20CBA" w:rsidRDefault="001630D4" w:rsidP="003F494F">
            <w:pPr>
              <w:spacing w:line="360" w:lineRule="auto"/>
              <w:rPr>
                <w:rFonts w:eastAsia="Arial" w:cstheme="minorHAnsi"/>
                <w:bCs/>
                <w:color w:val="000000"/>
                <w:sz w:val="22"/>
                <w:szCs w:val="22"/>
                <w:u w:val="single"/>
              </w:rPr>
            </w:pPr>
            <w:r w:rsidRPr="00D20CBA">
              <w:rPr>
                <w:rFonts w:eastAsiaTheme="minorEastAsia" w:cstheme="minorHAnsi"/>
                <w:color w:val="000000" w:themeColor="text1"/>
                <w:kern w:val="24"/>
                <w:sz w:val="22"/>
                <w:szCs w:val="22"/>
                <w:u w:val="single"/>
                <w:lang w:eastAsia="en-GB"/>
              </w:rPr>
              <w:t>We suggest</w:t>
            </w:r>
            <w:r w:rsidRPr="00D20CBA">
              <w:rPr>
                <w:rFonts w:eastAsiaTheme="minorEastAsia" w:cstheme="minorHAnsi"/>
                <w:color w:val="000000" w:themeColor="text1"/>
                <w:kern w:val="24"/>
                <w:sz w:val="22"/>
                <w:szCs w:val="22"/>
                <w:lang w:eastAsia="en-GB"/>
              </w:rPr>
              <w:t xml:space="preserve"> discontinuing immunosuppression for </w:t>
            </w:r>
            <w:r>
              <w:rPr>
                <w:rFonts w:eastAsiaTheme="minorEastAsia" w:cstheme="minorHAnsi"/>
                <w:color w:val="000000" w:themeColor="text1"/>
                <w:kern w:val="24"/>
                <w:sz w:val="22"/>
                <w:szCs w:val="22"/>
                <w:lang w:eastAsia="en-GB"/>
              </w:rPr>
              <w:t>M</w:t>
            </w:r>
            <w:r w:rsidRPr="00D20CBA">
              <w:rPr>
                <w:rFonts w:eastAsiaTheme="minorEastAsia" w:cstheme="minorHAnsi"/>
                <w:color w:val="000000" w:themeColor="text1"/>
                <w:kern w:val="24"/>
                <w:sz w:val="22"/>
                <w:szCs w:val="22"/>
                <w:lang w:eastAsia="en-GB"/>
              </w:rPr>
              <w:t xml:space="preserve">N if </w:t>
            </w:r>
            <w:r>
              <w:rPr>
                <w:rFonts w:eastAsiaTheme="minorEastAsia" w:cstheme="minorHAnsi"/>
                <w:color w:val="000000" w:themeColor="text1"/>
                <w:kern w:val="24"/>
                <w:sz w:val="22"/>
                <w:szCs w:val="22"/>
                <w:lang w:eastAsia="en-GB"/>
              </w:rPr>
              <w:t>there has been</w:t>
            </w:r>
            <w:r w:rsidRPr="00D20CBA">
              <w:rPr>
                <w:rFonts w:eastAsiaTheme="minorEastAsia" w:cstheme="minorHAnsi"/>
                <w:color w:val="000000" w:themeColor="text1"/>
                <w:kern w:val="24"/>
                <w:sz w:val="22"/>
                <w:szCs w:val="22"/>
                <w:lang w:eastAsia="en-GB"/>
              </w:rPr>
              <w:t xml:space="preserve"> complete clinical remission</w:t>
            </w:r>
            <w:r w:rsidR="00DD7911">
              <w:rPr>
                <w:rFonts w:eastAsiaTheme="minorEastAsia" w:cstheme="minorHAnsi"/>
                <w:color w:val="000000" w:themeColor="text1"/>
                <w:kern w:val="24"/>
                <w:sz w:val="22"/>
                <w:szCs w:val="22"/>
                <w:lang w:eastAsia="en-GB"/>
              </w:rPr>
              <w:t>, antibody negativity</w:t>
            </w:r>
            <w:r w:rsidRPr="00D20CBA">
              <w:rPr>
                <w:rFonts w:eastAsiaTheme="minorEastAsia" w:cstheme="minorHAnsi"/>
                <w:color w:val="000000" w:themeColor="text1"/>
                <w:kern w:val="24"/>
                <w:sz w:val="22"/>
                <w:szCs w:val="22"/>
                <w:lang w:eastAsia="en-GB"/>
              </w:rPr>
              <w:t xml:space="preserve"> and no disease flares for 12</w:t>
            </w:r>
            <w:r>
              <w:rPr>
                <w:rFonts w:eastAsiaTheme="minorEastAsia" w:cstheme="minorHAnsi"/>
                <w:color w:val="000000" w:themeColor="text1"/>
                <w:kern w:val="24"/>
                <w:sz w:val="22"/>
                <w:szCs w:val="22"/>
                <w:lang w:eastAsia="en-GB"/>
              </w:rPr>
              <w:t>-24</w:t>
            </w:r>
            <w:r w:rsidRPr="00D20CBA">
              <w:rPr>
                <w:rFonts w:eastAsiaTheme="minorEastAsia" w:cstheme="minorHAnsi"/>
                <w:color w:val="000000" w:themeColor="text1"/>
                <w:kern w:val="24"/>
                <w:sz w:val="22"/>
                <w:szCs w:val="22"/>
                <w:lang w:eastAsia="en-GB"/>
              </w:rPr>
              <w:t xml:space="preserve"> months.  </w:t>
            </w:r>
          </w:p>
        </w:tc>
        <w:tc>
          <w:tcPr>
            <w:tcW w:w="1843" w:type="dxa"/>
          </w:tcPr>
          <w:p w14:paraId="761A7959" w14:textId="2D279ACB" w:rsidR="005C1627" w:rsidRDefault="001630D4" w:rsidP="003F494F">
            <w:pPr>
              <w:spacing w:line="360" w:lineRule="auto"/>
              <w:jc w:val="center"/>
              <w:rPr>
                <w:rFonts w:cstheme="minorHAnsi"/>
                <w:b/>
                <w:sz w:val="22"/>
                <w:szCs w:val="22"/>
              </w:rPr>
            </w:pPr>
            <w:r>
              <w:rPr>
                <w:rFonts w:cstheme="minorHAnsi"/>
                <w:b/>
                <w:sz w:val="22"/>
                <w:szCs w:val="22"/>
              </w:rPr>
              <w:t>2D</w:t>
            </w:r>
          </w:p>
        </w:tc>
      </w:tr>
    </w:tbl>
    <w:p w14:paraId="1244AA5C" w14:textId="77777777" w:rsidR="0006457A" w:rsidRPr="00C00DD6" w:rsidRDefault="0006457A" w:rsidP="003F494F">
      <w:pPr>
        <w:pStyle w:val="NormalWeb"/>
        <w:spacing w:before="0" w:beforeAutospacing="0" w:after="0" w:afterAutospacing="0" w:line="360" w:lineRule="auto"/>
        <w:rPr>
          <w:rFonts w:asciiTheme="minorHAnsi" w:hAnsiTheme="minorHAnsi" w:cstheme="minorHAnsi"/>
          <w:sz w:val="22"/>
          <w:szCs w:val="22"/>
        </w:rPr>
      </w:pPr>
    </w:p>
    <w:p w14:paraId="3DB819F0" w14:textId="3954182C" w:rsidR="00601B86" w:rsidRPr="00A412CB" w:rsidRDefault="001630D4" w:rsidP="003F494F">
      <w:pPr>
        <w:spacing w:line="360" w:lineRule="auto"/>
        <w:rPr>
          <w:rFonts w:eastAsia="Times New Roman" w:cstheme="minorHAnsi"/>
          <w:b/>
          <w:bCs/>
          <w:sz w:val="22"/>
          <w:szCs w:val="22"/>
          <w:lang w:eastAsia="en-GB"/>
        </w:rPr>
      </w:pPr>
      <w:r w:rsidRPr="00A412CB">
        <w:rPr>
          <w:rFonts w:eastAsia="Times New Roman" w:cstheme="minorHAnsi"/>
          <w:b/>
          <w:bCs/>
          <w:sz w:val="22"/>
          <w:szCs w:val="22"/>
          <w:lang w:eastAsia="en-GB"/>
        </w:rPr>
        <w:t>Rationale</w:t>
      </w:r>
    </w:p>
    <w:p w14:paraId="51E4564D" w14:textId="4998AE54" w:rsidR="00601B86" w:rsidRPr="00A412CB" w:rsidRDefault="001630D4" w:rsidP="003F494F">
      <w:pPr>
        <w:spacing w:line="360" w:lineRule="auto"/>
        <w:jc w:val="both"/>
        <w:rPr>
          <w:rFonts w:eastAsia="Times New Roman" w:cstheme="minorHAnsi"/>
          <w:sz w:val="22"/>
          <w:szCs w:val="22"/>
          <w:lang w:eastAsia="en-GB"/>
        </w:rPr>
      </w:pPr>
      <w:r w:rsidRPr="00A412CB">
        <w:rPr>
          <w:rFonts w:eastAsia="Times New Roman" w:cstheme="minorHAnsi"/>
          <w:sz w:val="22"/>
          <w:szCs w:val="22"/>
          <w:lang w:eastAsia="en-GB"/>
        </w:rPr>
        <w:t xml:space="preserve">There is limited evidence to support the management of MN in childhood onset disease. The recommendations for management are </w:t>
      </w:r>
      <w:r w:rsidR="00A412CB" w:rsidRPr="00A412CB">
        <w:rPr>
          <w:rFonts w:eastAsia="Times New Roman" w:cstheme="minorHAnsi"/>
          <w:sz w:val="22"/>
          <w:szCs w:val="22"/>
          <w:lang w:eastAsia="en-GB"/>
        </w:rPr>
        <w:t xml:space="preserve">largely </w:t>
      </w:r>
      <w:r w:rsidRPr="00A412CB">
        <w:rPr>
          <w:rFonts w:eastAsia="Times New Roman" w:cstheme="minorHAnsi"/>
          <w:sz w:val="22"/>
          <w:szCs w:val="22"/>
          <w:lang w:eastAsia="en-GB"/>
        </w:rPr>
        <w:t>derived from adult data</w:t>
      </w:r>
      <w:r w:rsidR="00537F2B">
        <w:rPr>
          <w:rFonts w:eastAsia="Times New Roman" w:cstheme="minorHAnsi"/>
          <w:sz w:val="22"/>
          <w:szCs w:val="22"/>
          <w:lang w:eastAsia="en-GB"/>
        </w:rPr>
        <w:t xml:space="preserve"> </w:t>
      </w:r>
      <w:r w:rsidR="00537F2B">
        <w:rPr>
          <w:rFonts w:eastAsia="Times New Roman" w:cstheme="minorHAnsi"/>
          <w:sz w:val="22"/>
          <w:szCs w:val="22"/>
          <w:lang w:eastAsia="en-GB"/>
        </w:rPr>
        <w:fldChar w:fldCharType="begin"/>
      </w:r>
      <w:r w:rsidR="00642970">
        <w:rPr>
          <w:rFonts w:eastAsia="Times New Roman" w:cstheme="minorHAnsi"/>
          <w:sz w:val="22"/>
          <w:szCs w:val="22"/>
          <w:lang w:eastAsia="en-GB"/>
        </w:rPr>
        <w:instrText xml:space="preserve"> ADDIN ZOTERO_ITEM CSL_CITATION {"citationID":"4bmc1M4N","properties":{"formattedCitation":"(5)","plainCitation":"(5)","noteIndex":0},"citationItems":[{"id":11,"uris":["http://zotero.org/users/local/lvPLY4Gu/items/PZVAFVT2"],"itemData":{"id":11,"type":"article-journal","container-title":"Kidney International","DOI":"10.1016/j.kint.2021.05.021","ISSN":"1523-1755","issue":"4S","journalAbbreviation":"Kidney Int","language":"eng","note":"PMID: 34556256","page":"S1-S276","source":"PubMed","title":"KDIGO 2021 Clinical Practice Guideline for the Management of Glomerular Diseases","volume":"100","author":[{"literal":"Kidney Disease: Improving Global Outcomes (KDIGO) Glomerular Diseases Work Group"}],"issued":{"date-parts":[["2021",10]]}}}],"schema":"https://github.com/citation-style-language/schema/raw/master/csl-citation.json"} </w:instrText>
      </w:r>
      <w:r w:rsidR="00537F2B">
        <w:rPr>
          <w:rFonts w:eastAsia="Times New Roman" w:cstheme="minorHAnsi"/>
          <w:sz w:val="22"/>
          <w:szCs w:val="22"/>
          <w:lang w:eastAsia="en-GB"/>
        </w:rPr>
        <w:fldChar w:fldCharType="separate"/>
      </w:r>
      <w:r w:rsidR="00642970">
        <w:rPr>
          <w:rFonts w:eastAsia="Times New Roman" w:cstheme="minorHAnsi"/>
          <w:noProof/>
          <w:sz w:val="22"/>
          <w:szCs w:val="22"/>
          <w:lang w:eastAsia="en-GB"/>
        </w:rPr>
        <w:t>(5)</w:t>
      </w:r>
      <w:r w:rsidR="00537F2B">
        <w:rPr>
          <w:rFonts w:eastAsia="Times New Roman" w:cstheme="minorHAnsi"/>
          <w:sz w:val="22"/>
          <w:szCs w:val="22"/>
          <w:lang w:eastAsia="en-GB"/>
        </w:rPr>
        <w:fldChar w:fldCharType="end"/>
      </w:r>
      <w:r w:rsidRPr="00A412CB">
        <w:rPr>
          <w:rFonts w:eastAsia="Times New Roman" w:cstheme="minorHAnsi"/>
          <w:sz w:val="22"/>
          <w:szCs w:val="22"/>
          <w:lang w:eastAsia="en-GB"/>
        </w:rPr>
        <w:t xml:space="preserve">. </w:t>
      </w:r>
      <w:r w:rsidR="00A412CB" w:rsidRPr="00A412CB">
        <w:rPr>
          <w:rFonts w:eastAsia="Times New Roman" w:cstheme="minorHAnsi"/>
          <w:sz w:val="22"/>
          <w:szCs w:val="22"/>
          <w:lang w:eastAsia="en-GB"/>
        </w:rPr>
        <w:t xml:space="preserve">In MN with low levels of proteinuria, normal serum albumin and normal kidney function, the reported outcomes are good and patients in this group also have minimal associated </w:t>
      </w:r>
      <w:r w:rsidR="00A412CB" w:rsidRPr="00A412CB">
        <w:rPr>
          <w:rFonts w:eastAsia="Times New Roman" w:cstheme="minorHAnsi"/>
          <w:sz w:val="22"/>
          <w:szCs w:val="22"/>
          <w:lang w:eastAsia="en-GB"/>
        </w:rPr>
        <w:lastRenderedPageBreak/>
        <w:t xml:space="preserve">symptom burden.  For this </w:t>
      </w:r>
      <w:r w:rsidR="00660A81">
        <w:rPr>
          <w:rFonts w:eastAsia="Times New Roman" w:cstheme="minorHAnsi"/>
          <w:sz w:val="22"/>
          <w:szCs w:val="22"/>
          <w:lang w:eastAsia="en-GB"/>
        </w:rPr>
        <w:t>group</w:t>
      </w:r>
      <w:r w:rsidR="00A412CB" w:rsidRPr="00A412CB">
        <w:rPr>
          <w:rFonts w:eastAsia="Times New Roman" w:cstheme="minorHAnsi"/>
          <w:sz w:val="22"/>
          <w:szCs w:val="22"/>
          <w:lang w:eastAsia="en-GB"/>
        </w:rPr>
        <w:t xml:space="preserve">, there </w:t>
      </w:r>
      <w:r w:rsidR="00660A81">
        <w:rPr>
          <w:rFonts w:eastAsia="Times New Roman" w:cstheme="minorHAnsi"/>
          <w:sz w:val="22"/>
          <w:szCs w:val="22"/>
          <w:lang w:eastAsia="en-GB"/>
        </w:rPr>
        <w:t>appears to be</w:t>
      </w:r>
      <w:r w:rsidR="00A412CB" w:rsidRPr="00A412CB">
        <w:rPr>
          <w:rFonts w:eastAsia="Times New Roman" w:cstheme="minorHAnsi"/>
          <w:sz w:val="22"/>
          <w:szCs w:val="22"/>
          <w:lang w:eastAsia="en-GB"/>
        </w:rPr>
        <w:t xml:space="preserve"> time to </w:t>
      </w:r>
      <w:r w:rsidR="00660A81">
        <w:rPr>
          <w:rFonts w:eastAsia="Times New Roman" w:cstheme="minorHAnsi"/>
          <w:sz w:val="22"/>
          <w:szCs w:val="22"/>
          <w:lang w:eastAsia="en-GB"/>
        </w:rPr>
        <w:t>consider</w:t>
      </w:r>
      <w:r w:rsidR="00A412CB" w:rsidRPr="00A412CB">
        <w:rPr>
          <w:rFonts w:eastAsia="Times New Roman" w:cstheme="minorHAnsi"/>
          <w:sz w:val="22"/>
          <w:szCs w:val="22"/>
          <w:lang w:eastAsia="en-GB"/>
        </w:rPr>
        <w:t xml:space="preserve"> management </w:t>
      </w:r>
      <w:r w:rsidR="00660A81">
        <w:rPr>
          <w:rFonts w:eastAsia="Times New Roman" w:cstheme="minorHAnsi"/>
          <w:sz w:val="22"/>
          <w:szCs w:val="22"/>
          <w:lang w:eastAsia="en-GB"/>
        </w:rPr>
        <w:t>using</w:t>
      </w:r>
      <w:r w:rsidR="00A412CB" w:rsidRPr="00A412CB">
        <w:rPr>
          <w:rFonts w:eastAsia="Times New Roman" w:cstheme="minorHAnsi"/>
          <w:sz w:val="22"/>
          <w:szCs w:val="22"/>
          <w:lang w:eastAsia="en-GB"/>
        </w:rPr>
        <w:t xml:space="preserve"> conservative treatment and they may not justify invasive procedures such as the kidney biopsy. </w:t>
      </w:r>
      <w:r w:rsidR="00EE44C6">
        <w:rPr>
          <w:rFonts w:eastAsia="Times New Roman" w:cstheme="minorHAnsi"/>
          <w:sz w:val="22"/>
          <w:szCs w:val="22"/>
          <w:lang w:eastAsia="en-GB"/>
        </w:rPr>
        <w:t>In this group immunosuppression may add risks without significant benefit</w:t>
      </w:r>
      <w:r w:rsidR="00660A81">
        <w:rPr>
          <w:rFonts w:eastAsia="Times New Roman" w:cstheme="minorHAnsi"/>
          <w:sz w:val="22"/>
          <w:szCs w:val="22"/>
          <w:lang w:eastAsia="en-GB"/>
        </w:rPr>
        <w:t xml:space="preserve"> until proven otherwise</w:t>
      </w:r>
      <w:r w:rsidR="00EE44C6">
        <w:rPr>
          <w:rFonts w:eastAsia="Times New Roman" w:cstheme="minorHAnsi"/>
          <w:sz w:val="22"/>
          <w:szCs w:val="22"/>
          <w:lang w:eastAsia="en-GB"/>
        </w:rPr>
        <w:t xml:space="preserve">. </w:t>
      </w:r>
    </w:p>
    <w:p w14:paraId="5482C5D9" w14:textId="77777777" w:rsidR="00117750" w:rsidRPr="00C00DD6" w:rsidRDefault="00117750" w:rsidP="003F494F">
      <w:pPr>
        <w:pStyle w:val="NormalWeb"/>
        <w:spacing w:before="0" w:beforeAutospacing="0" w:after="0" w:afterAutospacing="0" w:line="360" w:lineRule="auto"/>
        <w:rPr>
          <w:rFonts w:asciiTheme="minorHAnsi" w:hAnsiTheme="minorHAnsi" w:cstheme="minorHAnsi"/>
          <w:sz w:val="22"/>
          <w:szCs w:val="22"/>
        </w:rPr>
      </w:pPr>
    </w:p>
    <w:p w14:paraId="4B679072" w14:textId="1642BBEF" w:rsidR="00257E1D" w:rsidRPr="00C00DD6" w:rsidRDefault="001630D4" w:rsidP="003F494F">
      <w:pPr>
        <w:spacing w:line="360" w:lineRule="auto"/>
        <w:rPr>
          <w:rFonts w:cstheme="minorHAnsi"/>
          <w:b/>
          <w:bCs/>
          <w:sz w:val="22"/>
          <w:szCs w:val="22"/>
        </w:rPr>
      </w:pPr>
      <w:r>
        <w:rPr>
          <w:rFonts w:eastAsia="Arial" w:cstheme="minorHAnsi"/>
          <w:b/>
          <w:sz w:val="22"/>
          <w:szCs w:val="22"/>
          <w:u w:val="single"/>
          <w:lang w:val="en" w:eastAsia="en-GB"/>
        </w:rPr>
        <w:t xml:space="preserve">GN subtype 4: </w:t>
      </w:r>
      <w:r w:rsidR="00D0665F">
        <w:rPr>
          <w:rFonts w:eastAsia="Arial" w:cstheme="minorHAnsi"/>
          <w:b/>
          <w:sz w:val="22"/>
          <w:szCs w:val="22"/>
          <w:u w:val="single"/>
          <w:lang w:val="en" w:eastAsia="en-GB"/>
        </w:rPr>
        <w:t>L</w:t>
      </w:r>
      <w:proofErr w:type="spellStart"/>
      <w:r w:rsidRPr="00C00DD6">
        <w:rPr>
          <w:rFonts w:cstheme="minorHAnsi"/>
          <w:b/>
          <w:bCs/>
          <w:sz w:val="22"/>
          <w:szCs w:val="22"/>
          <w:u w:val="single"/>
        </w:rPr>
        <w:t>upus</w:t>
      </w:r>
      <w:proofErr w:type="spellEnd"/>
      <w:r w:rsidRPr="00C00DD6">
        <w:rPr>
          <w:rFonts w:cstheme="minorHAnsi"/>
          <w:b/>
          <w:bCs/>
          <w:sz w:val="22"/>
          <w:szCs w:val="22"/>
          <w:u w:val="single"/>
        </w:rPr>
        <w:t xml:space="preserve"> nephritis</w:t>
      </w:r>
      <w:r w:rsidR="00C57D12">
        <w:rPr>
          <w:rFonts w:cstheme="minorHAnsi"/>
          <w:b/>
          <w:bCs/>
          <w:sz w:val="22"/>
          <w:szCs w:val="22"/>
          <w:u w:val="single"/>
        </w:rPr>
        <w:t xml:space="preserve"> (LN)</w:t>
      </w:r>
    </w:p>
    <w:p w14:paraId="7F650F89" w14:textId="77777777" w:rsidR="00C00DD6" w:rsidRPr="00C00DD6" w:rsidRDefault="00C00DD6" w:rsidP="003F494F">
      <w:pPr>
        <w:spacing w:line="360" w:lineRule="auto"/>
        <w:rPr>
          <w:rFonts w:cstheme="minorHAnsi"/>
          <w:b/>
          <w:bCs/>
          <w:sz w:val="22"/>
          <w:szCs w:val="22"/>
        </w:rPr>
      </w:pPr>
    </w:p>
    <w:p w14:paraId="2C09BF18" w14:textId="498739E4" w:rsidR="003D5CF4" w:rsidRDefault="001630D4" w:rsidP="003F494F">
      <w:pPr>
        <w:spacing w:line="360" w:lineRule="auto"/>
        <w:rPr>
          <w:rFonts w:cstheme="minorHAnsi"/>
          <w:b/>
          <w:bCs/>
          <w:sz w:val="22"/>
          <w:szCs w:val="22"/>
        </w:rPr>
      </w:pPr>
      <w:r w:rsidRPr="00C00DD6">
        <w:rPr>
          <w:rFonts w:cstheme="minorHAnsi"/>
          <w:b/>
          <w:bCs/>
          <w:sz w:val="22"/>
          <w:szCs w:val="22"/>
        </w:rPr>
        <w:t>Definitions</w:t>
      </w:r>
    </w:p>
    <w:p w14:paraId="4FC30422" w14:textId="3FAB0BEC" w:rsidR="00601B86" w:rsidRPr="00764801" w:rsidRDefault="001630D4" w:rsidP="003F494F">
      <w:pPr>
        <w:spacing w:before="240" w:after="240" w:line="360" w:lineRule="auto"/>
        <w:jc w:val="both"/>
        <w:rPr>
          <w:rFonts w:eastAsia="Arial" w:cstheme="minorHAnsi"/>
          <w:sz w:val="22"/>
          <w:szCs w:val="22"/>
          <w:lang w:val="en" w:eastAsia="en-GB"/>
        </w:rPr>
      </w:pPr>
      <w:r>
        <w:rPr>
          <w:rFonts w:eastAsia="Arial" w:cstheme="minorHAnsi"/>
          <w:sz w:val="22"/>
          <w:szCs w:val="22"/>
          <w:lang w:val="en" w:eastAsia="en-GB"/>
        </w:rPr>
        <w:t>To</w:t>
      </w:r>
      <w:r w:rsidRPr="00117750">
        <w:rPr>
          <w:rFonts w:eastAsia="Arial" w:cstheme="minorHAnsi"/>
          <w:sz w:val="22"/>
          <w:szCs w:val="22"/>
          <w:lang w:val="en" w:eastAsia="en-GB"/>
        </w:rPr>
        <w:t xml:space="preserve"> align </w:t>
      </w:r>
      <w:r>
        <w:rPr>
          <w:rFonts w:eastAsia="Arial" w:cstheme="minorHAnsi"/>
          <w:sz w:val="22"/>
          <w:szCs w:val="22"/>
          <w:lang w:val="en" w:eastAsia="en-GB"/>
        </w:rPr>
        <w:t>terminology</w:t>
      </w:r>
      <w:r w:rsidRPr="00117750">
        <w:rPr>
          <w:rFonts w:eastAsia="Arial" w:cstheme="minorHAnsi"/>
          <w:sz w:val="22"/>
          <w:szCs w:val="22"/>
          <w:lang w:val="en" w:eastAsia="en-GB"/>
        </w:rPr>
        <w:t xml:space="preserve">, we suggest that the following definitions for </w:t>
      </w:r>
      <w:r w:rsidR="004C0AC9">
        <w:rPr>
          <w:rFonts w:eastAsia="Arial" w:cstheme="minorHAnsi"/>
          <w:sz w:val="22"/>
          <w:szCs w:val="22"/>
          <w:lang w:val="en" w:eastAsia="en-GB"/>
        </w:rPr>
        <w:t xml:space="preserve">LN </w:t>
      </w:r>
      <w:r w:rsidRPr="00117750">
        <w:rPr>
          <w:rFonts w:eastAsia="Arial" w:cstheme="minorHAnsi"/>
          <w:sz w:val="22"/>
          <w:szCs w:val="22"/>
          <w:lang w:val="en" w:eastAsia="en-GB"/>
        </w:rPr>
        <w:t xml:space="preserve">are </w:t>
      </w:r>
      <w:r>
        <w:rPr>
          <w:rFonts w:eastAsia="Arial" w:cstheme="minorHAnsi"/>
          <w:sz w:val="22"/>
          <w:szCs w:val="22"/>
          <w:lang w:val="en" w:eastAsia="en-GB"/>
        </w:rPr>
        <w:t>used.</w:t>
      </w:r>
      <w:r w:rsidRPr="00601B86">
        <w:rPr>
          <w:rFonts w:eastAsia="Arial" w:cstheme="minorHAnsi"/>
          <w:sz w:val="22"/>
          <w:szCs w:val="22"/>
          <w:lang w:val="en" w:eastAsia="en-GB"/>
        </w:rPr>
        <w:t xml:space="preserve"> </w:t>
      </w:r>
      <w:r w:rsidRPr="00117750">
        <w:rPr>
          <w:rFonts w:eastAsia="Arial" w:cstheme="minorHAnsi"/>
          <w:sz w:val="22"/>
          <w:szCs w:val="22"/>
          <w:lang w:val="en" w:eastAsia="en-GB"/>
        </w:rPr>
        <w:t xml:space="preserve">Definitions are taken from the </w:t>
      </w:r>
      <w:r>
        <w:rPr>
          <w:rFonts w:eastAsia="Arial" w:cstheme="minorHAnsi"/>
          <w:sz w:val="22"/>
          <w:szCs w:val="22"/>
          <w:lang w:val="en" w:eastAsia="en-GB"/>
        </w:rPr>
        <w:t>KDIGO</w:t>
      </w:r>
      <w:r w:rsidRPr="00117750">
        <w:rPr>
          <w:rFonts w:eastAsia="Arial" w:cstheme="minorHAnsi"/>
          <w:sz w:val="22"/>
          <w:szCs w:val="22"/>
          <w:lang w:val="en" w:eastAsia="en-GB"/>
        </w:rPr>
        <w:t xml:space="preserve"> </w:t>
      </w:r>
      <w:r w:rsidRPr="00A13B72">
        <w:rPr>
          <w:rFonts w:eastAsia="Arial" w:cstheme="minorHAnsi"/>
          <w:sz w:val="22"/>
          <w:szCs w:val="22"/>
          <w:lang w:val="en" w:eastAsia="en-GB"/>
        </w:rPr>
        <w:t>guidelines, LN guidelines with</w:t>
      </w:r>
      <w:r w:rsidRPr="00117750">
        <w:rPr>
          <w:rFonts w:eastAsia="Arial" w:cstheme="minorHAnsi"/>
          <w:sz w:val="22"/>
          <w:szCs w:val="22"/>
          <w:lang w:val="en" w:eastAsia="en-GB"/>
        </w:rPr>
        <w:t xml:space="preserve"> minor modifications </w:t>
      </w:r>
      <w:r>
        <w:rPr>
          <w:rFonts w:eastAsia="Arial" w:cstheme="minorHAnsi"/>
          <w:sz w:val="22"/>
          <w:szCs w:val="22"/>
          <w:lang w:val="en" w:eastAsia="en-GB"/>
        </w:rPr>
        <w:t xml:space="preserve">by the GDG </w:t>
      </w:r>
      <w:r w:rsidRPr="00117750">
        <w:rPr>
          <w:rFonts w:eastAsia="Arial" w:cstheme="minorHAnsi"/>
          <w:sz w:val="22"/>
          <w:szCs w:val="22"/>
          <w:lang w:val="en" w:eastAsia="en-GB"/>
        </w:rPr>
        <w:t>for standard UK practice</w:t>
      </w:r>
      <w:r w:rsidR="00A13B72">
        <w:rPr>
          <w:rFonts w:eastAsia="Arial" w:cstheme="minorHAnsi"/>
          <w:sz w:val="22"/>
          <w:szCs w:val="22"/>
          <w:lang w:val="en" w:eastAsia="en-GB"/>
        </w:rPr>
        <w:t xml:space="preserve"> </w:t>
      </w:r>
      <w:r w:rsidR="00A13B72">
        <w:rPr>
          <w:rFonts w:eastAsia="Arial" w:cstheme="minorHAnsi"/>
          <w:sz w:val="22"/>
          <w:szCs w:val="22"/>
          <w:lang w:val="en" w:eastAsia="en-GB"/>
        </w:rPr>
        <w:fldChar w:fldCharType="begin"/>
      </w:r>
      <w:r w:rsidR="00642970">
        <w:rPr>
          <w:rFonts w:eastAsia="Arial" w:cstheme="minorHAnsi"/>
          <w:sz w:val="22"/>
          <w:szCs w:val="22"/>
          <w:lang w:val="en" w:eastAsia="en-GB"/>
        </w:rPr>
        <w:instrText xml:space="preserve"> ADDIN ZOTERO_ITEM CSL_CITATION {"citationID":"lNt4dPDM","properties":{"formattedCitation":"(6)","plainCitation":"(6)","noteIndex":0},"citationItems":[{"id":13,"uris":["http://zotero.org/users/local/lvPLY4Gu/items/47U9PVRE"],"itemData":{"id":13,"type":"article-journal","container-title":"Kidney International","DOI":"10.1016/j.kint.2023.09.002","ISSN":"1523-1755","issue":"1S","journalAbbreviation":"Kidney Int","language":"eng","note":"PMID: 38182286","page":"S1-S69","source":"PubMed","title":"KDIGO 2024 Clinical Practice Guideline for the management of LUPUS NEPHRITIS","volume":"105","author":[{"literal":"Kidney Disease: Improving Global Outcomes (KDIGO) Lupus Nephritis Work Group"}],"issued":{"date-parts":[["2024",1]]}}}],"schema":"https://github.com/citation-style-language/schema/raw/master/csl-citation.json"} </w:instrText>
      </w:r>
      <w:r w:rsidR="00A13B72">
        <w:rPr>
          <w:rFonts w:eastAsia="Arial" w:cstheme="minorHAnsi"/>
          <w:sz w:val="22"/>
          <w:szCs w:val="22"/>
          <w:lang w:val="en" w:eastAsia="en-GB"/>
        </w:rPr>
        <w:fldChar w:fldCharType="separate"/>
      </w:r>
      <w:r w:rsidR="00642970">
        <w:rPr>
          <w:rFonts w:eastAsia="Arial" w:cstheme="minorHAnsi"/>
          <w:noProof/>
          <w:sz w:val="22"/>
          <w:szCs w:val="22"/>
          <w:lang w:val="en" w:eastAsia="en-GB"/>
        </w:rPr>
        <w:t>(6)</w:t>
      </w:r>
      <w:r w:rsidR="00A13B72">
        <w:rPr>
          <w:rFonts w:eastAsia="Arial" w:cstheme="minorHAnsi"/>
          <w:sz w:val="22"/>
          <w:szCs w:val="22"/>
          <w:lang w:val="en" w:eastAsia="en-GB"/>
        </w:rPr>
        <w:fldChar w:fldCharType="end"/>
      </w:r>
      <w:r w:rsidRPr="00117750">
        <w:rPr>
          <w:rFonts w:eastAsia="Arial" w:cstheme="minorHAnsi"/>
          <w:sz w:val="22"/>
          <w:szCs w:val="22"/>
          <w:lang w:val="en" w:eastAsia="en-GB"/>
        </w:rPr>
        <w:t xml:space="preserve">.  </w:t>
      </w:r>
    </w:p>
    <w:tbl>
      <w:tblPr>
        <w:tblStyle w:val="TableGrid"/>
        <w:tblW w:w="0" w:type="auto"/>
        <w:tblLook w:val="04A0" w:firstRow="1" w:lastRow="0" w:firstColumn="1" w:lastColumn="0" w:noHBand="0" w:noVBand="1"/>
      </w:tblPr>
      <w:tblGrid>
        <w:gridCol w:w="846"/>
        <w:gridCol w:w="9497"/>
      </w:tblGrid>
      <w:tr w:rsidR="00837E18" w14:paraId="060EBC21" w14:textId="77777777" w:rsidTr="00CF116C">
        <w:tc>
          <w:tcPr>
            <w:tcW w:w="10343" w:type="dxa"/>
            <w:gridSpan w:val="2"/>
          </w:tcPr>
          <w:p w14:paraId="029AC1F0" w14:textId="77777777" w:rsidR="00601B86" w:rsidRPr="00C00DD6" w:rsidRDefault="001630D4" w:rsidP="003F494F">
            <w:pPr>
              <w:spacing w:before="240" w:line="360" w:lineRule="auto"/>
              <w:rPr>
                <w:rFonts w:eastAsia="Arial" w:cstheme="minorHAnsi"/>
                <w:b/>
                <w:sz w:val="22"/>
                <w:szCs w:val="22"/>
                <w:lang w:val="en" w:eastAsia="en-GB"/>
              </w:rPr>
            </w:pPr>
            <w:r w:rsidRPr="00C00DD6">
              <w:rPr>
                <w:rFonts w:eastAsia="Arial" w:cstheme="minorHAnsi"/>
                <w:b/>
                <w:sz w:val="22"/>
                <w:szCs w:val="22"/>
                <w:lang w:val="en" w:eastAsia="en-GB"/>
              </w:rPr>
              <w:t xml:space="preserve">Diagnosis </w:t>
            </w:r>
          </w:p>
        </w:tc>
      </w:tr>
      <w:tr w:rsidR="00837E18" w14:paraId="111BFCFD" w14:textId="77777777" w:rsidTr="00CF116C">
        <w:tc>
          <w:tcPr>
            <w:tcW w:w="846" w:type="dxa"/>
          </w:tcPr>
          <w:p w14:paraId="7E53EA58" w14:textId="77777777" w:rsidR="00601B86" w:rsidRPr="00C00DD6" w:rsidRDefault="001630D4" w:rsidP="003F494F">
            <w:pPr>
              <w:spacing w:before="240" w:line="360" w:lineRule="auto"/>
              <w:jc w:val="center"/>
              <w:rPr>
                <w:rFonts w:eastAsia="Arial" w:cstheme="minorHAnsi"/>
                <w:sz w:val="22"/>
                <w:szCs w:val="22"/>
                <w:lang w:val="en" w:eastAsia="en-GB"/>
              </w:rPr>
            </w:pPr>
            <w:r w:rsidRPr="00C00DD6">
              <w:rPr>
                <w:rFonts w:eastAsia="Arial" w:cstheme="minorHAnsi"/>
                <w:sz w:val="22"/>
                <w:szCs w:val="22"/>
                <w:lang w:val="en" w:eastAsia="en-GB"/>
              </w:rPr>
              <w:t>a</w:t>
            </w:r>
          </w:p>
        </w:tc>
        <w:tc>
          <w:tcPr>
            <w:tcW w:w="9497" w:type="dxa"/>
          </w:tcPr>
          <w:p w14:paraId="7452372F" w14:textId="00AFBA31" w:rsidR="00601B86" w:rsidRPr="00C00DD6" w:rsidRDefault="001630D4" w:rsidP="003F494F">
            <w:pPr>
              <w:spacing w:before="240" w:line="360" w:lineRule="auto"/>
              <w:rPr>
                <w:rFonts w:eastAsia="Arial" w:cstheme="minorHAnsi"/>
                <w:sz w:val="22"/>
                <w:szCs w:val="22"/>
                <w:lang w:val="en" w:eastAsia="en-GB"/>
              </w:rPr>
            </w:pPr>
            <w:r>
              <w:rPr>
                <w:rFonts w:eastAsiaTheme="minorEastAsia" w:cstheme="minorHAnsi"/>
                <w:color w:val="000000" w:themeColor="text1"/>
                <w:kern w:val="24"/>
                <w:sz w:val="22"/>
                <w:szCs w:val="22"/>
              </w:rPr>
              <w:t>A</w:t>
            </w:r>
            <w:r w:rsidRPr="00C00DD6">
              <w:rPr>
                <w:rFonts w:eastAsiaTheme="minorEastAsia" w:cstheme="minorHAnsi"/>
                <w:color w:val="000000" w:themeColor="text1"/>
                <w:kern w:val="24"/>
                <w:sz w:val="22"/>
                <w:szCs w:val="22"/>
              </w:rPr>
              <w:t xml:space="preserve"> diagnosis of systemic lupus erythematosus (SLE) can be made when children and young people (CYP) meet </w:t>
            </w:r>
            <w:r w:rsidRPr="000728AA">
              <w:rPr>
                <w:rFonts w:eastAsiaTheme="minorEastAsia" w:cstheme="minorHAnsi"/>
                <w:color w:val="000000" w:themeColor="text1"/>
                <w:kern w:val="24"/>
                <w:sz w:val="22"/>
                <w:szCs w:val="22"/>
              </w:rPr>
              <w:t xml:space="preserve">the </w:t>
            </w:r>
            <w:r w:rsidR="000728AA">
              <w:rPr>
                <w:rFonts w:eastAsiaTheme="minorEastAsia" w:cstheme="minorHAnsi"/>
                <w:color w:val="000000" w:themeColor="text1"/>
                <w:kern w:val="24"/>
                <w:sz w:val="22"/>
                <w:szCs w:val="22"/>
              </w:rPr>
              <w:t>Systemic Lupus Collaborative Clinics (</w:t>
            </w:r>
            <w:r w:rsidR="000728AA" w:rsidRPr="000728AA">
              <w:rPr>
                <w:rFonts w:eastAsiaTheme="minorEastAsia" w:cstheme="minorHAnsi"/>
                <w:color w:val="000000" w:themeColor="text1"/>
                <w:kern w:val="24"/>
                <w:sz w:val="22"/>
                <w:szCs w:val="22"/>
              </w:rPr>
              <w:t>SLICC</w:t>
            </w:r>
            <w:r w:rsidR="000728AA">
              <w:rPr>
                <w:rFonts w:eastAsiaTheme="minorEastAsia" w:cstheme="minorHAnsi"/>
                <w:color w:val="000000" w:themeColor="text1"/>
                <w:kern w:val="24"/>
                <w:sz w:val="22"/>
                <w:szCs w:val="22"/>
              </w:rPr>
              <w:t>)</w:t>
            </w:r>
            <w:r w:rsidR="000728AA" w:rsidRPr="000728AA">
              <w:rPr>
                <w:rFonts w:eastAsiaTheme="minorEastAsia" w:cstheme="minorHAnsi"/>
                <w:color w:val="000000" w:themeColor="text1"/>
                <w:kern w:val="24"/>
                <w:sz w:val="22"/>
                <w:szCs w:val="22"/>
              </w:rPr>
              <w:t xml:space="preserve"> criteria</w:t>
            </w:r>
            <w:r w:rsidR="000728AA">
              <w:rPr>
                <w:rFonts w:eastAsiaTheme="minorEastAsia" w:cstheme="minorHAnsi"/>
                <w:color w:val="000000" w:themeColor="text1"/>
                <w:kern w:val="24"/>
                <w:sz w:val="22"/>
                <w:szCs w:val="22"/>
              </w:rPr>
              <w:t>, a revised version of the American College Rheumatology SLE classification criteria,</w:t>
            </w:r>
            <w:r w:rsidR="000728AA" w:rsidRPr="000728AA">
              <w:rPr>
                <w:rFonts w:eastAsiaTheme="minorEastAsia" w:cstheme="minorHAnsi"/>
                <w:color w:val="000000" w:themeColor="text1"/>
                <w:kern w:val="24"/>
                <w:sz w:val="22"/>
                <w:szCs w:val="22"/>
              </w:rPr>
              <w:t xml:space="preserve"> that</w:t>
            </w:r>
            <w:r w:rsidRPr="000728AA">
              <w:rPr>
                <w:rFonts w:eastAsiaTheme="minorEastAsia" w:cstheme="minorHAnsi"/>
                <w:color w:val="000000" w:themeColor="text1"/>
                <w:kern w:val="24"/>
                <w:sz w:val="22"/>
                <w:szCs w:val="22"/>
              </w:rPr>
              <w:t xml:space="preserve"> includ</w:t>
            </w:r>
            <w:r w:rsidR="000728AA" w:rsidRPr="000728AA">
              <w:rPr>
                <w:rFonts w:eastAsiaTheme="minorEastAsia" w:cstheme="minorHAnsi"/>
                <w:color w:val="000000" w:themeColor="text1"/>
                <w:kern w:val="24"/>
                <w:sz w:val="22"/>
                <w:szCs w:val="22"/>
              </w:rPr>
              <w:t>es</w:t>
            </w:r>
            <w:r w:rsidRPr="000728AA">
              <w:rPr>
                <w:rFonts w:eastAsiaTheme="minorEastAsia" w:cstheme="minorHAnsi"/>
                <w:color w:val="000000" w:themeColor="text1"/>
                <w:kern w:val="24"/>
                <w:sz w:val="22"/>
                <w:szCs w:val="22"/>
              </w:rPr>
              <w:t xml:space="preserve"> symptoms, </w:t>
            </w:r>
            <w:r w:rsidR="009D1035" w:rsidRPr="000728AA">
              <w:rPr>
                <w:rFonts w:eastAsiaTheme="minorEastAsia" w:cstheme="minorHAnsi"/>
                <w:color w:val="000000" w:themeColor="text1"/>
                <w:kern w:val="24"/>
                <w:sz w:val="22"/>
                <w:szCs w:val="22"/>
              </w:rPr>
              <w:t>signs,</w:t>
            </w:r>
            <w:r w:rsidRPr="000728AA">
              <w:rPr>
                <w:rFonts w:eastAsiaTheme="minorEastAsia" w:cstheme="minorHAnsi"/>
                <w:color w:val="000000" w:themeColor="text1"/>
                <w:kern w:val="24"/>
                <w:sz w:val="22"/>
                <w:szCs w:val="22"/>
              </w:rPr>
              <w:t xml:space="preserve"> and investigations suggestive of SLE</w:t>
            </w:r>
            <w:r w:rsidR="000728AA">
              <w:rPr>
                <w:rFonts w:eastAsiaTheme="minorEastAsia" w:cstheme="minorHAnsi"/>
                <w:color w:val="000000" w:themeColor="text1"/>
                <w:kern w:val="24"/>
                <w:sz w:val="22"/>
                <w:szCs w:val="22"/>
              </w:rPr>
              <w:t xml:space="preserve"> </w:t>
            </w:r>
            <w:r w:rsidR="000728AA">
              <w:rPr>
                <w:rFonts w:eastAsiaTheme="minorEastAsia" w:cstheme="minorHAnsi"/>
                <w:color w:val="000000" w:themeColor="text1"/>
                <w:kern w:val="24"/>
                <w:sz w:val="22"/>
                <w:szCs w:val="22"/>
              </w:rPr>
              <w:fldChar w:fldCharType="begin"/>
            </w:r>
            <w:r w:rsidR="00642970">
              <w:rPr>
                <w:rFonts w:eastAsiaTheme="minorEastAsia" w:cstheme="minorHAnsi"/>
                <w:color w:val="000000" w:themeColor="text1"/>
                <w:kern w:val="24"/>
                <w:sz w:val="22"/>
                <w:szCs w:val="22"/>
              </w:rPr>
              <w:instrText xml:space="preserve"> ADDIN ZOTERO_ITEM CSL_CITATION {"citationID":"51qvNTx5","properties":{"formattedCitation":"(148)","plainCitation":"(148)","noteIndex":0},"citationItems":[{"id":356,"uris":["http://zotero.org/users/local/lvPLY4Gu/items/WI35W22Q"],"itemData":{"id":356,"type":"article-journal","abstract":"OBJECTIVE: The Systemic Lupus International Collaborating Clinics (SLICC) group revised and validated the American College of Rheumatology (ACR) systemic lupus erythematosus (SLE) classification criteria in order to improve clinical relevance, meet stringent methodology requirements, and incorporate new knowledge regarding the immunology of SLE.\nMETHODS: The classification criteria were derived from a set of 702 expert-rated patient scenarios. Recursive partitioning was used to derive an initial rule that was simplified and refined based on SLICC physician consensus. The SLICC group validated the classification criteria in a new validation sample of 690 new expert-rated patient scenarios.\nRESULTS: Seventeen criteria were identified. In the derivation set, the SLICC classification criteria resulted in fewer misclassifications compared with the current ACR classification criteria (49 versus 70; P = 0.0082) and had greater sensitivity (94% versus 86%; P &lt; 0.0001) and equal specificity (92% versus 93%; P = 0.39). In the validation set, the SLICC classification criteria resulted in fewer misclassifications compared with the current ACR classification criteria (62 versus 74; P = 0.24) and had greater sensitivity (97% versus 83%; P &lt; 0.0001) but lower specificity (84% versus 96%; P &lt; 0.0001).\nCONCLUSION: The new SLICC classification criteria performed well in a large set of patient scenarios rated by experts. According to the SLICC rule for the classification of SLE, the patient must satisfy at least 4 criteria, including at least one clinical criterion and one immunologic criterion OR the patient must have biopsy-proven lupus nephritis in the presence of antinuclear antibodies or anti-double-stranded DNA antibodies.","container-title":"Arthritis and Rheumatism","DOI":"10.1002/art.34473","ISSN":"1529-0131","issue":"8","journalAbbreviation":"Arthritis Rheum","language":"eng","note":"PMID: 22553077\nPMCID: PMC3409311","page":"2677-2686","source":"PubMed","title":"Derivation and validation of the Systemic Lupus International Collaborating Clinics classification criteria for systemic lupus erythematosus","volume":"64","author":[{"family":"Petri","given":"Michelle"},{"family":"Orbai","given":"Ana-Maria"},{"family":"Alarcón","given":"Graciela S."},{"family":"Gordon","given":"Caroline"},{"family":"Merrill","given":"Joan T."},{"family":"Fortin","given":"Paul R."},{"family":"Bruce","given":"Ian N."},{"family":"Isenberg","given":"David"},{"family":"Wallace","given":"Daniel J."},{"family":"Nived","given":"Ola"},{"family":"Sturfelt","given":"Gunnar"},{"family":"Ramsey-Goldman","given":"Rosalind"},{"family":"Bae","given":"Sang-Cheol"},{"family":"Hanly","given":"John G."},{"family":"Sánchez-Guerrero","given":"Jorge"},{"family":"Clarke","given":"Ann"},{"family":"Aranow","given":"Cynthia"},{"family":"Manzi","given":"Susan"},{"family":"Urowitz","given":"Murray"},{"family":"Gladman","given":"Dafna"},{"family":"Kalunian","given":"Kenneth"},{"family":"Costner","given":"Melissa"},{"family":"Werth","given":"Victoria P."},{"family":"Zoma","given":"Asad"},{"family":"Bernatsky","given":"Sasha"},{"family":"Ruiz-Irastorza","given":"Guillermo"},{"family":"Khamashta","given":"Munther A."},{"family":"Jacobsen","given":"Soren"},{"family":"Buyon","given":"Jill P."},{"family":"Maddison","given":"Peter"},{"family":"Dooley","given":"Mary Anne"},{"family":"Vollenhoven","given":"Ronald F.","non-dropping-particle":"van"},{"family":"Ginzler","given":"Ellen"},{"family":"Stoll","given":"Thomas"},{"family":"Peschken","given":"Christine"},{"family":"Jorizzo","given":"Joseph L."},{"family":"Callen","given":"Jeffrey P."},{"family":"Lim","given":"S. Sam"},{"family":"Fessler","given":"Barri J."},{"family":"Inanc","given":"Murat"},{"family":"Kamen","given":"Diane L."},{"family":"Rahman","given":"Anisur"},{"family":"Steinsson","given":"Kristjan"},{"family":"Franks","given":"Andrew G."},{"family":"Sigler","given":"Lisa"},{"family":"Hameed","given":"Suhail"},{"family":"Fang","given":"Hong"},{"family":"Pham","given":"Ngoc"},{"family":"Brey","given":"Robin"},{"family":"Weisman","given":"Michael H."},{"family":"McGwin","given":"Gerald"},{"family":"Magder","given":"Laurence S."}],"issued":{"date-parts":[["2012",8]]}}}],"schema":"https://github.com/citation-style-language/schema/raw/master/csl-citation.json"} </w:instrText>
            </w:r>
            <w:r w:rsidR="000728AA">
              <w:rPr>
                <w:rFonts w:eastAsiaTheme="minorEastAsia" w:cstheme="minorHAnsi"/>
                <w:color w:val="000000" w:themeColor="text1"/>
                <w:kern w:val="24"/>
                <w:sz w:val="22"/>
                <w:szCs w:val="22"/>
              </w:rPr>
              <w:fldChar w:fldCharType="separate"/>
            </w:r>
            <w:r w:rsidR="00642970">
              <w:rPr>
                <w:rFonts w:eastAsiaTheme="minorEastAsia" w:cstheme="minorHAnsi"/>
                <w:noProof/>
                <w:color w:val="000000" w:themeColor="text1"/>
                <w:kern w:val="24"/>
                <w:sz w:val="22"/>
                <w:szCs w:val="22"/>
              </w:rPr>
              <w:t>(148)</w:t>
            </w:r>
            <w:r w:rsidR="000728AA">
              <w:rPr>
                <w:rFonts w:eastAsiaTheme="minorEastAsia" w:cstheme="minorHAnsi"/>
                <w:color w:val="000000" w:themeColor="text1"/>
                <w:kern w:val="24"/>
                <w:sz w:val="22"/>
                <w:szCs w:val="22"/>
              </w:rPr>
              <w:fldChar w:fldCharType="end"/>
            </w:r>
            <w:r w:rsidR="000728AA" w:rsidRPr="000728AA">
              <w:rPr>
                <w:rFonts w:eastAsiaTheme="minorEastAsia" w:cstheme="minorHAnsi"/>
                <w:color w:val="000000" w:themeColor="text1"/>
                <w:kern w:val="24"/>
                <w:sz w:val="22"/>
                <w:szCs w:val="22"/>
              </w:rPr>
              <w:t>.</w:t>
            </w:r>
          </w:p>
        </w:tc>
      </w:tr>
      <w:tr w:rsidR="00837E18" w14:paraId="667563BC" w14:textId="77777777" w:rsidTr="00CF116C">
        <w:tc>
          <w:tcPr>
            <w:tcW w:w="846" w:type="dxa"/>
          </w:tcPr>
          <w:p w14:paraId="79C53393" w14:textId="77777777" w:rsidR="00601B86" w:rsidRPr="00C00DD6" w:rsidRDefault="001630D4" w:rsidP="003F494F">
            <w:pPr>
              <w:spacing w:before="240" w:line="360" w:lineRule="auto"/>
              <w:jc w:val="center"/>
              <w:rPr>
                <w:rFonts w:eastAsia="Arial" w:cstheme="minorHAnsi"/>
                <w:sz w:val="22"/>
                <w:szCs w:val="22"/>
                <w:lang w:val="en" w:eastAsia="en-GB"/>
              </w:rPr>
            </w:pPr>
            <w:r w:rsidRPr="00C00DD6">
              <w:rPr>
                <w:rFonts w:eastAsia="Arial" w:cstheme="minorHAnsi"/>
                <w:sz w:val="22"/>
                <w:szCs w:val="22"/>
                <w:lang w:val="en" w:eastAsia="en-GB"/>
              </w:rPr>
              <w:t>b</w:t>
            </w:r>
          </w:p>
        </w:tc>
        <w:tc>
          <w:tcPr>
            <w:tcW w:w="9497" w:type="dxa"/>
          </w:tcPr>
          <w:p w14:paraId="1D587B0D" w14:textId="1FF18140" w:rsidR="00601B86" w:rsidRPr="00C00DD6" w:rsidRDefault="001630D4" w:rsidP="003F494F">
            <w:pPr>
              <w:spacing w:before="240" w:line="360" w:lineRule="auto"/>
              <w:rPr>
                <w:rFonts w:eastAsia="Arial" w:cstheme="minorHAnsi"/>
                <w:sz w:val="22"/>
                <w:szCs w:val="22"/>
                <w:lang w:val="en" w:eastAsia="en-GB"/>
              </w:rPr>
            </w:pPr>
            <w:r>
              <w:rPr>
                <w:rFonts w:eastAsiaTheme="minorEastAsia" w:cstheme="minorHAnsi"/>
                <w:color w:val="000000" w:themeColor="text1"/>
                <w:kern w:val="24"/>
                <w:sz w:val="22"/>
                <w:szCs w:val="22"/>
              </w:rPr>
              <w:t>A</w:t>
            </w:r>
            <w:r w:rsidRPr="00C00DD6">
              <w:rPr>
                <w:rFonts w:eastAsiaTheme="minorEastAsia" w:cstheme="minorHAnsi"/>
                <w:color w:val="000000" w:themeColor="text1"/>
                <w:kern w:val="24"/>
                <w:sz w:val="22"/>
                <w:szCs w:val="22"/>
              </w:rPr>
              <w:t xml:space="preserve"> percutaneous kidney biopsy should be performed to </w:t>
            </w:r>
            <w:r>
              <w:rPr>
                <w:rFonts w:eastAsiaTheme="minorEastAsia" w:cstheme="minorHAnsi"/>
                <w:color w:val="000000" w:themeColor="text1"/>
                <w:kern w:val="24"/>
                <w:sz w:val="22"/>
                <w:szCs w:val="22"/>
              </w:rPr>
              <w:t>confirm and grade</w:t>
            </w:r>
            <w:r w:rsidR="00B12265">
              <w:rPr>
                <w:rFonts w:eastAsiaTheme="minorEastAsia" w:cstheme="minorHAnsi"/>
                <w:color w:val="000000" w:themeColor="text1"/>
                <w:kern w:val="24"/>
                <w:sz w:val="22"/>
                <w:szCs w:val="22"/>
              </w:rPr>
              <w:t xml:space="preserve"> </w:t>
            </w:r>
            <w:r w:rsidR="00F80A32">
              <w:rPr>
                <w:rFonts w:eastAsiaTheme="minorEastAsia" w:cstheme="minorHAnsi"/>
                <w:color w:val="000000" w:themeColor="text1"/>
                <w:kern w:val="24"/>
                <w:sz w:val="22"/>
                <w:szCs w:val="22"/>
              </w:rPr>
              <w:t xml:space="preserve">classification </w:t>
            </w:r>
            <w:proofErr w:type="gramStart"/>
            <w:r w:rsidR="00F80A32">
              <w:rPr>
                <w:rFonts w:eastAsiaTheme="minorEastAsia" w:cstheme="minorHAnsi"/>
                <w:color w:val="000000" w:themeColor="text1"/>
                <w:kern w:val="24"/>
                <w:sz w:val="22"/>
                <w:szCs w:val="22"/>
              </w:rPr>
              <w:t>of</w:t>
            </w:r>
            <w:r w:rsidR="00F80A32" w:rsidRPr="00C00DD6">
              <w:rPr>
                <w:rFonts w:eastAsiaTheme="minorEastAsia" w:cstheme="minorHAnsi"/>
                <w:color w:val="000000" w:themeColor="text1"/>
                <w:kern w:val="24"/>
                <w:sz w:val="22"/>
                <w:szCs w:val="22"/>
              </w:rPr>
              <w:t xml:space="preserve"> </w:t>
            </w:r>
            <w:r w:rsidRPr="00C00DD6">
              <w:rPr>
                <w:rFonts w:eastAsiaTheme="minorEastAsia" w:cstheme="minorHAnsi"/>
                <w:color w:val="000000" w:themeColor="text1"/>
                <w:kern w:val="24"/>
                <w:sz w:val="22"/>
                <w:szCs w:val="22"/>
              </w:rPr>
              <w:t xml:space="preserve"> lupus</w:t>
            </w:r>
            <w:proofErr w:type="gramEnd"/>
            <w:r w:rsidRPr="00C00DD6">
              <w:rPr>
                <w:rFonts w:eastAsiaTheme="minorEastAsia" w:cstheme="minorHAnsi"/>
                <w:color w:val="000000" w:themeColor="text1"/>
                <w:kern w:val="24"/>
                <w:sz w:val="22"/>
                <w:szCs w:val="22"/>
              </w:rPr>
              <w:t xml:space="preserve"> nephritis (LN) </w:t>
            </w:r>
            <w:r>
              <w:rPr>
                <w:rFonts w:eastAsiaTheme="minorEastAsia" w:cstheme="minorHAnsi"/>
                <w:color w:val="000000" w:themeColor="text1"/>
                <w:kern w:val="24"/>
                <w:sz w:val="22"/>
                <w:szCs w:val="22"/>
              </w:rPr>
              <w:t>in</w:t>
            </w:r>
            <w:r w:rsidRPr="00C00DD6">
              <w:rPr>
                <w:rFonts w:eastAsiaTheme="minorEastAsia" w:cstheme="minorHAnsi"/>
                <w:color w:val="000000" w:themeColor="text1"/>
                <w:kern w:val="24"/>
                <w:sz w:val="22"/>
                <w:szCs w:val="22"/>
              </w:rPr>
              <w:t xml:space="preserve"> CYP</w:t>
            </w:r>
            <w:r w:rsidR="000728AA">
              <w:rPr>
                <w:rFonts w:eastAsiaTheme="minorEastAsia" w:cstheme="minorHAnsi"/>
                <w:color w:val="000000" w:themeColor="text1"/>
                <w:kern w:val="24"/>
                <w:sz w:val="22"/>
                <w:szCs w:val="22"/>
              </w:rPr>
              <w:t>.</w:t>
            </w:r>
            <w:r w:rsidRPr="00C00DD6">
              <w:rPr>
                <w:rFonts w:eastAsiaTheme="minorEastAsia" w:cstheme="minorHAnsi"/>
                <w:color w:val="000000" w:themeColor="text1"/>
                <w:kern w:val="24"/>
                <w:sz w:val="22"/>
                <w:szCs w:val="22"/>
              </w:rPr>
              <w:t xml:space="preserve"> </w:t>
            </w:r>
          </w:p>
        </w:tc>
      </w:tr>
      <w:tr w:rsidR="00837E18" w14:paraId="2FBA6831" w14:textId="77777777" w:rsidTr="00CF116C">
        <w:tc>
          <w:tcPr>
            <w:tcW w:w="846" w:type="dxa"/>
          </w:tcPr>
          <w:p w14:paraId="092997EC" w14:textId="04A3F4BC" w:rsidR="00601B86" w:rsidRPr="00C00DD6" w:rsidRDefault="001630D4" w:rsidP="003F494F">
            <w:pPr>
              <w:spacing w:before="240" w:line="360" w:lineRule="auto"/>
              <w:jc w:val="center"/>
              <w:rPr>
                <w:rFonts w:eastAsia="Arial" w:cstheme="minorHAnsi"/>
                <w:sz w:val="22"/>
                <w:szCs w:val="22"/>
                <w:lang w:val="en" w:eastAsia="en-GB"/>
              </w:rPr>
            </w:pPr>
            <w:r>
              <w:rPr>
                <w:rFonts w:eastAsia="Arial" w:cstheme="minorHAnsi"/>
                <w:sz w:val="22"/>
                <w:szCs w:val="22"/>
                <w:lang w:val="en" w:eastAsia="en-GB"/>
              </w:rPr>
              <w:t>c</w:t>
            </w:r>
          </w:p>
        </w:tc>
        <w:tc>
          <w:tcPr>
            <w:tcW w:w="9497" w:type="dxa"/>
          </w:tcPr>
          <w:p w14:paraId="1BB5FD12" w14:textId="1FD9A988" w:rsidR="00764801" w:rsidRPr="00C00DD6" w:rsidRDefault="001630D4" w:rsidP="003F494F">
            <w:pPr>
              <w:spacing w:before="240" w:line="360" w:lineRule="auto"/>
              <w:rPr>
                <w:rFonts w:eastAsia="Arial" w:cstheme="minorHAnsi"/>
                <w:sz w:val="22"/>
                <w:szCs w:val="22"/>
                <w:lang w:val="en" w:eastAsia="en-GB"/>
              </w:rPr>
            </w:pPr>
            <w:r w:rsidRPr="00C00DD6">
              <w:rPr>
                <w:rFonts w:eastAsia="FrutigerLTPro-Condensed" w:cstheme="minorHAnsi"/>
                <w:sz w:val="22"/>
                <w:szCs w:val="22"/>
              </w:rPr>
              <w:t xml:space="preserve">We recommend multi-disciplinary team involvement, </w:t>
            </w:r>
            <w:r w:rsidR="000728AA">
              <w:rPr>
                <w:rFonts w:eastAsia="FrutigerLTPro-Condensed" w:cstheme="minorHAnsi"/>
                <w:sz w:val="22"/>
                <w:szCs w:val="22"/>
              </w:rPr>
              <w:t xml:space="preserve">particularly </w:t>
            </w:r>
            <w:r w:rsidRPr="00C00DD6">
              <w:rPr>
                <w:rFonts w:eastAsia="FrutigerLTPro-Condensed" w:cstheme="minorHAnsi"/>
                <w:sz w:val="22"/>
                <w:szCs w:val="22"/>
              </w:rPr>
              <w:t>in partnership with paediatric rheumatologists, for</w:t>
            </w:r>
            <w:r w:rsidR="000728AA">
              <w:rPr>
                <w:rFonts w:eastAsia="FrutigerLTPro-Condensed" w:cstheme="minorHAnsi"/>
                <w:sz w:val="22"/>
                <w:szCs w:val="22"/>
              </w:rPr>
              <w:t xml:space="preserve"> the management of</w:t>
            </w:r>
            <w:r w:rsidRPr="00C00DD6">
              <w:rPr>
                <w:rFonts w:eastAsia="FrutigerLTPro-Condensed" w:cstheme="minorHAnsi"/>
                <w:sz w:val="22"/>
                <w:szCs w:val="22"/>
              </w:rPr>
              <w:t xml:space="preserve"> children and young people with SLE and LN</w:t>
            </w:r>
          </w:p>
        </w:tc>
      </w:tr>
      <w:tr w:rsidR="00837E18" w14:paraId="77012ACE" w14:textId="77777777" w:rsidTr="00CF116C">
        <w:tc>
          <w:tcPr>
            <w:tcW w:w="846" w:type="dxa"/>
          </w:tcPr>
          <w:p w14:paraId="1D3BF2AD" w14:textId="318BAF37" w:rsidR="00601B86" w:rsidRPr="00C00DD6" w:rsidRDefault="001630D4" w:rsidP="003F494F">
            <w:pPr>
              <w:spacing w:before="240" w:line="360" w:lineRule="auto"/>
              <w:jc w:val="center"/>
              <w:rPr>
                <w:rFonts w:eastAsia="Arial" w:cstheme="minorHAnsi"/>
                <w:sz w:val="22"/>
                <w:szCs w:val="22"/>
                <w:lang w:val="en" w:eastAsia="en-GB"/>
              </w:rPr>
            </w:pPr>
            <w:r>
              <w:rPr>
                <w:rFonts w:eastAsia="Arial" w:cstheme="minorHAnsi"/>
                <w:sz w:val="22"/>
                <w:szCs w:val="22"/>
                <w:lang w:val="en" w:eastAsia="en-GB"/>
              </w:rPr>
              <w:t>d</w:t>
            </w:r>
          </w:p>
        </w:tc>
        <w:tc>
          <w:tcPr>
            <w:tcW w:w="9497" w:type="dxa"/>
          </w:tcPr>
          <w:p w14:paraId="1FD98648" w14:textId="68B7FA06" w:rsidR="00601B86" w:rsidRPr="00C00DD6" w:rsidRDefault="001630D4" w:rsidP="003F494F">
            <w:pPr>
              <w:spacing w:before="240" w:line="360" w:lineRule="auto"/>
              <w:rPr>
                <w:rFonts w:eastAsiaTheme="minorEastAsia" w:cstheme="minorHAnsi"/>
                <w:color w:val="000000" w:themeColor="text1"/>
                <w:kern w:val="24"/>
                <w:sz w:val="22"/>
                <w:szCs w:val="22"/>
              </w:rPr>
            </w:pPr>
            <w:r w:rsidRPr="00C00DD6">
              <w:rPr>
                <w:rFonts w:eastAsiaTheme="minorEastAsia" w:cstheme="minorHAnsi"/>
                <w:color w:val="000000" w:themeColor="text1"/>
                <w:kern w:val="24"/>
                <w:sz w:val="22"/>
                <w:szCs w:val="22"/>
              </w:rPr>
              <w:t xml:space="preserve">CYP with LN should </w:t>
            </w:r>
            <w:r w:rsidR="000728AA">
              <w:rPr>
                <w:rFonts w:eastAsiaTheme="minorEastAsia" w:cstheme="minorHAnsi"/>
                <w:color w:val="000000" w:themeColor="text1"/>
                <w:kern w:val="24"/>
                <w:sz w:val="22"/>
                <w:szCs w:val="22"/>
              </w:rPr>
              <w:t>have the histology</w:t>
            </w:r>
            <w:r w:rsidRPr="00C00DD6">
              <w:rPr>
                <w:rFonts w:eastAsiaTheme="minorEastAsia" w:cstheme="minorHAnsi"/>
                <w:color w:val="000000" w:themeColor="text1"/>
                <w:kern w:val="24"/>
                <w:sz w:val="22"/>
                <w:szCs w:val="22"/>
              </w:rPr>
              <w:t xml:space="preserve"> </w:t>
            </w:r>
            <w:r w:rsidR="00764801">
              <w:rPr>
                <w:rFonts w:eastAsiaTheme="minorEastAsia" w:cstheme="minorHAnsi"/>
                <w:color w:val="000000" w:themeColor="text1"/>
                <w:kern w:val="24"/>
                <w:sz w:val="22"/>
                <w:szCs w:val="22"/>
              </w:rPr>
              <w:t>graded</w:t>
            </w:r>
            <w:r w:rsidRPr="00C00DD6">
              <w:rPr>
                <w:rFonts w:eastAsiaTheme="minorEastAsia" w:cstheme="minorHAnsi"/>
                <w:color w:val="000000" w:themeColor="text1"/>
                <w:kern w:val="24"/>
                <w:sz w:val="22"/>
                <w:szCs w:val="22"/>
              </w:rPr>
              <w:t xml:space="preserve"> using </w:t>
            </w:r>
            <w:r w:rsidR="00764801">
              <w:rPr>
                <w:rFonts w:eastAsiaTheme="minorEastAsia" w:cstheme="minorHAnsi"/>
                <w:color w:val="000000" w:themeColor="text1"/>
                <w:kern w:val="24"/>
                <w:sz w:val="22"/>
                <w:szCs w:val="22"/>
              </w:rPr>
              <w:t xml:space="preserve">the </w:t>
            </w:r>
            <w:r w:rsidRPr="00C00DD6">
              <w:rPr>
                <w:rFonts w:eastAsiaTheme="minorEastAsia" w:cstheme="minorHAnsi"/>
                <w:color w:val="000000" w:themeColor="text1"/>
                <w:kern w:val="24"/>
                <w:sz w:val="22"/>
                <w:szCs w:val="22"/>
              </w:rPr>
              <w:t xml:space="preserve">International Society of Nephrology / Renal Pathology Society </w:t>
            </w:r>
            <w:r w:rsidR="00764801">
              <w:rPr>
                <w:rFonts w:eastAsiaTheme="minorEastAsia" w:cstheme="minorHAnsi"/>
                <w:color w:val="000000" w:themeColor="text1"/>
                <w:kern w:val="24"/>
                <w:sz w:val="22"/>
                <w:szCs w:val="22"/>
              </w:rPr>
              <w:t>classification criteria.</w:t>
            </w:r>
          </w:p>
        </w:tc>
      </w:tr>
    </w:tbl>
    <w:p w14:paraId="32E47CF6" w14:textId="77777777" w:rsidR="00601B86" w:rsidRPr="00C00DD6" w:rsidRDefault="00601B86" w:rsidP="003F494F">
      <w:pPr>
        <w:spacing w:line="360" w:lineRule="auto"/>
        <w:rPr>
          <w:rFonts w:cstheme="minorHAnsi"/>
          <w:b/>
          <w:bCs/>
          <w:sz w:val="22"/>
          <w:szCs w:val="22"/>
        </w:rPr>
      </w:pPr>
    </w:p>
    <w:p w14:paraId="0F276EDF" w14:textId="52CB259F" w:rsidR="003D5CF4" w:rsidRPr="00C00DD6" w:rsidRDefault="001630D4" w:rsidP="003F494F">
      <w:pPr>
        <w:spacing w:line="360" w:lineRule="auto"/>
        <w:rPr>
          <w:rFonts w:cstheme="minorHAnsi"/>
          <w:b/>
          <w:bCs/>
          <w:sz w:val="22"/>
          <w:szCs w:val="22"/>
        </w:rPr>
      </w:pPr>
      <w:r w:rsidRPr="00C00DD6">
        <w:rPr>
          <w:rFonts w:cstheme="minorHAnsi"/>
          <w:b/>
          <w:bCs/>
          <w:sz w:val="22"/>
          <w:szCs w:val="22"/>
          <w:lang w:val="en" w:eastAsia="en-GB"/>
        </w:rPr>
        <w:t xml:space="preserve">Management of lupus nephritis </w:t>
      </w:r>
    </w:p>
    <w:p w14:paraId="420EE9FC" w14:textId="77777777" w:rsidR="00257E1D" w:rsidRPr="00C00DD6" w:rsidRDefault="00257E1D" w:rsidP="003F494F">
      <w:pPr>
        <w:pStyle w:val="NormalWeb"/>
        <w:spacing w:before="0" w:beforeAutospacing="0" w:after="0" w:afterAutospacing="0" w:line="360" w:lineRule="auto"/>
        <w:rPr>
          <w:rFonts w:asciiTheme="minorHAnsi" w:eastAsiaTheme="minorEastAsia" w:hAnsiTheme="minorHAnsi" w:cstheme="minorHAnsi"/>
          <w:color w:val="000000" w:themeColor="text1"/>
          <w:kern w:val="24"/>
          <w:sz w:val="22"/>
          <w:szCs w:val="22"/>
          <w:lang w:val="en-US"/>
        </w:rPr>
      </w:pPr>
    </w:p>
    <w:tbl>
      <w:tblPr>
        <w:tblStyle w:val="TableGrid"/>
        <w:tblW w:w="10348" w:type="dxa"/>
        <w:tblInd w:w="-5" w:type="dxa"/>
        <w:tblLook w:val="04A0" w:firstRow="1" w:lastRow="0" w:firstColumn="1" w:lastColumn="0" w:noHBand="0" w:noVBand="1"/>
      </w:tblPr>
      <w:tblGrid>
        <w:gridCol w:w="965"/>
        <w:gridCol w:w="7682"/>
        <w:gridCol w:w="1701"/>
      </w:tblGrid>
      <w:tr w:rsidR="00837E18" w14:paraId="0B14FB14" w14:textId="77777777" w:rsidTr="00C00DD6">
        <w:tc>
          <w:tcPr>
            <w:tcW w:w="965" w:type="dxa"/>
          </w:tcPr>
          <w:p w14:paraId="513340BD" w14:textId="77777777" w:rsidR="00257E1D" w:rsidRPr="00764801" w:rsidRDefault="001630D4" w:rsidP="003F494F">
            <w:pPr>
              <w:spacing w:line="360" w:lineRule="auto"/>
              <w:jc w:val="center"/>
              <w:rPr>
                <w:rFonts w:cstheme="minorHAnsi"/>
                <w:b/>
                <w:sz w:val="22"/>
                <w:szCs w:val="22"/>
              </w:rPr>
            </w:pPr>
            <w:r w:rsidRPr="00764801">
              <w:rPr>
                <w:rFonts w:cstheme="minorHAnsi"/>
                <w:b/>
                <w:sz w:val="22"/>
                <w:szCs w:val="22"/>
              </w:rPr>
              <w:t>Number</w:t>
            </w:r>
          </w:p>
        </w:tc>
        <w:tc>
          <w:tcPr>
            <w:tcW w:w="7682" w:type="dxa"/>
          </w:tcPr>
          <w:p w14:paraId="3647647C" w14:textId="77777777" w:rsidR="00257E1D" w:rsidRPr="00764801" w:rsidRDefault="001630D4" w:rsidP="003F494F">
            <w:pPr>
              <w:spacing w:line="360" w:lineRule="auto"/>
              <w:rPr>
                <w:rFonts w:cstheme="minorHAnsi"/>
                <w:b/>
                <w:sz w:val="22"/>
                <w:szCs w:val="22"/>
              </w:rPr>
            </w:pPr>
            <w:r w:rsidRPr="00764801">
              <w:rPr>
                <w:rFonts w:cstheme="minorHAnsi"/>
                <w:b/>
                <w:sz w:val="22"/>
                <w:szCs w:val="22"/>
              </w:rPr>
              <w:t>RECOMMENTATION</w:t>
            </w:r>
          </w:p>
        </w:tc>
        <w:tc>
          <w:tcPr>
            <w:tcW w:w="1701" w:type="dxa"/>
          </w:tcPr>
          <w:p w14:paraId="6BE6AA02" w14:textId="093001A5" w:rsidR="00257E1D" w:rsidRPr="00764801" w:rsidRDefault="001630D4" w:rsidP="003F494F">
            <w:pPr>
              <w:spacing w:line="360" w:lineRule="auto"/>
              <w:jc w:val="center"/>
              <w:rPr>
                <w:rFonts w:cstheme="minorHAnsi"/>
                <w:b/>
                <w:sz w:val="22"/>
                <w:szCs w:val="22"/>
              </w:rPr>
            </w:pPr>
            <w:r w:rsidRPr="00764801">
              <w:rPr>
                <w:rFonts w:cstheme="minorHAnsi"/>
                <w:b/>
                <w:sz w:val="22"/>
                <w:szCs w:val="22"/>
              </w:rPr>
              <w:t>Grade</w:t>
            </w:r>
          </w:p>
        </w:tc>
      </w:tr>
      <w:tr w:rsidR="00837E18" w14:paraId="392279E6" w14:textId="77777777" w:rsidTr="00C00DD6">
        <w:tc>
          <w:tcPr>
            <w:tcW w:w="965" w:type="dxa"/>
          </w:tcPr>
          <w:p w14:paraId="15C9C8E7" w14:textId="692624C5" w:rsidR="00257E1D" w:rsidRPr="00764801" w:rsidRDefault="001630D4" w:rsidP="003F494F">
            <w:pPr>
              <w:spacing w:line="360" w:lineRule="auto"/>
              <w:jc w:val="center"/>
              <w:rPr>
                <w:rFonts w:cstheme="minorHAnsi"/>
                <w:sz w:val="22"/>
                <w:szCs w:val="22"/>
              </w:rPr>
            </w:pPr>
            <w:r w:rsidRPr="00764801">
              <w:rPr>
                <w:rFonts w:cstheme="minorHAnsi"/>
                <w:sz w:val="22"/>
                <w:szCs w:val="22"/>
              </w:rPr>
              <w:t>LN 4.1</w:t>
            </w:r>
          </w:p>
        </w:tc>
        <w:tc>
          <w:tcPr>
            <w:tcW w:w="7682" w:type="dxa"/>
          </w:tcPr>
          <w:p w14:paraId="6997CEC4" w14:textId="77777777" w:rsidR="00764801" w:rsidRPr="00764801" w:rsidRDefault="001630D4" w:rsidP="003F494F">
            <w:pPr>
              <w:autoSpaceDE w:val="0"/>
              <w:autoSpaceDN w:val="0"/>
              <w:adjustRightInd w:val="0"/>
              <w:spacing w:line="360" w:lineRule="auto"/>
              <w:rPr>
                <w:rFonts w:eastAsiaTheme="minorEastAsia" w:cstheme="minorHAnsi"/>
                <w:color w:val="000000" w:themeColor="text1"/>
                <w:kern w:val="24"/>
                <w:sz w:val="22"/>
                <w:szCs w:val="22"/>
              </w:rPr>
            </w:pPr>
            <w:r w:rsidRPr="00764801">
              <w:rPr>
                <w:rFonts w:eastAsiaTheme="minorEastAsia" w:cstheme="minorHAnsi"/>
                <w:color w:val="000000" w:themeColor="text1"/>
                <w:kern w:val="24"/>
                <w:sz w:val="22"/>
                <w:szCs w:val="22"/>
                <w:u w:val="single"/>
              </w:rPr>
              <w:t>We recommend</w:t>
            </w:r>
            <w:r w:rsidRPr="00764801">
              <w:rPr>
                <w:rFonts w:eastAsiaTheme="minorEastAsia" w:cstheme="minorHAnsi"/>
                <w:color w:val="000000" w:themeColor="text1"/>
                <w:kern w:val="24"/>
                <w:sz w:val="22"/>
                <w:szCs w:val="22"/>
              </w:rPr>
              <w:t xml:space="preserve"> that in CYP with suspected or confirmed SLE require percutaneous kidney biopsy to diagnose LN if there is evidence of one or more of the following:</w:t>
            </w:r>
          </w:p>
          <w:p w14:paraId="7FE429F0" w14:textId="0EF82E3F" w:rsidR="00764801" w:rsidRPr="00C57D12" w:rsidRDefault="001630D4" w:rsidP="003F494F">
            <w:pPr>
              <w:pStyle w:val="ListParagraph"/>
              <w:numPr>
                <w:ilvl w:val="0"/>
                <w:numId w:val="21"/>
              </w:numPr>
              <w:autoSpaceDE w:val="0"/>
              <w:autoSpaceDN w:val="0"/>
              <w:adjustRightInd w:val="0"/>
              <w:spacing w:line="360" w:lineRule="auto"/>
              <w:rPr>
                <w:rFonts w:eastAsia="FrutigerLTPro-Condensed" w:cstheme="minorHAnsi"/>
                <w:sz w:val="22"/>
                <w:szCs w:val="22"/>
              </w:rPr>
            </w:pPr>
            <w:r w:rsidRPr="00C57D12">
              <w:rPr>
                <w:rFonts w:eastAsiaTheme="minorEastAsia" w:cstheme="minorHAnsi"/>
                <w:color w:val="000000" w:themeColor="text1"/>
                <w:kern w:val="24"/>
                <w:sz w:val="22"/>
                <w:szCs w:val="22"/>
              </w:rPr>
              <w:t>proteinuria and/or albuminuria</w:t>
            </w:r>
            <w:r w:rsidR="00C57D12" w:rsidRPr="00C57D12">
              <w:rPr>
                <w:rFonts w:eastAsia="Arial" w:cstheme="minorHAnsi"/>
                <w:bCs/>
                <w:sz w:val="22"/>
                <w:szCs w:val="22"/>
              </w:rPr>
              <w:t xml:space="preserve"> (</w:t>
            </w:r>
            <w:r w:rsidR="00C57D12" w:rsidRPr="00C57D12">
              <w:rPr>
                <w:rFonts w:eastAsia="Arial" w:cstheme="minorHAnsi"/>
                <w:bCs/>
                <w:color w:val="000000"/>
                <w:sz w:val="22"/>
                <w:szCs w:val="22"/>
              </w:rPr>
              <w:t>UPCR &gt;50 mg/mmol)</w:t>
            </w:r>
          </w:p>
          <w:p w14:paraId="6F29DC3D" w14:textId="77777777" w:rsidR="00764801" w:rsidRPr="00C57D12" w:rsidRDefault="001630D4" w:rsidP="003F494F">
            <w:pPr>
              <w:pStyle w:val="ListParagraph"/>
              <w:numPr>
                <w:ilvl w:val="0"/>
                <w:numId w:val="21"/>
              </w:numPr>
              <w:autoSpaceDE w:val="0"/>
              <w:autoSpaceDN w:val="0"/>
              <w:adjustRightInd w:val="0"/>
              <w:spacing w:line="360" w:lineRule="auto"/>
              <w:rPr>
                <w:rFonts w:eastAsia="FrutigerLTPro-Condensed" w:cstheme="minorHAnsi"/>
                <w:sz w:val="22"/>
                <w:szCs w:val="22"/>
              </w:rPr>
            </w:pPr>
            <w:r w:rsidRPr="00C57D12">
              <w:rPr>
                <w:rFonts w:eastAsiaTheme="minorEastAsia" w:cstheme="minorHAnsi"/>
                <w:color w:val="000000" w:themeColor="text1"/>
                <w:kern w:val="24"/>
                <w:sz w:val="22"/>
                <w:szCs w:val="22"/>
              </w:rPr>
              <w:t>nephrotic syndrome</w:t>
            </w:r>
          </w:p>
          <w:p w14:paraId="0B7A778F" w14:textId="77777777" w:rsidR="00764801" w:rsidRPr="00C57D12" w:rsidRDefault="001630D4" w:rsidP="003F494F">
            <w:pPr>
              <w:pStyle w:val="ListParagraph"/>
              <w:numPr>
                <w:ilvl w:val="0"/>
                <w:numId w:val="21"/>
              </w:numPr>
              <w:autoSpaceDE w:val="0"/>
              <w:autoSpaceDN w:val="0"/>
              <w:adjustRightInd w:val="0"/>
              <w:spacing w:line="360" w:lineRule="auto"/>
              <w:rPr>
                <w:rFonts w:eastAsia="FrutigerLTPro-Condensed" w:cstheme="minorHAnsi"/>
                <w:sz w:val="22"/>
                <w:szCs w:val="22"/>
              </w:rPr>
            </w:pPr>
            <w:r w:rsidRPr="00C57D12">
              <w:rPr>
                <w:rFonts w:eastAsiaTheme="minorEastAsia" w:cstheme="minorHAnsi"/>
                <w:color w:val="000000" w:themeColor="text1"/>
                <w:kern w:val="24"/>
                <w:sz w:val="22"/>
                <w:szCs w:val="22"/>
              </w:rPr>
              <w:t>macroscopic haematuria</w:t>
            </w:r>
          </w:p>
          <w:p w14:paraId="7274E2DC" w14:textId="77777777" w:rsidR="00764801" w:rsidRPr="00C57D12" w:rsidRDefault="001630D4" w:rsidP="003F494F">
            <w:pPr>
              <w:pStyle w:val="ListParagraph"/>
              <w:numPr>
                <w:ilvl w:val="0"/>
                <w:numId w:val="21"/>
              </w:numPr>
              <w:autoSpaceDE w:val="0"/>
              <w:autoSpaceDN w:val="0"/>
              <w:adjustRightInd w:val="0"/>
              <w:spacing w:line="360" w:lineRule="auto"/>
              <w:rPr>
                <w:rFonts w:eastAsia="FrutigerLTPro-Condensed" w:cstheme="minorHAnsi"/>
                <w:sz w:val="22"/>
                <w:szCs w:val="22"/>
              </w:rPr>
            </w:pPr>
            <w:r w:rsidRPr="00C57D12">
              <w:rPr>
                <w:rFonts w:eastAsiaTheme="minorEastAsia" w:cstheme="minorHAnsi"/>
                <w:color w:val="000000" w:themeColor="text1"/>
                <w:kern w:val="24"/>
                <w:sz w:val="22"/>
                <w:szCs w:val="22"/>
              </w:rPr>
              <w:t xml:space="preserve">hypertension </w:t>
            </w:r>
          </w:p>
          <w:p w14:paraId="792D0CDF" w14:textId="27072347" w:rsidR="00257E1D" w:rsidRPr="00764801" w:rsidRDefault="001630D4" w:rsidP="003F494F">
            <w:pPr>
              <w:pStyle w:val="ListParagraph"/>
              <w:numPr>
                <w:ilvl w:val="0"/>
                <w:numId w:val="21"/>
              </w:numPr>
              <w:autoSpaceDE w:val="0"/>
              <w:autoSpaceDN w:val="0"/>
              <w:adjustRightInd w:val="0"/>
              <w:spacing w:line="360" w:lineRule="auto"/>
              <w:rPr>
                <w:rFonts w:eastAsia="FrutigerLTPro-Condensed" w:cstheme="minorHAnsi"/>
                <w:sz w:val="22"/>
                <w:szCs w:val="22"/>
              </w:rPr>
            </w:pPr>
            <w:r>
              <w:rPr>
                <w:rFonts w:eastAsiaTheme="minorEastAsia" w:cstheme="minorHAnsi"/>
                <w:color w:val="000000" w:themeColor="text1"/>
                <w:kern w:val="24"/>
                <w:sz w:val="22"/>
                <w:szCs w:val="22"/>
              </w:rPr>
              <w:lastRenderedPageBreak/>
              <w:t>impaired kidney function not related to another cause</w:t>
            </w:r>
          </w:p>
        </w:tc>
        <w:tc>
          <w:tcPr>
            <w:tcW w:w="1701" w:type="dxa"/>
          </w:tcPr>
          <w:p w14:paraId="5053C7BD" w14:textId="00869DF4" w:rsidR="00257E1D" w:rsidRPr="00764801" w:rsidRDefault="001630D4" w:rsidP="003F494F">
            <w:pPr>
              <w:spacing w:line="360" w:lineRule="auto"/>
              <w:jc w:val="center"/>
              <w:rPr>
                <w:rFonts w:cstheme="minorHAnsi"/>
                <w:b/>
                <w:sz w:val="22"/>
                <w:szCs w:val="22"/>
              </w:rPr>
            </w:pPr>
            <w:r>
              <w:rPr>
                <w:rFonts w:cstheme="minorHAnsi"/>
                <w:b/>
                <w:sz w:val="22"/>
                <w:szCs w:val="22"/>
              </w:rPr>
              <w:lastRenderedPageBreak/>
              <w:t>1C</w:t>
            </w:r>
          </w:p>
        </w:tc>
      </w:tr>
      <w:tr w:rsidR="00837E18" w14:paraId="145A6B17" w14:textId="77777777" w:rsidTr="00C00DD6">
        <w:tc>
          <w:tcPr>
            <w:tcW w:w="965" w:type="dxa"/>
          </w:tcPr>
          <w:p w14:paraId="09671ADE" w14:textId="5A31EB25" w:rsidR="00B858D4" w:rsidRPr="00764801" w:rsidRDefault="001630D4" w:rsidP="003F494F">
            <w:pPr>
              <w:spacing w:line="360" w:lineRule="auto"/>
              <w:jc w:val="center"/>
              <w:rPr>
                <w:rFonts w:cstheme="minorHAnsi"/>
                <w:sz w:val="22"/>
                <w:szCs w:val="22"/>
              </w:rPr>
            </w:pPr>
            <w:r w:rsidRPr="00764801">
              <w:rPr>
                <w:rFonts w:cstheme="minorHAnsi"/>
                <w:sz w:val="22"/>
                <w:szCs w:val="22"/>
              </w:rPr>
              <w:t>LN 4</w:t>
            </w:r>
            <w:r w:rsidR="003C0309" w:rsidRPr="00764801">
              <w:rPr>
                <w:rFonts w:cstheme="minorHAnsi"/>
                <w:sz w:val="22"/>
                <w:szCs w:val="22"/>
              </w:rPr>
              <w:t>.2</w:t>
            </w:r>
          </w:p>
        </w:tc>
        <w:tc>
          <w:tcPr>
            <w:tcW w:w="7682" w:type="dxa"/>
          </w:tcPr>
          <w:p w14:paraId="537E5FC9" w14:textId="23EA4D78" w:rsidR="00B858D4" w:rsidRPr="00764801" w:rsidRDefault="001630D4" w:rsidP="003F494F">
            <w:pPr>
              <w:autoSpaceDE w:val="0"/>
              <w:autoSpaceDN w:val="0"/>
              <w:adjustRightInd w:val="0"/>
              <w:spacing w:line="360" w:lineRule="auto"/>
              <w:jc w:val="both"/>
              <w:rPr>
                <w:rFonts w:cstheme="minorHAnsi"/>
                <w:sz w:val="22"/>
                <w:szCs w:val="22"/>
              </w:rPr>
            </w:pPr>
            <w:r w:rsidRPr="00764801">
              <w:rPr>
                <w:rFonts w:cstheme="minorHAnsi"/>
                <w:sz w:val="22"/>
                <w:szCs w:val="22"/>
                <w:u w:val="single"/>
              </w:rPr>
              <w:t>We recommend</w:t>
            </w:r>
            <w:r w:rsidRPr="00764801">
              <w:rPr>
                <w:rFonts w:cstheme="minorHAnsi"/>
                <w:sz w:val="22"/>
                <w:szCs w:val="22"/>
              </w:rPr>
              <w:t xml:space="preserve"> that patients with LN are treated with hydroxychloroquine (or an equivalent antimalarial) unless contraindicated due to their protective effect on the kidney. </w:t>
            </w:r>
          </w:p>
        </w:tc>
        <w:tc>
          <w:tcPr>
            <w:tcW w:w="1701" w:type="dxa"/>
          </w:tcPr>
          <w:p w14:paraId="322D7125" w14:textId="43A8EC23" w:rsidR="00B858D4" w:rsidRPr="00764801" w:rsidRDefault="001630D4" w:rsidP="003F494F">
            <w:pPr>
              <w:spacing w:line="360" w:lineRule="auto"/>
              <w:jc w:val="center"/>
              <w:rPr>
                <w:rFonts w:cstheme="minorHAnsi"/>
                <w:b/>
                <w:sz w:val="22"/>
                <w:szCs w:val="22"/>
              </w:rPr>
            </w:pPr>
            <w:r w:rsidRPr="00764801">
              <w:rPr>
                <w:rFonts w:cstheme="minorHAnsi"/>
                <w:b/>
                <w:sz w:val="22"/>
                <w:szCs w:val="22"/>
              </w:rPr>
              <w:t>1C</w:t>
            </w:r>
          </w:p>
        </w:tc>
      </w:tr>
      <w:tr w:rsidR="00837E18" w14:paraId="1D61FF62" w14:textId="77777777" w:rsidTr="00C00DD6">
        <w:tc>
          <w:tcPr>
            <w:tcW w:w="965" w:type="dxa"/>
          </w:tcPr>
          <w:p w14:paraId="1CF135ED" w14:textId="789D74D5" w:rsidR="00764801" w:rsidRPr="00764801" w:rsidRDefault="001630D4" w:rsidP="003F494F">
            <w:pPr>
              <w:spacing w:line="360" w:lineRule="auto"/>
              <w:jc w:val="center"/>
              <w:rPr>
                <w:rFonts w:cstheme="minorHAnsi"/>
                <w:sz w:val="22"/>
                <w:szCs w:val="22"/>
              </w:rPr>
            </w:pPr>
            <w:r w:rsidRPr="00764801">
              <w:rPr>
                <w:rFonts w:cstheme="minorHAnsi"/>
                <w:sz w:val="22"/>
                <w:szCs w:val="22"/>
              </w:rPr>
              <w:t>LN 4.3</w:t>
            </w:r>
          </w:p>
        </w:tc>
        <w:tc>
          <w:tcPr>
            <w:tcW w:w="7682" w:type="dxa"/>
          </w:tcPr>
          <w:p w14:paraId="6CAE7473" w14:textId="08AE013A" w:rsidR="00764801" w:rsidRPr="00764801" w:rsidRDefault="001630D4" w:rsidP="003F494F">
            <w:pPr>
              <w:autoSpaceDE w:val="0"/>
              <w:autoSpaceDN w:val="0"/>
              <w:adjustRightInd w:val="0"/>
              <w:spacing w:line="360" w:lineRule="auto"/>
              <w:rPr>
                <w:rFonts w:cstheme="minorHAnsi"/>
                <w:sz w:val="22"/>
                <w:szCs w:val="22"/>
                <w:u w:val="single"/>
              </w:rPr>
            </w:pPr>
            <w:r w:rsidRPr="00764801">
              <w:rPr>
                <w:rFonts w:cstheme="minorHAnsi"/>
                <w:sz w:val="22"/>
                <w:szCs w:val="22"/>
                <w:u w:val="single"/>
              </w:rPr>
              <w:t>We recommend</w:t>
            </w:r>
            <w:r w:rsidRPr="00764801">
              <w:rPr>
                <w:rFonts w:cstheme="minorHAnsi"/>
                <w:sz w:val="22"/>
                <w:szCs w:val="22"/>
              </w:rPr>
              <w:t xml:space="preserve"> that patients with Class I or II LN and low-level proteinuria should be managed according to the extra-renal manifestations.</w:t>
            </w:r>
          </w:p>
        </w:tc>
        <w:tc>
          <w:tcPr>
            <w:tcW w:w="1701" w:type="dxa"/>
          </w:tcPr>
          <w:p w14:paraId="7BB6582F" w14:textId="7D2418A9" w:rsidR="00764801" w:rsidRPr="00764801" w:rsidRDefault="001630D4" w:rsidP="003F494F">
            <w:pPr>
              <w:spacing w:line="360" w:lineRule="auto"/>
              <w:jc w:val="center"/>
              <w:rPr>
                <w:rFonts w:cstheme="minorHAnsi"/>
                <w:b/>
                <w:sz w:val="22"/>
                <w:szCs w:val="22"/>
              </w:rPr>
            </w:pPr>
            <w:r w:rsidRPr="00764801">
              <w:rPr>
                <w:rFonts w:cstheme="minorHAnsi"/>
                <w:b/>
                <w:sz w:val="22"/>
                <w:szCs w:val="22"/>
              </w:rPr>
              <w:t>1B</w:t>
            </w:r>
          </w:p>
        </w:tc>
      </w:tr>
      <w:tr w:rsidR="00837E18" w14:paraId="65D938DA" w14:textId="77777777" w:rsidTr="0099755B">
        <w:trPr>
          <w:trHeight w:val="973"/>
        </w:trPr>
        <w:tc>
          <w:tcPr>
            <w:tcW w:w="965" w:type="dxa"/>
          </w:tcPr>
          <w:p w14:paraId="43AAB18A" w14:textId="43475200" w:rsidR="003C0309" w:rsidRPr="00764801" w:rsidRDefault="001630D4" w:rsidP="003F494F">
            <w:pPr>
              <w:spacing w:line="360" w:lineRule="auto"/>
              <w:jc w:val="center"/>
              <w:rPr>
                <w:rFonts w:cstheme="minorHAnsi"/>
                <w:sz w:val="22"/>
                <w:szCs w:val="22"/>
              </w:rPr>
            </w:pPr>
            <w:r w:rsidRPr="00764801">
              <w:rPr>
                <w:rFonts w:cstheme="minorHAnsi"/>
                <w:sz w:val="22"/>
                <w:szCs w:val="22"/>
              </w:rPr>
              <w:t>LN 4.4</w:t>
            </w:r>
          </w:p>
        </w:tc>
        <w:tc>
          <w:tcPr>
            <w:tcW w:w="7682" w:type="dxa"/>
          </w:tcPr>
          <w:p w14:paraId="0669C384" w14:textId="315A9A6F" w:rsidR="003C0309" w:rsidRPr="00764801" w:rsidRDefault="001630D4" w:rsidP="003F494F">
            <w:pPr>
              <w:pStyle w:val="NormalWeb"/>
              <w:spacing w:line="360" w:lineRule="auto"/>
              <w:rPr>
                <w:rFonts w:asciiTheme="minorHAnsi" w:hAnsiTheme="minorHAnsi" w:cstheme="minorHAnsi"/>
                <w:sz w:val="22"/>
                <w:szCs w:val="22"/>
              </w:rPr>
            </w:pPr>
            <w:r w:rsidRPr="00764801">
              <w:rPr>
                <w:rFonts w:asciiTheme="minorHAnsi" w:hAnsiTheme="minorHAnsi" w:cstheme="minorHAnsi"/>
                <w:sz w:val="22"/>
                <w:szCs w:val="22"/>
                <w:u w:val="single"/>
              </w:rPr>
              <w:t>We recommend</w:t>
            </w:r>
            <w:r w:rsidRPr="00764801">
              <w:rPr>
                <w:rFonts w:asciiTheme="minorHAnsi" w:hAnsiTheme="minorHAnsi" w:cstheme="minorHAnsi"/>
                <w:sz w:val="22"/>
                <w:szCs w:val="22"/>
              </w:rPr>
              <w:t xml:space="preserve"> that patients with Class III or IV LN, with or without a membranous class V component, </w:t>
            </w:r>
            <w:r w:rsidR="0099755B">
              <w:rPr>
                <w:rFonts w:asciiTheme="minorHAnsi" w:hAnsiTheme="minorHAnsi" w:cstheme="minorHAnsi"/>
                <w:sz w:val="22"/>
                <w:szCs w:val="22"/>
              </w:rPr>
              <w:t xml:space="preserve">should </w:t>
            </w:r>
            <w:r w:rsidRPr="00764801">
              <w:rPr>
                <w:rFonts w:asciiTheme="minorHAnsi" w:hAnsiTheme="minorHAnsi" w:cstheme="minorHAnsi"/>
                <w:sz w:val="22"/>
                <w:szCs w:val="22"/>
              </w:rPr>
              <w:t xml:space="preserve">be treated with glucocorticoids </w:t>
            </w:r>
            <w:r w:rsidR="0099755B">
              <w:rPr>
                <w:rFonts w:asciiTheme="minorHAnsi" w:hAnsiTheme="minorHAnsi" w:cstheme="minorHAnsi"/>
                <w:sz w:val="22"/>
                <w:szCs w:val="22"/>
              </w:rPr>
              <w:t xml:space="preserve">and </w:t>
            </w:r>
            <w:r w:rsidRPr="00764801">
              <w:rPr>
                <w:rFonts w:asciiTheme="minorHAnsi" w:hAnsiTheme="minorHAnsi" w:cstheme="minorHAnsi"/>
                <w:sz w:val="22"/>
                <w:szCs w:val="22"/>
              </w:rPr>
              <w:t>mycophenolate mofetil (MMF)</w:t>
            </w:r>
            <w:r w:rsidR="0099755B">
              <w:rPr>
                <w:rFonts w:asciiTheme="minorHAnsi" w:hAnsiTheme="minorHAnsi" w:cstheme="minorHAnsi"/>
                <w:sz w:val="22"/>
                <w:szCs w:val="22"/>
              </w:rPr>
              <w:t xml:space="preserve"> to induce disease remission</w:t>
            </w:r>
            <w:r w:rsidR="006B320D">
              <w:rPr>
                <w:rFonts w:asciiTheme="minorHAnsi" w:hAnsiTheme="minorHAnsi" w:cstheme="minorHAnsi"/>
                <w:sz w:val="22"/>
                <w:szCs w:val="22"/>
              </w:rPr>
              <w:t xml:space="preserve"> with consideration of adding B cell therapy or </w:t>
            </w:r>
            <w:r w:rsidR="00660A81">
              <w:rPr>
                <w:rFonts w:asciiTheme="minorHAnsi" w:hAnsiTheme="minorHAnsi" w:cstheme="minorHAnsi"/>
                <w:sz w:val="22"/>
                <w:szCs w:val="22"/>
              </w:rPr>
              <w:t xml:space="preserve">tacrolimus (preferred </w:t>
            </w:r>
            <w:r w:rsidR="006B320D">
              <w:rPr>
                <w:rFonts w:asciiTheme="minorHAnsi" w:hAnsiTheme="minorHAnsi" w:cstheme="minorHAnsi"/>
                <w:sz w:val="22"/>
                <w:szCs w:val="22"/>
              </w:rPr>
              <w:t>CNI) if there are concerns about risk factors for progression</w:t>
            </w:r>
            <w:r w:rsidR="009B7867">
              <w:rPr>
                <w:rFonts w:asciiTheme="minorHAnsi" w:hAnsiTheme="minorHAnsi" w:cstheme="minorHAnsi"/>
                <w:sz w:val="22"/>
                <w:szCs w:val="22"/>
              </w:rPr>
              <w:t xml:space="preserve"> </w:t>
            </w:r>
            <w:r w:rsidR="009B7867" w:rsidRPr="00764801">
              <w:rPr>
                <w:rFonts w:asciiTheme="minorHAnsi" w:hAnsiTheme="minorHAnsi" w:cstheme="minorHAnsi"/>
                <w:sz w:val="22"/>
                <w:szCs w:val="22"/>
              </w:rPr>
              <w:t>(avoiding the use of CNI if the kidney function is severely impaired)</w:t>
            </w:r>
            <w:r w:rsidR="0099755B">
              <w:rPr>
                <w:rFonts w:asciiTheme="minorHAnsi" w:hAnsiTheme="minorHAnsi" w:cstheme="minorHAnsi"/>
                <w:sz w:val="22"/>
                <w:szCs w:val="22"/>
              </w:rPr>
              <w:t xml:space="preserve">. </w:t>
            </w:r>
            <w:r w:rsidRPr="00764801">
              <w:rPr>
                <w:rFonts w:asciiTheme="minorHAnsi" w:hAnsiTheme="minorHAnsi" w:cstheme="minorHAnsi"/>
                <w:sz w:val="22"/>
                <w:szCs w:val="22"/>
              </w:rPr>
              <w:t xml:space="preserve"> </w:t>
            </w:r>
          </w:p>
        </w:tc>
        <w:tc>
          <w:tcPr>
            <w:tcW w:w="1701" w:type="dxa"/>
          </w:tcPr>
          <w:p w14:paraId="227E6444" w14:textId="34C006F7" w:rsidR="003C0309" w:rsidRPr="00764801" w:rsidRDefault="001630D4" w:rsidP="003F494F">
            <w:pPr>
              <w:spacing w:line="360" w:lineRule="auto"/>
              <w:jc w:val="center"/>
              <w:rPr>
                <w:rFonts w:cstheme="minorHAnsi"/>
                <w:b/>
                <w:sz w:val="22"/>
                <w:szCs w:val="22"/>
              </w:rPr>
            </w:pPr>
            <w:r>
              <w:rPr>
                <w:rFonts w:cstheme="minorHAnsi"/>
                <w:b/>
                <w:sz w:val="22"/>
                <w:szCs w:val="22"/>
              </w:rPr>
              <w:t>1B</w:t>
            </w:r>
          </w:p>
        </w:tc>
      </w:tr>
      <w:tr w:rsidR="00837E18" w14:paraId="448D27D2" w14:textId="77777777" w:rsidTr="00C00DD6">
        <w:tc>
          <w:tcPr>
            <w:tcW w:w="965" w:type="dxa"/>
          </w:tcPr>
          <w:p w14:paraId="301EEC8B" w14:textId="69952A2F" w:rsidR="0099755B" w:rsidRPr="00764801" w:rsidRDefault="001630D4" w:rsidP="003F494F">
            <w:pPr>
              <w:spacing w:line="360" w:lineRule="auto"/>
              <w:jc w:val="center"/>
              <w:rPr>
                <w:rFonts w:cstheme="minorHAnsi"/>
                <w:sz w:val="22"/>
                <w:szCs w:val="22"/>
              </w:rPr>
            </w:pPr>
            <w:r w:rsidRPr="00764801">
              <w:rPr>
                <w:rFonts w:cstheme="minorHAnsi"/>
                <w:sz w:val="22"/>
                <w:szCs w:val="22"/>
              </w:rPr>
              <w:t>LN 4.5</w:t>
            </w:r>
          </w:p>
        </w:tc>
        <w:tc>
          <w:tcPr>
            <w:tcW w:w="7682" w:type="dxa"/>
          </w:tcPr>
          <w:p w14:paraId="2D65695D" w14:textId="3E73DBF1" w:rsidR="0099755B" w:rsidRPr="00764801" w:rsidRDefault="001630D4" w:rsidP="003F494F">
            <w:pPr>
              <w:pStyle w:val="NormalWeb"/>
              <w:spacing w:line="360" w:lineRule="auto"/>
              <w:rPr>
                <w:rFonts w:asciiTheme="minorHAnsi" w:hAnsiTheme="minorHAnsi" w:cstheme="minorHAnsi"/>
                <w:sz w:val="22"/>
                <w:szCs w:val="22"/>
                <w:u w:val="single"/>
              </w:rPr>
            </w:pPr>
            <w:r w:rsidRPr="00764801">
              <w:rPr>
                <w:rFonts w:asciiTheme="minorHAnsi" w:hAnsiTheme="minorHAnsi" w:cstheme="minorHAnsi"/>
                <w:sz w:val="22"/>
                <w:szCs w:val="22"/>
                <w:u w:val="single"/>
              </w:rPr>
              <w:t>We recommend</w:t>
            </w:r>
            <w:r w:rsidRPr="00764801">
              <w:rPr>
                <w:rFonts w:asciiTheme="minorHAnsi" w:hAnsiTheme="minorHAnsi" w:cstheme="minorHAnsi"/>
                <w:sz w:val="22"/>
                <w:szCs w:val="22"/>
              </w:rPr>
              <w:t xml:space="preserve"> </w:t>
            </w:r>
            <w:r>
              <w:rPr>
                <w:rFonts w:asciiTheme="minorHAnsi" w:hAnsiTheme="minorHAnsi" w:cstheme="minorHAnsi"/>
                <w:sz w:val="22"/>
                <w:szCs w:val="22"/>
              </w:rPr>
              <w:t>that an alternative induction agent</w:t>
            </w:r>
            <w:r w:rsidR="006B320D">
              <w:rPr>
                <w:rFonts w:asciiTheme="minorHAnsi" w:hAnsiTheme="minorHAnsi" w:cstheme="minorHAnsi"/>
                <w:sz w:val="22"/>
                <w:szCs w:val="22"/>
              </w:rPr>
              <w:t xml:space="preserve"> to MMF</w:t>
            </w:r>
            <w:r>
              <w:rPr>
                <w:rFonts w:asciiTheme="minorHAnsi" w:hAnsiTheme="minorHAnsi" w:cstheme="minorHAnsi"/>
                <w:sz w:val="22"/>
                <w:szCs w:val="22"/>
              </w:rPr>
              <w:t xml:space="preserve"> for patients with</w:t>
            </w:r>
            <w:r w:rsidRPr="00764801">
              <w:rPr>
                <w:rFonts w:asciiTheme="minorHAnsi" w:hAnsiTheme="minorHAnsi" w:cstheme="minorHAnsi"/>
                <w:sz w:val="22"/>
                <w:szCs w:val="22"/>
              </w:rPr>
              <w:t xml:space="preserve"> Class III or IV LN</w:t>
            </w:r>
            <w:r>
              <w:rPr>
                <w:rFonts w:asciiTheme="minorHAnsi" w:hAnsiTheme="minorHAnsi" w:cstheme="minorHAnsi"/>
                <w:sz w:val="22"/>
                <w:szCs w:val="22"/>
              </w:rPr>
              <w:t xml:space="preserve"> is i</w:t>
            </w:r>
            <w:r w:rsidRPr="00764801">
              <w:rPr>
                <w:rFonts w:asciiTheme="minorHAnsi" w:hAnsiTheme="minorHAnsi" w:cstheme="minorHAnsi"/>
                <w:sz w:val="22"/>
                <w:szCs w:val="22"/>
              </w:rPr>
              <w:t>ntravenous cyclophosphamide.</w:t>
            </w:r>
          </w:p>
        </w:tc>
        <w:tc>
          <w:tcPr>
            <w:tcW w:w="1701" w:type="dxa"/>
          </w:tcPr>
          <w:p w14:paraId="2687D899" w14:textId="0969726F" w:rsidR="0099755B" w:rsidRPr="00764801" w:rsidRDefault="001630D4" w:rsidP="003F494F">
            <w:pPr>
              <w:spacing w:line="360" w:lineRule="auto"/>
              <w:jc w:val="center"/>
              <w:rPr>
                <w:rFonts w:cstheme="minorHAnsi"/>
                <w:b/>
                <w:sz w:val="22"/>
                <w:szCs w:val="22"/>
              </w:rPr>
            </w:pPr>
            <w:r>
              <w:rPr>
                <w:rFonts w:cstheme="minorHAnsi"/>
                <w:b/>
                <w:sz w:val="22"/>
                <w:szCs w:val="22"/>
              </w:rPr>
              <w:t>1B</w:t>
            </w:r>
          </w:p>
        </w:tc>
      </w:tr>
      <w:tr w:rsidR="00837E18" w14:paraId="7C153056" w14:textId="77777777" w:rsidTr="00C00DD6">
        <w:tc>
          <w:tcPr>
            <w:tcW w:w="965" w:type="dxa"/>
          </w:tcPr>
          <w:p w14:paraId="39031BF7" w14:textId="25F7C5AA" w:rsidR="00764801" w:rsidRPr="00764801" w:rsidRDefault="001630D4" w:rsidP="003F494F">
            <w:pPr>
              <w:spacing w:line="360" w:lineRule="auto"/>
              <w:jc w:val="center"/>
              <w:rPr>
                <w:rFonts w:cstheme="minorHAnsi"/>
                <w:sz w:val="22"/>
                <w:szCs w:val="22"/>
              </w:rPr>
            </w:pPr>
            <w:r w:rsidRPr="00764801">
              <w:rPr>
                <w:rFonts w:cstheme="minorHAnsi"/>
                <w:sz w:val="22"/>
                <w:szCs w:val="22"/>
              </w:rPr>
              <w:t>LN 4.6</w:t>
            </w:r>
          </w:p>
        </w:tc>
        <w:tc>
          <w:tcPr>
            <w:tcW w:w="7682" w:type="dxa"/>
          </w:tcPr>
          <w:p w14:paraId="47549771" w14:textId="5BF77F6E" w:rsidR="00764801" w:rsidRPr="00764801" w:rsidRDefault="001630D4" w:rsidP="003F494F">
            <w:pPr>
              <w:pStyle w:val="NormalWeb"/>
              <w:spacing w:line="360" w:lineRule="auto"/>
              <w:rPr>
                <w:rFonts w:asciiTheme="minorHAnsi" w:hAnsiTheme="minorHAnsi" w:cstheme="minorHAnsi"/>
                <w:sz w:val="22"/>
                <w:szCs w:val="22"/>
              </w:rPr>
            </w:pPr>
            <w:r w:rsidRPr="00764801">
              <w:rPr>
                <w:rFonts w:asciiTheme="minorHAnsi" w:hAnsiTheme="minorHAnsi" w:cstheme="minorHAnsi"/>
                <w:sz w:val="22"/>
                <w:szCs w:val="22"/>
                <w:u w:val="single"/>
              </w:rPr>
              <w:t>We recommend</w:t>
            </w:r>
            <w:r w:rsidRPr="00764801">
              <w:rPr>
                <w:rFonts w:asciiTheme="minorHAnsi" w:hAnsiTheme="minorHAnsi" w:cstheme="minorHAnsi"/>
                <w:sz w:val="22"/>
                <w:szCs w:val="22"/>
              </w:rPr>
              <w:t xml:space="preserve"> that patients with active Class V LN</w:t>
            </w:r>
            <w:r w:rsidR="003938D5">
              <w:rPr>
                <w:rFonts w:asciiTheme="minorHAnsi" w:hAnsiTheme="minorHAnsi" w:cstheme="minorHAnsi"/>
                <w:sz w:val="22"/>
                <w:szCs w:val="22"/>
              </w:rPr>
              <w:t>, without overlap with other features,</w:t>
            </w:r>
            <w:r w:rsidRPr="00764801">
              <w:rPr>
                <w:rFonts w:asciiTheme="minorHAnsi" w:hAnsiTheme="minorHAnsi" w:cstheme="minorHAnsi"/>
                <w:sz w:val="22"/>
                <w:szCs w:val="22"/>
              </w:rPr>
              <w:t xml:space="preserve"> are treated with c</w:t>
            </w:r>
            <w:r w:rsidRPr="00764801">
              <w:rPr>
                <w:rFonts w:asciiTheme="minorHAnsi" w:hAnsiTheme="minorHAnsi" w:cstheme="minorHAnsi"/>
                <w:color w:val="161614"/>
                <w:sz w:val="22"/>
                <w:szCs w:val="22"/>
              </w:rPr>
              <w:t xml:space="preserve">ombined immunosuppressive treatment </w:t>
            </w:r>
            <w:r w:rsidR="003938D5">
              <w:rPr>
                <w:rFonts w:asciiTheme="minorHAnsi" w:hAnsiTheme="minorHAnsi" w:cstheme="minorHAnsi"/>
                <w:color w:val="161614"/>
                <w:sz w:val="22"/>
                <w:szCs w:val="22"/>
              </w:rPr>
              <w:t>using</w:t>
            </w:r>
            <w:r w:rsidR="003938D5" w:rsidRPr="00764801">
              <w:rPr>
                <w:rFonts w:asciiTheme="minorHAnsi" w:hAnsiTheme="minorHAnsi" w:cstheme="minorHAnsi"/>
                <w:color w:val="161614"/>
                <w:sz w:val="22"/>
                <w:szCs w:val="22"/>
              </w:rPr>
              <w:t xml:space="preserve"> </w:t>
            </w:r>
            <w:r w:rsidRPr="00764801">
              <w:rPr>
                <w:rFonts w:asciiTheme="minorHAnsi" w:hAnsiTheme="minorHAnsi" w:cstheme="minorHAnsi"/>
                <w:color w:val="161614"/>
                <w:sz w:val="22"/>
                <w:szCs w:val="22"/>
              </w:rPr>
              <w:t>glucocorticoids</w:t>
            </w:r>
            <w:r w:rsidR="003938D5">
              <w:rPr>
                <w:rFonts w:asciiTheme="minorHAnsi" w:hAnsiTheme="minorHAnsi" w:cstheme="minorHAnsi"/>
                <w:color w:val="161614"/>
                <w:sz w:val="22"/>
                <w:szCs w:val="22"/>
              </w:rPr>
              <w:t>,</w:t>
            </w:r>
            <w:r w:rsidRPr="00764801">
              <w:rPr>
                <w:rFonts w:asciiTheme="minorHAnsi" w:hAnsiTheme="minorHAnsi" w:cstheme="minorHAnsi"/>
                <w:color w:val="161614"/>
                <w:sz w:val="22"/>
                <w:szCs w:val="22"/>
              </w:rPr>
              <w:t xml:space="preserve"> </w:t>
            </w:r>
            <w:r w:rsidR="00660A81">
              <w:rPr>
                <w:rFonts w:asciiTheme="minorHAnsi" w:hAnsiTheme="minorHAnsi" w:cstheme="minorHAnsi"/>
                <w:color w:val="161614"/>
                <w:sz w:val="22"/>
                <w:szCs w:val="22"/>
              </w:rPr>
              <w:t xml:space="preserve">and </w:t>
            </w:r>
            <w:r w:rsidRPr="00764801">
              <w:rPr>
                <w:rFonts w:asciiTheme="minorHAnsi" w:hAnsiTheme="minorHAnsi" w:cstheme="minorHAnsi"/>
                <w:color w:val="161614"/>
                <w:sz w:val="22"/>
                <w:szCs w:val="22"/>
              </w:rPr>
              <w:t>MMF</w:t>
            </w:r>
            <w:r w:rsidR="003938D5">
              <w:rPr>
                <w:rFonts w:asciiTheme="minorHAnsi" w:hAnsiTheme="minorHAnsi" w:cstheme="minorHAnsi"/>
                <w:color w:val="161614"/>
                <w:sz w:val="22"/>
                <w:szCs w:val="22"/>
              </w:rPr>
              <w:t xml:space="preserve"> or </w:t>
            </w:r>
            <w:r w:rsidR="00660A81">
              <w:rPr>
                <w:rFonts w:asciiTheme="minorHAnsi" w:hAnsiTheme="minorHAnsi" w:cstheme="minorHAnsi"/>
                <w:color w:val="161614"/>
                <w:sz w:val="22"/>
                <w:szCs w:val="22"/>
              </w:rPr>
              <w:t>tacrolimus (preferred CNI)</w:t>
            </w:r>
            <w:r w:rsidR="009B7867">
              <w:rPr>
                <w:rFonts w:asciiTheme="minorHAnsi" w:hAnsiTheme="minorHAnsi" w:cstheme="minorHAnsi"/>
                <w:color w:val="161614"/>
                <w:sz w:val="22"/>
                <w:szCs w:val="22"/>
              </w:rPr>
              <w:t>.</w:t>
            </w:r>
            <w:r w:rsidRPr="00764801">
              <w:rPr>
                <w:rFonts w:asciiTheme="minorHAnsi" w:hAnsiTheme="minorHAnsi" w:cstheme="minorHAnsi"/>
                <w:color w:val="161614"/>
                <w:sz w:val="22"/>
                <w:szCs w:val="22"/>
              </w:rPr>
              <w:t xml:space="preserve"> </w:t>
            </w:r>
          </w:p>
        </w:tc>
        <w:tc>
          <w:tcPr>
            <w:tcW w:w="1701" w:type="dxa"/>
          </w:tcPr>
          <w:p w14:paraId="1342932F" w14:textId="1B5A4228" w:rsidR="00764801" w:rsidRPr="00764801" w:rsidRDefault="001630D4" w:rsidP="003F494F">
            <w:pPr>
              <w:spacing w:line="360" w:lineRule="auto"/>
              <w:jc w:val="center"/>
              <w:rPr>
                <w:rFonts w:cstheme="minorHAnsi"/>
                <w:b/>
                <w:sz w:val="22"/>
                <w:szCs w:val="22"/>
              </w:rPr>
            </w:pPr>
            <w:r>
              <w:rPr>
                <w:rFonts w:cstheme="minorHAnsi"/>
                <w:b/>
                <w:sz w:val="22"/>
                <w:szCs w:val="22"/>
              </w:rPr>
              <w:t>1B</w:t>
            </w:r>
          </w:p>
        </w:tc>
      </w:tr>
      <w:tr w:rsidR="00837E18" w14:paraId="2D43C668" w14:textId="77777777" w:rsidTr="00C00DD6">
        <w:tc>
          <w:tcPr>
            <w:tcW w:w="965" w:type="dxa"/>
          </w:tcPr>
          <w:p w14:paraId="27C2DA96" w14:textId="00CD95F0" w:rsidR="003C0309" w:rsidRPr="00764801" w:rsidRDefault="001630D4" w:rsidP="003F494F">
            <w:pPr>
              <w:spacing w:line="360" w:lineRule="auto"/>
              <w:jc w:val="center"/>
              <w:rPr>
                <w:rFonts w:cstheme="minorHAnsi"/>
                <w:sz w:val="22"/>
                <w:szCs w:val="22"/>
              </w:rPr>
            </w:pPr>
            <w:r w:rsidRPr="00764801">
              <w:rPr>
                <w:rFonts w:cstheme="minorHAnsi"/>
                <w:sz w:val="22"/>
                <w:szCs w:val="22"/>
              </w:rPr>
              <w:t>LN 4.7</w:t>
            </w:r>
          </w:p>
        </w:tc>
        <w:tc>
          <w:tcPr>
            <w:tcW w:w="7682" w:type="dxa"/>
          </w:tcPr>
          <w:p w14:paraId="794862F7" w14:textId="7D6C65A6" w:rsidR="003C0309" w:rsidRPr="00764801" w:rsidRDefault="001630D4" w:rsidP="003F494F">
            <w:pPr>
              <w:autoSpaceDE w:val="0"/>
              <w:autoSpaceDN w:val="0"/>
              <w:adjustRightInd w:val="0"/>
              <w:spacing w:line="360" w:lineRule="auto"/>
              <w:rPr>
                <w:rFonts w:cstheme="minorHAnsi"/>
                <w:sz w:val="22"/>
                <w:szCs w:val="22"/>
              </w:rPr>
            </w:pPr>
            <w:r w:rsidRPr="00764801">
              <w:rPr>
                <w:rFonts w:cstheme="minorHAnsi"/>
                <w:sz w:val="22"/>
                <w:szCs w:val="22"/>
                <w:u w:val="single"/>
              </w:rPr>
              <w:t>We recommend</w:t>
            </w:r>
            <w:r w:rsidRPr="00764801">
              <w:rPr>
                <w:rFonts w:cstheme="minorHAnsi"/>
                <w:sz w:val="22"/>
                <w:szCs w:val="22"/>
              </w:rPr>
              <w:t xml:space="preserve"> that after completion of </w:t>
            </w:r>
            <w:r w:rsidR="0099755B">
              <w:rPr>
                <w:rFonts w:cstheme="minorHAnsi"/>
                <w:sz w:val="22"/>
                <w:szCs w:val="22"/>
              </w:rPr>
              <w:t>induction</w:t>
            </w:r>
            <w:r w:rsidRPr="00764801">
              <w:rPr>
                <w:rFonts w:cstheme="minorHAnsi"/>
                <w:sz w:val="22"/>
                <w:szCs w:val="22"/>
              </w:rPr>
              <w:t xml:space="preserve"> therapy, patients should be placed on MMF for maintenance</w:t>
            </w:r>
            <w:r w:rsidR="009B7867">
              <w:rPr>
                <w:rFonts w:cstheme="minorHAnsi"/>
                <w:sz w:val="22"/>
                <w:szCs w:val="22"/>
              </w:rPr>
              <w:t xml:space="preserve"> treatment</w:t>
            </w:r>
            <w:r w:rsidRPr="00764801">
              <w:rPr>
                <w:rFonts w:cstheme="minorHAnsi"/>
                <w:sz w:val="22"/>
                <w:szCs w:val="22"/>
              </w:rPr>
              <w:t>.</w:t>
            </w:r>
          </w:p>
        </w:tc>
        <w:tc>
          <w:tcPr>
            <w:tcW w:w="1701" w:type="dxa"/>
          </w:tcPr>
          <w:p w14:paraId="69098518" w14:textId="426A118B" w:rsidR="003C0309" w:rsidRPr="00764801" w:rsidRDefault="001630D4" w:rsidP="003F494F">
            <w:pPr>
              <w:spacing w:line="360" w:lineRule="auto"/>
              <w:jc w:val="center"/>
              <w:rPr>
                <w:rFonts w:cstheme="minorHAnsi"/>
                <w:b/>
                <w:sz w:val="22"/>
                <w:szCs w:val="22"/>
              </w:rPr>
            </w:pPr>
            <w:r w:rsidRPr="00764801">
              <w:rPr>
                <w:rFonts w:cstheme="minorHAnsi"/>
                <w:b/>
                <w:sz w:val="22"/>
                <w:szCs w:val="22"/>
              </w:rPr>
              <w:t>1B</w:t>
            </w:r>
          </w:p>
        </w:tc>
      </w:tr>
      <w:tr w:rsidR="00837E18" w14:paraId="2096C9CF" w14:textId="77777777" w:rsidTr="00C00DD6">
        <w:tc>
          <w:tcPr>
            <w:tcW w:w="965" w:type="dxa"/>
          </w:tcPr>
          <w:p w14:paraId="2745388F" w14:textId="6B061F9A" w:rsidR="00764801" w:rsidRPr="00764801" w:rsidRDefault="001630D4" w:rsidP="003F494F">
            <w:pPr>
              <w:spacing w:line="360" w:lineRule="auto"/>
              <w:jc w:val="center"/>
              <w:rPr>
                <w:rFonts w:cstheme="minorHAnsi"/>
                <w:sz w:val="22"/>
                <w:szCs w:val="22"/>
              </w:rPr>
            </w:pPr>
            <w:r>
              <w:rPr>
                <w:rFonts w:cstheme="minorHAnsi"/>
                <w:sz w:val="22"/>
                <w:szCs w:val="22"/>
              </w:rPr>
              <w:t>LN 4.8</w:t>
            </w:r>
          </w:p>
        </w:tc>
        <w:tc>
          <w:tcPr>
            <w:tcW w:w="7682" w:type="dxa"/>
          </w:tcPr>
          <w:p w14:paraId="25978378" w14:textId="2A065602" w:rsidR="00764801" w:rsidRPr="00764801" w:rsidRDefault="001630D4" w:rsidP="003F494F">
            <w:pPr>
              <w:autoSpaceDE w:val="0"/>
              <w:autoSpaceDN w:val="0"/>
              <w:adjustRightInd w:val="0"/>
              <w:spacing w:line="360" w:lineRule="auto"/>
              <w:jc w:val="both"/>
              <w:rPr>
                <w:rFonts w:cstheme="minorHAnsi"/>
                <w:sz w:val="22"/>
                <w:szCs w:val="22"/>
              </w:rPr>
            </w:pPr>
            <w:r w:rsidRPr="00764801">
              <w:rPr>
                <w:rFonts w:cstheme="minorHAnsi"/>
                <w:sz w:val="22"/>
                <w:szCs w:val="22"/>
                <w:u w:val="single"/>
              </w:rPr>
              <w:t>We suggest</w:t>
            </w:r>
            <w:r w:rsidRPr="00764801">
              <w:rPr>
                <w:rFonts w:cstheme="minorHAnsi"/>
                <w:sz w:val="22"/>
                <w:szCs w:val="22"/>
              </w:rPr>
              <w:t xml:space="preserve"> the additio</w:t>
            </w:r>
            <w:r w:rsidR="009B7867">
              <w:rPr>
                <w:rFonts w:cstheme="minorHAnsi"/>
                <w:sz w:val="22"/>
                <w:szCs w:val="22"/>
              </w:rPr>
              <w:t>n of another</w:t>
            </w:r>
            <w:r w:rsidRPr="00764801">
              <w:rPr>
                <w:rFonts w:cstheme="minorHAnsi"/>
                <w:sz w:val="22"/>
                <w:szCs w:val="22"/>
              </w:rPr>
              <w:t xml:space="preserve"> immunosuppressive agent, such as</w:t>
            </w:r>
            <w:r w:rsidR="009B7867">
              <w:rPr>
                <w:rFonts w:cstheme="minorHAnsi"/>
                <w:sz w:val="22"/>
                <w:szCs w:val="22"/>
              </w:rPr>
              <w:t xml:space="preserve"> B cell depletion</w:t>
            </w:r>
            <w:r w:rsidRPr="00764801">
              <w:rPr>
                <w:rFonts w:cstheme="minorHAnsi"/>
                <w:sz w:val="22"/>
                <w:szCs w:val="22"/>
              </w:rPr>
              <w:t xml:space="preserve"> or </w:t>
            </w:r>
            <w:r w:rsidR="00660A81">
              <w:rPr>
                <w:rFonts w:cstheme="minorHAnsi"/>
                <w:sz w:val="22"/>
                <w:szCs w:val="22"/>
              </w:rPr>
              <w:t>tacrolimus (preferred CNI)</w:t>
            </w:r>
            <w:r w:rsidRPr="00764801">
              <w:rPr>
                <w:rFonts w:cstheme="minorHAnsi"/>
                <w:sz w:val="22"/>
                <w:szCs w:val="22"/>
              </w:rPr>
              <w:t>, within the first 3 months for patients with persistent disease activity, concerns about high-risk of disease progression, or inadequate response to initial therap</w:t>
            </w:r>
            <w:r w:rsidR="009B7867">
              <w:rPr>
                <w:rFonts w:cstheme="minorHAnsi"/>
                <w:sz w:val="22"/>
                <w:szCs w:val="22"/>
              </w:rPr>
              <w:t xml:space="preserve">y </w:t>
            </w:r>
            <w:r w:rsidR="009B7867" w:rsidRPr="00764801">
              <w:rPr>
                <w:rFonts w:cstheme="minorHAnsi"/>
                <w:sz w:val="22"/>
                <w:szCs w:val="22"/>
              </w:rPr>
              <w:t>(avoiding the use of CNI if the kidney function is severely impaired).</w:t>
            </w:r>
          </w:p>
        </w:tc>
        <w:tc>
          <w:tcPr>
            <w:tcW w:w="1701" w:type="dxa"/>
          </w:tcPr>
          <w:p w14:paraId="409B4AF1" w14:textId="4FBE16AB" w:rsidR="00764801" w:rsidRPr="00764801" w:rsidRDefault="001630D4" w:rsidP="003F494F">
            <w:pPr>
              <w:spacing w:line="360" w:lineRule="auto"/>
              <w:jc w:val="center"/>
              <w:rPr>
                <w:rFonts w:cstheme="minorHAnsi"/>
                <w:b/>
                <w:sz w:val="22"/>
                <w:szCs w:val="22"/>
              </w:rPr>
            </w:pPr>
            <w:r w:rsidRPr="00764801">
              <w:rPr>
                <w:rFonts w:cstheme="minorHAnsi"/>
                <w:b/>
                <w:sz w:val="22"/>
                <w:szCs w:val="22"/>
              </w:rPr>
              <w:t>2C</w:t>
            </w:r>
          </w:p>
        </w:tc>
      </w:tr>
      <w:tr w:rsidR="00837E18" w14:paraId="6007636C" w14:textId="77777777" w:rsidTr="00C00DD6">
        <w:tc>
          <w:tcPr>
            <w:tcW w:w="965" w:type="dxa"/>
          </w:tcPr>
          <w:p w14:paraId="30473E0B" w14:textId="08E30FE9" w:rsidR="002E4A27" w:rsidRPr="00764801" w:rsidRDefault="001630D4" w:rsidP="003F494F">
            <w:pPr>
              <w:spacing w:line="360" w:lineRule="auto"/>
              <w:jc w:val="center"/>
              <w:rPr>
                <w:rFonts w:cstheme="minorHAnsi"/>
                <w:sz w:val="22"/>
                <w:szCs w:val="22"/>
              </w:rPr>
            </w:pPr>
            <w:r w:rsidRPr="00764801">
              <w:rPr>
                <w:rFonts w:cstheme="minorHAnsi"/>
                <w:sz w:val="22"/>
                <w:szCs w:val="22"/>
              </w:rPr>
              <w:t>LN 4.</w:t>
            </w:r>
            <w:r w:rsidR="009B7867">
              <w:rPr>
                <w:rFonts w:cstheme="minorHAnsi"/>
                <w:sz w:val="22"/>
                <w:szCs w:val="22"/>
              </w:rPr>
              <w:t>9</w:t>
            </w:r>
          </w:p>
        </w:tc>
        <w:tc>
          <w:tcPr>
            <w:tcW w:w="7682" w:type="dxa"/>
          </w:tcPr>
          <w:p w14:paraId="3823FB32" w14:textId="3D055AF4" w:rsidR="002E4A27" w:rsidRPr="00764801" w:rsidRDefault="001630D4" w:rsidP="003F494F">
            <w:pPr>
              <w:pStyle w:val="NormalWeb"/>
              <w:spacing w:line="360" w:lineRule="auto"/>
              <w:rPr>
                <w:rFonts w:asciiTheme="minorHAnsi" w:hAnsiTheme="minorHAnsi" w:cstheme="minorHAnsi"/>
                <w:sz w:val="22"/>
                <w:szCs w:val="22"/>
              </w:rPr>
            </w:pPr>
            <w:r w:rsidRPr="00764801">
              <w:rPr>
                <w:rFonts w:asciiTheme="minorHAnsi" w:hAnsiTheme="minorHAnsi" w:cstheme="minorHAnsi"/>
                <w:sz w:val="22"/>
                <w:szCs w:val="22"/>
                <w:u w:val="single"/>
              </w:rPr>
              <w:t>We recommend</w:t>
            </w:r>
            <w:r w:rsidRPr="00764801">
              <w:rPr>
                <w:rFonts w:asciiTheme="minorHAnsi" w:hAnsiTheme="minorHAnsi" w:cstheme="minorHAnsi"/>
                <w:sz w:val="22"/>
                <w:szCs w:val="22"/>
              </w:rPr>
              <w:t xml:space="preserve"> that the total duration of initial immunosuppression plus maintenance immunosuppression for LN should be at least 36 months. </w:t>
            </w:r>
          </w:p>
        </w:tc>
        <w:tc>
          <w:tcPr>
            <w:tcW w:w="1701" w:type="dxa"/>
          </w:tcPr>
          <w:p w14:paraId="576886C7" w14:textId="23D9E570" w:rsidR="002E4A27" w:rsidRPr="00764801" w:rsidRDefault="001630D4" w:rsidP="003F494F">
            <w:pPr>
              <w:spacing w:line="360" w:lineRule="auto"/>
              <w:jc w:val="center"/>
              <w:rPr>
                <w:rFonts w:cstheme="minorHAnsi"/>
                <w:b/>
                <w:sz w:val="22"/>
                <w:szCs w:val="22"/>
              </w:rPr>
            </w:pPr>
            <w:r w:rsidRPr="00764801">
              <w:rPr>
                <w:rFonts w:cstheme="minorHAnsi"/>
                <w:b/>
                <w:sz w:val="22"/>
                <w:szCs w:val="22"/>
              </w:rPr>
              <w:t>1B</w:t>
            </w:r>
          </w:p>
        </w:tc>
      </w:tr>
      <w:tr w:rsidR="00837E18" w14:paraId="4B091B4C" w14:textId="77777777" w:rsidTr="00C00DD6">
        <w:tc>
          <w:tcPr>
            <w:tcW w:w="965" w:type="dxa"/>
          </w:tcPr>
          <w:p w14:paraId="41D53869" w14:textId="5887F6D0" w:rsidR="002E4A27" w:rsidRPr="00764801" w:rsidRDefault="001630D4" w:rsidP="003F494F">
            <w:pPr>
              <w:spacing w:line="360" w:lineRule="auto"/>
              <w:rPr>
                <w:rFonts w:cstheme="minorHAnsi"/>
                <w:sz w:val="22"/>
                <w:szCs w:val="22"/>
              </w:rPr>
            </w:pPr>
            <w:r w:rsidRPr="00764801">
              <w:rPr>
                <w:rFonts w:cstheme="minorHAnsi"/>
                <w:sz w:val="22"/>
                <w:szCs w:val="22"/>
              </w:rPr>
              <w:t>LN 4.1</w:t>
            </w:r>
            <w:r w:rsidR="009B7867">
              <w:rPr>
                <w:rFonts w:cstheme="minorHAnsi"/>
                <w:sz w:val="22"/>
                <w:szCs w:val="22"/>
              </w:rPr>
              <w:t>0</w:t>
            </w:r>
          </w:p>
        </w:tc>
        <w:tc>
          <w:tcPr>
            <w:tcW w:w="7682" w:type="dxa"/>
          </w:tcPr>
          <w:p w14:paraId="2BE1EE49" w14:textId="26539B45" w:rsidR="002E4A27" w:rsidRPr="00764801" w:rsidRDefault="001630D4" w:rsidP="003F494F">
            <w:pPr>
              <w:pStyle w:val="NormalWeb"/>
              <w:spacing w:line="360" w:lineRule="auto"/>
              <w:rPr>
                <w:rFonts w:asciiTheme="minorHAnsi" w:hAnsiTheme="minorHAnsi" w:cstheme="minorHAnsi"/>
                <w:sz w:val="22"/>
                <w:szCs w:val="22"/>
              </w:rPr>
            </w:pPr>
            <w:r w:rsidRPr="00764801">
              <w:rPr>
                <w:rFonts w:asciiTheme="minorHAnsi" w:hAnsiTheme="minorHAnsi" w:cstheme="minorHAnsi"/>
                <w:sz w:val="22"/>
                <w:szCs w:val="22"/>
                <w:u w:val="single"/>
              </w:rPr>
              <w:t>We recommend</w:t>
            </w:r>
            <w:r w:rsidRPr="00764801">
              <w:rPr>
                <w:rFonts w:asciiTheme="minorHAnsi" w:hAnsiTheme="minorHAnsi" w:cstheme="minorHAnsi"/>
                <w:sz w:val="22"/>
                <w:szCs w:val="22"/>
              </w:rPr>
              <w:t xml:space="preserve"> that if M</w:t>
            </w:r>
            <w:r w:rsidR="000C1C9D" w:rsidRPr="00764801">
              <w:rPr>
                <w:rFonts w:asciiTheme="minorHAnsi" w:hAnsiTheme="minorHAnsi" w:cstheme="minorHAnsi"/>
                <w:sz w:val="22"/>
                <w:szCs w:val="22"/>
              </w:rPr>
              <w:t>MF</w:t>
            </w:r>
            <w:r w:rsidRPr="00764801">
              <w:rPr>
                <w:rFonts w:asciiTheme="minorHAnsi" w:hAnsiTheme="minorHAnsi" w:cstheme="minorHAnsi"/>
                <w:sz w:val="22"/>
                <w:szCs w:val="22"/>
              </w:rPr>
              <w:t xml:space="preserve"> </w:t>
            </w:r>
            <w:r w:rsidR="009B7867">
              <w:rPr>
                <w:rFonts w:asciiTheme="minorHAnsi" w:hAnsiTheme="minorHAnsi" w:cstheme="minorHAnsi"/>
                <w:sz w:val="22"/>
                <w:szCs w:val="22"/>
              </w:rPr>
              <w:t xml:space="preserve">is </w:t>
            </w:r>
            <w:r w:rsidRPr="00764801">
              <w:rPr>
                <w:rFonts w:asciiTheme="minorHAnsi" w:hAnsiTheme="minorHAnsi" w:cstheme="minorHAnsi"/>
                <w:sz w:val="22"/>
                <w:szCs w:val="22"/>
              </w:rPr>
              <w:t>not suitable for maintenance treatment then</w:t>
            </w:r>
            <w:r w:rsidR="009B7867" w:rsidRPr="00764801">
              <w:rPr>
                <w:rFonts w:asciiTheme="minorHAnsi" w:hAnsiTheme="minorHAnsi" w:cstheme="minorHAnsi"/>
                <w:sz w:val="22"/>
                <w:szCs w:val="22"/>
              </w:rPr>
              <w:t xml:space="preserve"> azathioprine </w:t>
            </w:r>
            <w:r w:rsidR="009B7867">
              <w:rPr>
                <w:rFonts w:asciiTheme="minorHAnsi" w:hAnsiTheme="minorHAnsi" w:cstheme="minorHAnsi"/>
                <w:sz w:val="22"/>
                <w:szCs w:val="22"/>
              </w:rPr>
              <w:t xml:space="preserve">or </w:t>
            </w:r>
            <w:r w:rsidR="00660A81">
              <w:rPr>
                <w:rFonts w:asciiTheme="minorHAnsi" w:hAnsiTheme="minorHAnsi" w:cstheme="minorHAnsi"/>
                <w:sz w:val="22"/>
                <w:szCs w:val="22"/>
              </w:rPr>
              <w:t xml:space="preserve">tacrolimus (preferred </w:t>
            </w:r>
            <w:r w:rsidRPr="00764801">
              <w:rPr>
                <w:rFonts w:asciiTheme="minorHAnsi" w:hAnsiTheme="minorHAnsi" w:cstheme="minorHAnsi"/>
                <w:sz w:val="22"/>
                <w:szCs w:val="22"/>
              </w:rPr>
              <w:t>CNI</w:t>
            </w:r>
            <w:r w:rsidR="00660A81">
              <w:rPr>
                <w:rFonts w:asciiTheme="minorHAnsi" w:hAnsiTheme="minorHAnsi" w:cstheme="minorHAnsi"/>
                <w:sz w:val="22"/>
                <w:szCs w:val="22"/>
              </w:rPr>
              <w:t>)</w:t>
            </w:r>
            <w:r w:rsidR="009B7867">
              <w:rPr>
                <w:rFonts w:asciiTheme="minorHAnsi" w:hAnsiTheme="minorHAnsi" w:cstheme="minorHAnsi"/>
                <w:sz w:val="22"/>
                <w:szCs w:val="22"/>
              </w:rPr>
              <w:t xml:space="preserve"> is</w:t>
            </w:r>
            <w:r w:rsidRPr="00764801">
              <w:rPr>
                <w:rFonts w:asciiTheme="minorHAnsi" w:hAnsiTheme="minorHAnsi" w:cstheme="minorHAnsi"/>
                <w:sz w:val="22"/>
                <w:szCs w:val="22"/>
              </w:rPr>
              <w:t xml:space="preserve"> considered (avoiding the use of CNI if the kidney function is severely impaired). </w:t>
            </w:r>
          </w:p>
        </w:tc>
        <w:tc>
          <w:tcPr>
            <w:tcW w:w="1701" w:type="dxa"/>
          </w:tcPr>
          <w:p w14:paraId="157F2DB4" w14:textId="63410159" w:rsidR="002E4A27" w:rsidRPr="00764801" w:rsidRDefault="001630D4" w:rsidP="003F494F">
            <w:pPr>
              <w:spacing w:line="360" w:lineRule="auto"/>
              <w:jc w:val="center"/>
              <w:rPr>
                <w:rFonts w:cstheme="minorHAnsi"/>
                <w:b/>
                <w:sz w:val="22"/>
                <w:szCs w:val="22"/>
              </w:rPr>
            </w:pPr>
            <w:r w:rsidRPr="00764801">
              <w:rPr>
                <w:rFonts w:cstheme="minorHAnsi"/>
                <w:b/>
                <w:sz w:val="22"/>
                <w:szCs w:val="22"/>
              </w:rPr>
              <w:t>1C</w:t>
            </w:r>
          </w:p>
        </w:tc>
      </w:tr>
      <w:tr w:rsidR="00837E18" w14:paraId="7F675A95" w14:textId="77777777" w:rsidTr="00C00DD6">
        <w:tc>
          <w:tcPr>
            <w:tcW w:w="965" w:type="dxa"/>
          </w:tcPr>
          <w:p w14:paraId="08585F3E" w14:textId="74130B99" w:rsidR="00C93927" w:rsidRPr="00764801" w:rsidRDefault="001630D4" w:rsidP="003F494F">
            <w:pPr>
              <w:spacing w:line="360" w:lineRule="auto"/>
              <w:rPr>
                <w:rFonts w:cstheme="minorHAnsi"/>
                <w:sz w:val="22"/>
                <w:szCs w:val="22"/>
              </w:rPr>
            </w:pPr>
            <w:r w:rsidRPr="00764801">
              <w:rPr>
                <w:rFonts w:cstheme="minorHAnsi"/>
                <w:sz w:val="22"/>
                <w:szCs w:val="22"/>
              </w:rPr>
              <w:t>LN 4.1</w:t>
            </w:r>
            <w:r w:rsidR="009B7867">
              <w:rPr>
                <w:rFonts w:cstheme="minorHAnsi"/>
                <w:sz w:val="22"/>
                <w:szCs w:val="22"/>
              </w:rPr>
              <w:t>1</w:t>
            </w:r>
          </w:p>
        </w:tc>
        <w:tc>
          <w:tcPr>
            <w:tcW w:w="7682" w:type="dxa"/>
          </w:tcPr>
          <w:p w14:paraId="414A7011" w14:textId="069F1EDC" w:rsidR="00C93927" w:rsidRPr="00764801" w:rsidRDefault="001630D4" w:rsidP="003F494F">
            <w:pPr>
              <w:pStyle w:val="NormalWeb"/>
              <w:spacing w:line="360" w:lineRule="auto"/>
              <w:rPr>
                <w:rFonts w:asciiTheme="minorHAnsi" w:hAnsiTheme="minorHAnsi" w:cstheme="minorHAnsi"/>
                <w:sz w:val="22"/>
                <w:szCs w:val="22"/>
              </w:rPr>
            </w:pPr>
            <w:r w:rsidRPr="00764801">
              <w:rPr>
                <w:rFonts w:asciiTheme="minorHAnsi" w:eastAsiaTheme="minorEastAsia" w:hAnsiTheme="minorHAnsi" w:cstheme="minorHAnsi"/>
                <w:color w:val="000000" w:themeColor="text1"/>
                <w:kern w:val="24"/>
                <w:sz w:val="22"/>
                <w:szCs w:val="22"/>
                <w:u w:val="single"/>
              </w:rPr>
              <w:t>We suggest</w:t>
            </w:r>
            <w:r w:rsidRPr="00764801">
              <w:rPr>
                <w:rFonts w:asciiTheme="minorHAnsi" w:eastAsiaTheme="minorEastAsia" w:hAnsiTheme="minorHAnsi" w:cstheme="minorHAnsi"/>
                <w:color w:val="000000" w:themeColor="text1"/>
                <w:kern w:val="24"/>
                <w:sz w:val="22"/>
                <w:szCs w:val="22"/>
              </w:rPr>
              <w:t xml:space="preserve"> consideration of recruitment to clinical trials, off-label treatments available for adults, or the compassionate use of agents under evaluation, in children who have failed to demonstrate any improvement and continue to have active disease.</w:t>
            </w:r>
          </w:p>
        </w:tc>
        <w:tc>
          <w:tcPr>
            <w:tcW w:w="1701" w:type="dxa"/>
          </w:tcPr>
          <w:p w14:paraId="5FBA0BE6" w14:textId="44C4955C" w:rsidR="00C93927" w:rsidRPr="00764801" w:rsidRDefault="001630D4" w:rsidP="003F494F">
            <w:pPr>
              <w:spacing w:line="360" w:lineRule="auto"/>
              <w:jc w:val="center"/>
              <w:rPr>
                <w:rFonts w:cstheme="minorHAnsi"/>
                <w:b/>
                <w:sz w:val="22"/>
                <w:szCs w:val="22"/>
              </w:rPr>
            </w:pPr>
            <w:r w:rsidRPr="00764801">
              <w:rPr>
                <w:rFonts w:cstheme="minorHAnsi"/>
                <w:b/>
                <w:sz w:val="22"/>
                <w:szCs w:val="22"/>
              </w:rPr>
              <w:t>2D</w:t>
            </w:r>
          </w:p>
        </w:tc>
      </w:tr>
    </w:tbl>
    <w:p w14:paraId="792DE0E4" w14:textId="77777777" w:rsidR="00257E1D" w:rsidRPr="00C00DD6" w:rsidRDefault="00257E1D" w:rsidP="003F494F">
      <w:pPr>
        <w:pStyle w:val="NormalWeb"/>
        <w:spacing w:before="0" w:beforeAutospacing="0" w:after="0" w:afterAutospacing="0" w:line="360" w:lineRule="auto"/>
        <w:rPr>
          <w:rFonts w:asciiTheme="minorHAnsi" w:hAnsiTheme="minorHAnsi" w:cstheme="minorHAnsi"/>
          <w:sz w:val="22"/>
          <w:szCs w:val="22"/>
        </w:rPr>
      </w:pPr>
    </w:p>
    <w:p w14:paraId="7019803D" w14:textId="4ECCB476" w:rsidR="00257E1D" w:rsidRPr="00C00DD6" w:rsidRDefault="001630D4" w:rsidP="003F494F">
      <w:pPr>
        <w:spacing w:line="360" w:lineRule="auto"/>
        <w:rPr>
          <w:rFonts w:eastAsiaTheme="minorEastAsia" w:cstheme="minorHAnsi"/>
          <w:b/>
          <w:bCs/>
          <w:color w:val="000000" w:themeColor="text1"/>
          <w:kern w:val="24"/>
          <w:sz w:val="22"/>
          <w:szCs w:val="22"/>
          <w:lang w:val="en-US" w:eastAsia="en-GB"/>
        </w:rPr>
      </w:pPr>
      <w:r w:rsidRPr="009B7867">
        <w:rPr>
          <w:rFonts w:eastAsiaTheme="minorEastAsia" w:cstheme="minorHAnsi"/>
          <w:b/>
          <w:bCs/>
          <w:color w:val="000000" w:themeColor="text1"/>
          <w:kern w:val="24"/>
          <w:sz w:val="22"/>
          <w:szCs w:val="22"/>
          <w:lang w:val="en-US" w:eastAsia="en-GB"/>
        </w:rPr>
        <w:t>Rationale</w:t>
      </w:r>
    </w:p>
    <w:p w14:paraId="4820F808" w14:textId="6F873A29" w:rsidR="00601B86" w:rsidRPr="00C00DD6" w:rsidRDefault="001630D4" w:rsidP="003F494F">
      <w:pPr>
        <w:spacing w:line="360" w:lineRule="auto"/>
        <w:jc w:val="both"/>
        <w:rPr>
          <w:rFonts w:eastAsia="Times New Roman" w:cstheme="minorHAnsi"/>
          <w:sz w:val="22"/>
          <w:szCs w:val="22"/>
          <w:lang w:eastAsia="en-GB"/>
        </w:rPr>
      </w:pPr>
      <w:r>
        <w:rPr>
          <w:rFonts w:eastAsia="Times New Roman" w:cstheme="minorHAnsi"/>
          <w:sz w:val="22"/>
          <w:szCs w:val="22"/>
          <w:lang w:eastAsia="en-GB"/>
        </w:rPr>
        <w:lastRenderedPageBreak/>
        <w:t xml:space="preserve">LN runs a chronic relapsing course with 0.14 flares per child per year reported </w:t>
      </w:r>
      <w:r>
        <w:rPr>
          <w:rFonts w:eastAsia="Times New Roman" w:cstheme="minorHAnsi"/>
          <w:sz w:val="22"/>
          <w:szCs w:val="22"/>
          <w:lang w:eastAsia="en-GB"/>
        </w:rPr>
        <w:fldChar w:fldCharType="begin"/>
      </w:r>
      <w:r w:rsidR="00642970">
        <w:rPr>
          <w:rFonts w:eastAsia="Times New Roman" w:cstheme="minorHAnsi"/>
          <w:sz w:val="22"/>
          <w:szCs w:val="22"/>
          <w:lang w:eastAsia="en-GB"/>
        </w:rPr>
        <w:instrText xml:space="preserve"> ADDIN ZOTERO_ITEM CSL_CITATION {"citationID":"QuJVnRo8","properties":{"formattedCitation":"(58)","plainCitation":"(58)","noteIndex":0},"citationItems":[{"id":213,"uris":["http://zotero.org/users/local/lvPLY4Gu/items/2WWYKPZW"],"itemData":{"id":213,"type":"article-journal","abstract":"Our study on a contemporary cohort of childhood LN highlights the importance of achieving CR and its feasibility.","container-title":"Lupus","DOI":"10.1177/09612033231202843","ISSN":"1477-0962","issue":"12","language":"en","note":"publisher: Lupus\nPMID: 37707867","source":"pubmed.ncbi.nlm.nih.gov","title":"Presentation and outcome of pediatric lupus nephritis from a large single centre contemporary cohort in Eastern India","URL":"https://pubmed.ncbi.nlm.nih.gov/37707867/","volume":"32","author":[{"family":"D","given":"Biswas"},{"family":"D","given":"Dasgupta"},{"family":"P","given":"Pal"},{"family":"R","given":"Sinha"}],"accessed":{"date-parts":[["2024",12,28]]},"issued":{"date-parts":[["2023",10]]}}}],"schema":"https://github.com/citation-style-language/schema/raw/master/csl-citation.json"} </w:instrText>
      </w:r>
      <w:r>
        <w:rPr>
          <w:rFonts w:eastAsia="Times New Roman" w:cstheme="minorHAnsi"/>
          <w:sz w:val="22"/>
          <w:szCs w:val="22"/>
          <w:lang w:eastAsia="en-GB"/>
        </w:rPr>
        <w:fldChar w:fldCharType="separate"/>
      </w:r>
      <w:r w:rsidR="00642970">
        <w:rPr>
          <w:rFonts w:eastAsia="Times New Roman" w:cstheme="minorHAnsi"/>
          <w:noProof/>
          <w:sz w:val="22"/>
          <w:szCs w:val="22"/>
          <w:lang w:eastAsia="en-GB"/>
        </w:rPr>
        <w:t>(58)</w:t>
      </w:r>
      <w:r>
        <w:rPr>
          <w:rFonts w:eastAsia="Times New Roman" w:cstheme="minorHAnsi"/>
          <w:sz w:val="22"/>
          <w:szCs w:val="22"/>
          <w:lang w:eastAsia="en-GB"/>
        </w:rPr>
        <w:fldChar w:fldCharType="end"/>
      </w:r>
      <w:r w:rsidR="005D569D">
        <w:rPr>
          <w:rFonts w:eastAsia="Times New Roman" w:cstheme="minorHAnsi"/>
          <w:sz w:val="22"/>
          <w:szCs w:val="22"/>
          <w:lang w:eastAsia="en-GB"/>
        </w:rPr>
        <w:t xml:space="preserve"> and kidney disease is associated with increased mortality </w:t>
      </w:r>
      <w:r w:rsidR="005D569D">
        <w:rPr>
          <w:rFonts w:eastAsia="Times New Roman" w:cstheme="minorHAnsi"/>
          <w:sz w:val="22"/>
          <w:szCs w:val="22"/>
          <w:lang w:eastAsia="en-GB"/>
        </w:rPr>
        <w:fldChar w:fldCharType="begin"/>
      </w:r>
      <w:r w:rsidR="00642970">
        <w:rPr>
          <w:rFonts w:eastAsia="Times New Roman" w:cstheme="minorHAnsi"/>
          <w:sz w:val="22"/>
          <w:szCs w:val="22"/>
          <w:lang w:eastAsia="en-GB"/>
        </w:rPr>
        <w:instrText xml:space="preserve"> ADDIN ZOTERO_ITEM CSL_CITATION {"citationID":"jqwoqo87","properties":{"formattedCitation":"(76)","plainCitation":"(76)","noteIndex":0},"citationItems":[{"id":259,"uris":["http://zotero.org/users/local/lvPLY4Gu/items/TPVC4VQG"],"itemData":{"id":259,"type":"article-journal","abstract":"OBJECTIVES: To identify associations between mortality in cSLE patients and their characteristics: clinical and laboratory features, disease activity and damage scores, and treatment; to evaluate risk factors associated with mortality in cSLE; and to determine the most frequent causes of death in this group of patients.\nMETHODS: We performed a multicenter retrospective cohort using data from 1,528 cSLE patients followed in 27 pediatric rheumatology tertiary centers in Brazil. Patients' medical records were reviewed according to a standardized protocol, in which information regarding demographic and clinical features, disease activity and damage scores, and treatment were collected and compared between deceased cSLE patients and survivors. Univariate and multivariate analyses by Cox regression model were used to calculate risk factors for mortality, whereas survival rates were analyzed by Kaplan-Meier plots.\nRESULTS: A total of 63/1,528 (4.1%) patients deceased, 53/63 were female (84.1%), median age at death was 11.9 (9.4-13.1) years and median time interval between cSLE diagnosis and death was 3.2 (0.5-5.3) years. Sepsis was the main cause of death in 27/63 (42.8%) patients, followed by opportunistic infections in 7/63 (11.1%), and alveolar hemorrhage in 6/63 (9.5%) patients. The regression models resulted in neuropsychiatric lupus (NP-SLE) (HR = 2.56, 95% CI = 1.48-4.42) and chronic kidney disease (CKD) (HR = 4.33, 95% CI = 2.33-4.72), as risk factors significantly associated with mortality. Overall patient survival after cSLE diagnosis at 5, 10, and 15 years were 97%, 95.4%, and 93.8%, respectively.\nCONCLUSIONS: This study confirmed that the recent mortality rate in cSLE in Brazil is low, but still of concern. NP-SLE and CKD were the main risk factors for mortality, indicating that the magnitude of these manifestations was significantly high.","container-title":"Lupus","DOI":"10.1177/09612033231170515","ISSN":"1477-0962","issue":"6","journalAbbreviation":"Lupus","language":"eng","note":"PMID: 37070932","page":"781-790","source":"PubMed","title":"Risk factors for mortality in 1528 Brazilian childhood-onset systemic lupus erythematosus patients","volume":"32","author":[{"family":"Sakamoto","given":"Ana P."},{"family":"Silva","given":"Clovis A."},{"family":"Pita","given":"Ana C."},{"family":"Trindade","given":"Vitor C."},{"family":"Islabao","given":"Aline G."},{"family":"Fiorot","given":"Fernanda J."},{"family":"Lopes","given":"Sandra Rm"},{"family":"Pereira","given":"Rosa Mr"},{"family":"Saad-Magalhaes","given":"Claudia"},{"family":"Russo","given":"Gleice Cs"},{"family":"Len","given":"Claudio A."},{"family":"Prado","given":"Rogerio","dropping-particle":"do"},{"family":"Campos","given":"Lucia Ma"},{"family":"Aikawa","given":"Nadia E."},{"family":"Appenzeller","given":"Simone"},{"family":"Ferriani","given":"Virginia Pl"},{"family":"Silva","given":"Marco F."},{"family":"Felix","given":"Marta"},{"family":"Fonseca","given":"Adriana R."},{"family":"Assad","given":"Ana Pl"},{"family":"Sztajnbok","given":"Flavio R."},{"family":"Santos","given":"Maria C."},{"family":"Bica","given":"Blanca E."},{"family":"Sena","given":"Evaldo G."},{"family":"Moraes","given":"Ana J."},{"family":"Fraga","given":"Melissa M."},{"family":"Robazzi","given":"Teresa C."},{"family":"Spelling","given":"Paulo F."},{"family":"Scheibel","given":"Iloite M."},{"family":"Cavalcanti","given":"Andre S."},{"family":"Matos","given":"Erica N."},{"family":"Guimaraes","given":"Luciano J."},{"family":"Santos","given":"Flavia P."},{"family":"Mota","given":"Licia Mh"},{"family":"Bonfa","given":"Eloisa"},{"family":"Terreri","given":"Maria T."}],"issued":{"date-parts":[["2023",5]]}}}],"schema":"https://github.com/citation-style-language/schema/raw/master/csl-citation.json"} </w:instrText>
      </w:r>
      <w:r w:rsidR="005D569D">
        <w:rPr>
          <w:rFonts w:eastAsia="Times New Roman" w:cstheme="minorHAnsi"/>
          <w:sz w:val="22"/>
          <w:szCs w:val="22"/>
          <w:lang w:eastAsia="en-GB"/>
        </w:rPr>
        <w:fldChar w:fldCharType="separate"/>
      </w:r>
      <w:r w:rsidR="00642970">
        <w:rPr>
          <w:rFonts w:eastAsia="Times New Roman" w:cstheme="minorHAnsi"/>
          <w:noProof/>
          <w:sz w:val="22"/>
          <w:szCs w:val="22"/>
          <w:lang w:eastAsia="en-GB"/>
        </w:rPr>
        <w:t>(76)</w:t>
      </w:r>
      <w:r w:rsidR="005D569D">
        <w:rPr>
          <w:rFonts w:eastAsia="Times New Roman" w:cstheme="minorHAnsi"/>
          <w:sz w:val="22"/>
          <w:szCs w:val="22"/>
          <w:lang w:eastAsia="en-GB"/>
        </w:rPr>
        <w:fldChar w:fldCharType="end"/>
      </w:r>
      <w:r>
        <w:rPr>
          <w:rFonts w:eastAsia="Times New Roman" w:cstheme="minorHAnsi"/>
          <w:sz w:val="22"/>
          <w:szCs w:val="22"/>
          <w:lang w:eastAsia="en-GB"/>
        </w:rPr>
        <w:t xml:space="preserve">, as such they have high demands for long term immunosuppression. There are no clinical indicators to predict the histological findings </w:t>
      </w:r>
      <w:r>
        <w:rPr>
          <w:rFonts w:eastAsia="Times New Roman" w:cstheme="minorHAnsi"/>
          <w:sz w:val="22"/>
          <w:szCs w:val="22"/>
          <w:lang w:eastAsia="en-GB"/>
        </w:rPr>
        <w:fldChar w:fldCharType="begin"/>
      </w:r>
      <w:r w:rsidR="00642970">
        <w:rPr>
          <w:rFonts w:eastAsia="Times New Roman" w:cstheme="minorHAnsi"/>
          <w:sz w:val="22"/>
          <w:szCs w:val="22"/>
          <w:lang w:eastAsia="en-GB"/>
        </w:rPr>
        <w:instrText xml:space="preserve"> ADDIN ZOTERO_ITEM CSL_CITATION {"citationID":"RiaOVDSP","properties":{"formattedCitation":"(59)","plainCitation":"(59)","noteIndex":0},"citationItems":[{"id":216,"uris":["http://zotero.org/users/local/lvPLY4Gu/items/RZ583BMD"],"itemData":{"id":216,"type":"article-journal","abstract":"Lupus nephritis (LN) affects many patients with juvenile systemic lupus erythematosus (SLE) and is a significant cause of disease morbidity. Membranous plus proliferative LN (M + PLN) may represent a more difficult to treat subtype of juvenile LN, compared to isolated proliferative LN (PLN). In this retrospective observational study, we utilized data from the Childhood Arthritis and Rheumatism Research Alliance (CARRA) registry to compare response rates for pediatric M + PLN versus PLN. Response was assessed at the most recent CARRA registry visit gathered ≥6 months after diagnostic kidney biopsy. Estimated glomerular filtration rate (GFR) less than 90 ml/min/1.73 m(2), indicating renal insufficiency, was found in 16.1% of patients with M + PLN and 6.1% of patients with PLN (P = 0.071). We found no significant difference in achievement of response in either hematuria or proteinuria between PLN and M + PLN groups or between subgroups determined by presence of class III vs. class IV proliferative disease. Exposure rates to mycophenolate, cyclophosphamide, and rituximab were similar between groups. Future studies will be necessary to correlate pediatric LN renal histology data with treatment response as well as other disease outcome measures.","container-title":"Lupus","DOI":"10.1177/0961203314531841","ISSN":"1477-0962","issue":"9","journalAbbreviation":"Lupus","language":"eng","note":"PMID: 24729278\nPMCID: PMC4194184","page":"898-904","source":"PubMed","title":"Comparison of renal response parameters for juvenile membranous plus proliferative lupus nephritis versus isolated proliferative lupus nephritis: a cross-sectional analysis of the CARRA Registry","title-short":"Comparison of renal response parameters for juvenile membranous plus proliferative lupus nephritis versus isolated proliferative lupus nephritis","volume":"23","author":[{"family":"Boneparth","given":"A."},{"family":"Ilowite","given":"N. T."},{"literal":"CARRA Registry Investigators"}],"issued":{"date-parts":[["2014",8]]}}}],"schema":"https://github.com/citation-style-language/schema/raw/master/csl-citation.json"} </w:instrText>
      </w:r>
      <w:r>
        <w:rPr>
          <w:rFonts w:eastAsia="Times New Roman" w:cstheme="minorHAnsi"/>
          <w:sz w:val="22"/>
          <w:szCs w:val="22"/>
          <w:lang w:eastAsia="en-GB"/>
        </w:rPr>
        <w:fldChar w:fldCharType="separate"/>
      </w:r>
      <w:r w:rsidR="00642970">
        <w:rPr>
          <w:rFonts w:eastAsia="Times New Roman" w:cstheme="minorHAnsi"/>
          <w:noProof/>
          <w:sz w:val="22"/>
          <w:szCs w:val="22"/>
          <w:lang w:eastAsia="en-GB"/>
        </w:rPr>
        <w:t>(59)</w:t>
      </w:r>
      <w:r>
        <w:rPr>
          <w:rFonts w:eastAsia="Times New Roman" w:cstheme="minorHAnsi"/>
          <w:sz w:val="22"/>
          <w:szCs w:val="22"/>
          <w:lang w:eastAsia="en-GB"/>
        </w:rPr>
        <w:fldChar w:fldCharType="end"/>
      </w:r>
      <w:r>
        <w:rPr>
          <w:rFonts w:eastAsia="Times New Roman" w:cstheme="minorHAnsi"/>
          <w:sz w:val="22"/>
          <w:szCs w:val="22"/>
          <w:lang w:eastAsia="en-GB"/>
        </w:rPr>
        <w:t>. Treatment is directed according to the classification of the histological findings and indicated mostly in class 3, 4 or 5 disease</w:t>
      </w:r>
      <w:r w:rsidR="00AD454E">
        <w:rPr>
          <w:rFonts w:eastAsia="Times New Roman" w:cstheme="minorHAnsi"/>
          <w:sz w:val="22"/>
          <w:szCs w:val="22"/>
          <w:lang w:eastAsia="en-GB"/>
        </w:rPr>
        <w:t>,</w:t>
      </w:r>
      <w:r>
        <w:rPr>
          <w:rFonts w:eastAsia="Times New Roman" w:cstheme="minorHAnsi"/>
          <w:sz w:val="22"/>
          <w:szCs w:val="22"/>
          <w:lang w:eastAsia="en-GB"/>
        </w:rPr>
        <w:t xml:space="preserve"> where class 4 disease has the worst prognosis </w:t>
      </w:r>
      <w:r>
        <w:rPr>
          <w:rFonts w:eastAsia="Times New Roman" w:cstheme="minorHAnsi"/>
          <w:sz w:val="22"/>
          <w:szCs w:val="22"/>
          <w:lang w:eastAsia="en-GB"/>
        </w:rPr>
        <w:fldChar w:fldCharType="begin"/>
      </w:r>
      <w:r w:rsidR="00642970">
        <w:rPr>
          <w:rFonts w:eastAsia="Times New Roman" w:cstheme="minorHAnsi"/>
          <w:sz w:val="22"/>
          <w:szCs w:val="22"/>
          <w:lang w:eastAsia="en-GB"/>
        </w:rPr>
        <w:instrText xml:space="preserve"> ADDIN ZOTERO_ITEM CSL_CITATION {"citationID":"KDu5d317","properties":{"formattedCitation":"(60,62,69)","plainCitation":"(60,62,69)","noteIndex":0},"citationItems":[{"id":219,"uris":["http://zotero.org/users/local/lvPLY4Gu/items/LWRAYWA3"],"itemData":{"id":219,"type":"article-journal","abstract":"Objective The objective of this article is to describe and compare clinical features, treatment, and renal outcomes of children with membranous lupus nephritis (MLN), through analysis of a national multicenter registry. Methods Patients with pediatric systemic lupus erythematosus (SLE) and MLN from the Childhood Arthritis and Rheumatology Research Alliance (CARRA) Legacy Registry were included. Demographic, disease and medication-related data were collected between 2010 and 2014 from 59 CARRA Legacy Registry sites. Results A total of 132 individuals had MLN, either in isolation or in combination with proliferative LN. Seventy-four patients had pure MLN. The proportion of patients with daily corticosteroid treatment was similar among groups (96%, 91%, and 96%, for class III+V, IV+V, and V, respectively, p = 0.67). Proportion of individuals exposed to any disease-modifying antirheumatic drug (DMARD) or biologic was similar among the three groups (83%, 91%, 95% for class III+V, IV+V, and V, respectively, p = 0.189). Proportion of patients with decreased glomerular filtration rate (less than 90 ml/min/1.73 m2) was significantly different among groups (4%, 38%, and 4%, for class III+V, IV+V, and V, respectively, p &lt; 0.0001). Conclusion This is the largest reported cohort of children with MLN. More research is needed to understand treatment practices for pediatric MLN, particularly decisions related to pharmacologic treatment of pure MLN. More work is also needed to identify prognostic factors and predictors of outcome for pediatric MLN. Future observational studies will be a first step toward understanding and formulating a standardized approach to treatment of pediatric membranous LN and allowing for the initiation of prospective comparative effectiveness studies and interventional trials.","container-title":"Lupus","DOI":"10.1177/0961203316662720","ISSN":"1477-0962","issue":"3","journalAbbreviation":"Lupus","language":"eng","note":"PMID: 27510603\nPMCID: PMC7219613","page":"299-306","source":"PubMed","title":"Clinical characteristics of children with membranous lupus nephritis: the Childhood Arthritis and Rheumatology Research Alliance Legacy Registry","title-short":"Clinical characteristics of children with membranous lupus nephritis","volume":"26","author":[{"family":"Boneparth","given":"A."},{"family":"Wenderfer","given":"S. E."},{"family":"Moorthy","given":"L. Nandini"},{"family":"Radhakrishna","given":"S. M."},{"family":"Sagcal-Gironella","given":"A. C. P."},{"family":"Scheven","given":"E.","non-dropping-particle":"von"},{"literal":"CARRA Registry investigators"}],"issued":{"date-parts":[["2017",3]]}}},{"id":225,"uris":["http://zotero.org/users/local/lvPLY4Gu/items/K7M476TE"],"itemData":{"id":225,"type":"article-journal","abstract":"Objective The objective of this article is to describe and compare clinical features, treatment, and renal outcomes of children with membranous lupus nephritis (MLN), through analysis of a national multicenter registry. Methods Patients with pediatric systemic lupus erythematosus (SLE) and MLN from the Childhood Arthritis and Rheumatology Research Alliance (CARRA) Legacy Registry were included. Demographic, disease and medication-related data were collected between 2010 and 2014 from 59 CARRA Legacy Registry sites. Results A total of 132 individuals had MLN, either in isolation or in combination with proliferative LN. Seventy-four patients had pure MLN. The proportion of patients with daily corticosteroid treatment was similar among groups (96%, 91%, and 96%, for class III+V, IV+V, and V, respectively, p = 0.67). Proportion of individuals exposed to any disease-modifying antirheumatic drug (DMARD) or biologic was similar among the three groups (83%, 91%, 95% for class III+V, IV+V, and V, respectively, p = 0.189). Proportion of patients with decreased glomerular filtration rate (less than 90 ml/min/1.73 m2) was significantly different among groups (4%, 38%, and 4%, for class III+V, IV+V, and V, respectively, p &lt; 0.0001). Conclusion This is the largest reported cohort of children with MLN. More research is needed to understand treatment practices for pediatric MLN, particularly decisions related to pharmacologic treatment of pure MLN. More work is also needed to identify prognostic factors and predictors of outcome for pediatric MLN. Future observational studies will be a first step toward understanding and formulating a standardized approach to treatment of pediatric membranous LN and allowing for the initiation of prospective comparative effectiveness studies and interventional trials.","container-title":"Lupus","DOI":"10.1177/0961203316662720","ISSN":"1477-0962","issue":"3","journalAbbreviation":"Lupus","language":"eng","note":"PMID: 27510603\nPMCID: PMC7219613","page":"299-306","source":"PubMed","title":"Clinical characteristics of children with membranous lupus nephritis: the Childhood Arthritis and Rheumatology Research Alliance Legacy Registry","title-short":"Clinical characteristics of children with membranous lupus nephritis","volume":"26","author":[{"family":"Boneparth","given":"A."},{"family":"Wenderfer","given":"S. E."},{"family":"Moorthy","given":"L. Nandini"},{"family":"Radhakrishna","given":"S. M."},{"family":"Sagcal-Gironella","given":"A. C. P."},{"family":"Scheven","given":"E.","non-dropping-particle":"von"},{"literal":"CARRA Registry investigators"}],"issued":{"date-parts":[["2017",3]]}}},{"id":243,"uris":["http://zotero.org/users/local/lvPLY4Gu/items/3IHZVNXL"],"itemData":{"id":243,"type":"article-journal","abstract":"BACKGROUND: Studies of paediatric patients with membranous lupus nephritis (MLN) have yielded variable results, mostly due to the inclusion of mixed, i.e. proliferative nephritis. The aim of this study was to describe clinical and laboratory findings at the diagnosis of paediatric non-proliferative MLN, report the outcome and identify predictors of remission.\nMETHODS: A single-center cohort study of consecutive children diagnosed with non-proliferative MLN was performed. Clinical and laboratory measures and treatment regimens were obtained in prospective standardized assessments. Renal outcome was measured by renal parameters and steroid requirement. Predictors for remission and time to remission were determined.\nRESULTS: A total of 30 children were identified with a median follow-up time 4.1 years. Of 21 patients followed for more than 2 years, 19 (90 %) achieved clinical remission, and 16 (76 %) achieved a state of maintained clinical remission on low-dose prednisone. Three patients developed proliferative nephritis on subsequent renal biopsy. Lower albumin at the time of biopsy was correlated with a lower rate of remission and longer time to remission.\nCONCLUSIONS: Among our paediatric patient cohort the outcome of non-proliferative MLN in systemic lupus erythematosus was good. The majority of patients did not require aggressive immunosuppressive treatment to reach a stable disease state on low-dose steroid treatment.","container-title":"Pediatric Nephrology (Berlin, Germany)","DOI":"10.1007/s00467-014-2908-2","ISSN":"1432-198X","issue":"1","journalAbbreviation":"Pediatr Nephrol","language":"eng","note":"PMID: 25080370","page":"113-121","source":"PubMed","title":"Presentation and outcome of paediatric membranous non-proliferative lupus nephritis","volume":"30","author":[{"family":"Hugle","given":"Boris"},{"family":"Silverman","given":"Earl D."},{"family":"Tyrrell","given":"Pascal N."},{"family":"Harvey","given":"Elizabeth A."},{"family":"Hébert","given":"Diane"},{"family":"Benseler","given":"Susanne M."}],"issued":{"date-parts":[["2015",1]]}}}],"schema":"https://github.com/citation-style-language/schema/raw/master/csl-citation.json"} </w:instrText>
      </w:r>
      <w:r>
        <w:rPr>
          <w:rFonts w:eastAsia="Times New Roman" w:cstheme="minorHAnsi"/>
          <w:sz w:val="22"/>
          <w:szCs w:val="22"/>
          <w:lang w:eastAsia="en-GB"/>
        </w:rPr>
        <w:fldChar w:fldCharType="separate"/>
      </w:r>
      <w:r w:rsidR="00642970">
        <w:rPr>
          <w:rFonts w:eastAsia="Times New Roman" w:cstheme="minorHAnsi"/>
          <w:noProof/>
          <w:sz w:val="22"/>
          <w:szCs w:val="22"/>
          <w:lang w:eastAsia="en-GB"/>
        </w:rPr>
        <w:t>(60,62,69)</w:t>
      </w:r>
      <w:r>
        <w:rPr>
          <w:rFonts w:eastAsia="Times New Roman" w:cstheme="minorHAnsi"/>
          <w:sz w:val="22"/>
          <w:szCs w:val="22"/>
          <w:lang w:eastAsia="en-GB"/>
        </w:rPr>
        <w:fldChar w:fldCharType="end"/>
      </w:r>
      <w:r>
        <w:rPr>
          <w:rFonts w:eastAsia="Times New Roman" w:cstheme="minorHAnsi"/>
          <w:sz w:val="22"/>
          <w:szCs w:val="22"/>
          <w:lang w:eastAsia="en-GB"/>
        </w:rPr>
        <w:t xml:space="preserve">. Treatment relies on an induction period followed by maintenance over several years. Induction has classically been a choice due to similar outcomes when using MMF or cyclophosphamide together with corticosteroids </w:t>
      </w:r>
      <w:r>
        <w:rPr>
          <w:rFonts w:eastAsia="Times New Roman" w:cstheme="minorHAnsi"/>
          <w:sz w:val="22"/>
          <w:szCs w:val="22"/>
          <w:lang w:eastAsia="en-GB"/>
        </w:rPr>
        <w:fldChar w:fldCharType="begin"/>
      </w:r>
      <w:r w:rsidR="00642970">
        <w:rPr>
          <w:rFonts w:eastAsia="Times New Roman" w:cstheme="minorHAnsi"/>
          <w:sz w:val="22"/>
          <w:szCs w:val="22"/>
          <w:lang w:eastAsia="en-GB"/>
        </w:rPr>
        <w:instrText xml:space="preserve"> ADDIN ZOTERO_ITEM CSL_CITATION {"citationID":"kw50fDMK","properties":{"formattedCitation":"(59,64,70,73,74,77,82,83)","plainCitation":"(59,64,70,73,74,77,82,83)","noteIndex":0},"citationItems":[{"id":216,"uris":["http://zotero.org/users/local/lvPLY4Gu/items/RZ583BMD"],"itemData":{"id":216,"type":"article-journal","abstract":"Lupus nephritis (LN) affects many patients with juvenile systemic lupus erythematosus (SLE) and is a significant cause of disease morbidity. Membranous plus proliferative LN (M + PLN) may represent a more difficult to treat subtype of juvenile LN, compared to isolated proliferative LN (PLN). In this retrospective observational study, we utilized data from the Childhood Arthritis and Rheumatism Research Alliance (CARRA) registry to compare response rates for pediatric M + PLN versus PLN. Response was assessed at the most recent CARRA registry visit gathered ≥6 months after diagnostic kidney biopsy. Estimated glomerular filtration rate (GFR) less than 90 ml/min/1.73 m(2), indicating renal insufficiency, was found in 16.1% of patients with M + PLN and 6.1% of patients with PLN (P = 0.071). We found no significant difference in achievement of response in either hematuria or proteinuria between PLN and M + PLN groups or between subgroups determined by presence of class III vs. class IV proliferative disease. Exposure rates to mycophenolate, cyclophosphamide, and rituximab were similar between groups. Future studies will be necessary to correlate pediatric LN renal histology data with treatment response as well as other disease outcome measures.","container-title":"Lupus","DOI":"10.1177/0961203314531841","ISSN":"1477-0962","issue":"9","journalAbbreviation":"Lupus","language":"eng","note":"PMID: 24729278\nPMCID: PMC4194184","page":"898-904","source":"PubMed","title":"Comparison of renal response parameters for juvenile membranous plus proliferative lupus nephritis versus isolated proliferative lupus nephritis: a cross-sectional analysis of the CARRA Registry","title-short":"Comparison of renal response parameters for juvenile membranous plus proliferative lupus nephritis versus isolated proliferative lupus nephritis","volume":"23","author":[{"family":"Boneparth","given":"A."},{"family":"Ilowite","given":"N. T."},{"literal":"CARRA Registry Investigators"}],"issued":{"date-parts":[["2014",8]]}}},{"id":230,"uris":["http://zotero.org/users/local/lvPLY4Gu/items/75HTH4AJ"],"itemData":{"id":230,"type":"article-journal","abstract":"BACKGROUND: To reduce treatment variability and facilitate comparative effectiveness studies, the Childhood Arthritis and Rheumatology Research Alliance (CARRA) published consensus treatment plans (CTPs) including one for juvenile proliferative lupus nephritis (LN). Induction immunosuppression CTPs outline treatment with either monthly intravenous (IV) cyclophosphamide (CYC) or mycophenolate mofetil (MMF) in conjunction with one of three corticosteroid (steroid) CTPs: primarily oral, primarily IV or mixed oral/IV. The acceptability and in-practice use of these CTPs are unknown. Therefore, the primary aims of the pilot study were to demonstrate feasibility of adhering to the LN CTPs and delineate barriers to implementation in clinical care in the US. Further, we aimed to explore the safety and effectiveness of the treatments for induction therapy.\nMETHODS: Forty-one patients were enrolled from 10 CARRA sites. Patients had new-onset biopsy proven ISN/RPS class III or IV proliferative LN, were starting induction therapy with MMF or IV CYC and high-dose steroids and were followed for up to 24 months. Routine clinical data were collected at each visit. Provider reasons for CTP selection were assessed at baseline. Adherence to the CTPs was evaluated by provider survey and medication logs. Complete and partial renal responses were reported at 6 months.\nRESULTS: The majority of patients were female (83%) with a mean age of 14.7 years, SD 2.8. CYC was used more commonly than MMF for patients with ISN/RPS class IV LN (vs. class III), those who had hematuria, and those with adherence concerns. Overall adherence to the immunosuppression induction CTPs was acceptable with a majority of patients receiving the target MMF (86%) or CYC (63%) dose. However, adherence to the steroid CTPs was poor (37%) with large variability in dosing. Renal response endpoints were exploratory and did not show a significant difference between CYC and MMF.\nCONCLUSIONS: Overall, the immunosuppression CTPs were followed as intended in the majority of patients however, adherence to the steroid CTPs was poor indicating revision is necessary. In addition, our pilot study revealed several sources of treatment selection bias that will need to be addressed in for future comparative effectiveness research.","container-title":"Pediatric Rheumatology Online Journal","DOI":"10.1186/s12969-018-0279-0","ISSN":"1546-0096","issue":"1","journalAbbreviation":"Pediatr Rheumatol Online J","language":"eng","note":"PMID: 30348175\nPMCID: PMC6196456","page":"65","source":"PubMed","title":"Pilot study comparing the childhood arthritis and rheumatology research alliance consensus treatment plans for induction therapy of juvenile proliferative lupus nephritis","volume":"16","author":[{"family":"Cooper","given":"Jennifer C."},{"family":"Rouster-Stevens","given":"Kelly"},{"family":"Wright","given":"Tracey B."},{"family":"Hsu","given":"Joyce J."},{"family":"Klein-Gitelman","given":"Marisa S."},{"family":"Ardoin","given":"Stacy P."},{"family":"Schanberg","given":"Laura E."},{"family":"Brunner","given":"Hermine I."},{"family":"Eberhard","given":"B. Anne"},{"family":"Wagner-Weiner","given":"Linda"},{"family":"Mehta","given":"Jay"},{"family":"Haines","given":"Kathleen"},{"family":"McCurdy","given":"Deborah K."},{"family":"Phillips","given":"Thomas A."},{"family":"Huang","given":"Zhen"},{"family":"Scheven","given":"Emily","non-dropping-particle":"von"},{"literal":"CARRA registry investigators"}],"issued":{"date-parts":[["2018",10,22]]}}},{"id":245,"uris":["http://zotero.org/users/local/lvPLY4Gu/items/7T2HFL4G"],"itemData":{"id":245,"type":"article-journal","abstract":"BACKGROUND: System lupus erythematosus (SLE) is a severe multisystem autoimmune disease.\nOBJECTIVE: To describe the clinical and pathological features, treatment, and renal outcome in children under 18 years with lupus nephritis (LN).\nMETHODS: The study was undertaken by a questionnaire completed in 26 Grade 3A hospitals' paediatric renal units in China. The study comprised 788 children (619 girls, 169 boys) diagnosed with SLE by the American College of Rheumatology criteria (1997) during 2005-2010. Results of renal biopsies were classified according to the guidelines of The International Association of Nephrology and the Renal Pathology Society (2003). Guidelines by the Chinese Society of Paediatric Nephrology were applied for the diagnosis and treatment (for trial implementation) in 2010 to determine inclusion. The data included the prevalence of acute kidney injury (AKI), SLE disease activity index (SLEDAI), renal histopathology and the induction of therapy mode.\nRESULTS: The mean (SD) age of onset of SLE was 10.9 (2.90) years (range 1-18) and at diagnosis was 11.3 (2.9) years. The mean (SD) SLEDAI score was 13.5 (5.53). The clinical classification was as follows: about 36 (4.6%) patients had isolated haematuria, 99 (12.6%) isolated proteinuria, 60 (7.6%) isolated haematuria and proteinuria, 157 (19.9%) acute glomerulonephritis, 392 (49.7%) nephrotic syndrome, 20 (2.5%) rapidly progressive glomerulonephritis, 15 (1.9%) chronic nephritis, 2 (0.3%) tubule-interstitial damage and 7 (0.9%) subclinical LN. A total of 549 children (69.7%) underwent renal biopsy. The most frequent renal histopathological findings of LN were Class IV, followed by Class II and Class V + IV. There were no significant differences between the age groups in either renal pathological types or prognosis. In 242 (30.7%) patients, LN was complicated by AKI. Those with AKI had an older mean (SD) age at onset than the non-AKI patients [11.5 (2.8) years vs 10.7 (2.9) years, respectively, p &lt; 0.0001] and a higher SLEDAI score [14.3 (5.8) vs 13.1 (5.4), respectively, p = 0.003]. In the induction phase, cyclophosphamide (CTX) and mycophenolate mofetil (MMF) were equally effective in the patients with the same pathological type. Follow-up records were only available for 482 (61.2%) patients, with a mean (SD) follow-up time of 21.5 (18.4) months. Six of the 35 patients who deteriorated required dialysis and seven died.\nCONCLUSION: In LN, AKI is a risk factor for poor outcome. Owing to different times of onset and remission, the pathological types of LN cannot be estimated by clinical manifestation alone, and therefore renal biopsy should be undertaken in all LN children with AKI. In the induction phase, there was no significant difference in efficacy between CTX and MMF. Follow-up of children with LN in China needs to be improved.","container-title":"Paediatrics and International Child Health","DOI":"10.1080/20469047.2017.1309337","ISSN":"2046-9055","issue":"4","journalAbbreviation":"Paediatr Int Child Health","language":"eng","note":"PMID: 28463080","page":"286-291","source":"PubMed","title":"Lupus glomerulonephritis in 788 Chinese children: a multi-centre clinical and histopathological analysis based on 549 renal biopsies","title-short":"Lupus glomerulonephritis in 788 Chinese children","volume":"37","author":[{"family":"Jin","given":"Si-Yan"},{"family":"Huang","given":"Dan-Lin"},{"family":"Dang","given":"Xi-Qiang"},{"family":"Yi","given":"Zhu-Wen"}],"issued":{"date-parts":[["2017",11]]}}},{"id":253,"uris":["http://zotero.org/users/local/lvPLY4Gu/items/DB3F7KUV"],"itemData":{"id":253,"type":"article-journal","abstract":"Increased lupus nephritis has been reported in Pacific Island and Maori populations. Previous studies suggest ethnic variation in response to immunosuppression treatment; however this has not been assessed in Pacific Island and Maori cohorts. This retrospective study reviewed class 3, 4 and 5 lupus nephritis outcomes and response to induction immunosuppression over a 10-year period in a New Zealand multi-ethnic cohort with high Pacific Island representation. This included 49 renal biopsies in 41 patients; by ethnicity Pacific Island 53.7%, Asian 31.7%, Caucasian 12.2%, and New Zealand Maori 2.4%. There were 11 class 3, 24 class 4 and 17 class 5 either alone or in combination with class 3/4. There were no statistically significant differences in renal function or proteinuria between ethnic groups at baseline. Pacific Island class 3/4 showed similar rates of renal remission with intravenous cyclophosphamide (6/8) and mycophenolate (4/7) induction treatment; results were comparable to the overall study group. There were no deaths or permanent dialysis requirements in the first six months of treatment, and no increased risk of adverse outcomes when stratified by ethnicity. Five lupus nephritis relapses occurred during maintenance treatment and there was no apparent ethnicity bias.\nCONCLUSION: Pacific Island people disproportionately present with increased lupus nephritis; and had comparable renal remission rates with intravenous cyclophosphamide and oral mycophenolate which were similar to the whole study cohort.","container-title":"Lupus","DOI":"10.1177/0961203316686701","ISSN":"1477-0962","issue":"8","journalAbbreviation":"Lupus","language":"eng","note":"PMID: 28059019","page":"893-897","source":"PubMed","title":"Retrospective review of lupus nephritis in a New Zealand multi-ethnic cohort","volume":"26","author":[{"family":"Ly","given":"E."},{"family":"Thein","given":"H."},{"family":"Lam Po Tang","given":"Michael"}],"issued":{"date-parts":[["2017",7]]}}},{"id":255,"uris":["http://zotero.org/users/local/lvPLY4Gu/items/M77W7JLM"],"itemData":{"id":255,"type":"article-journal","abstract":"OBJECTIVES: To evaluate therapeutic approaches and response to therapy in juvenile systemic lupus erythematosus (SLE) with renal involvement in a large prospective international cohort from four geographic areas.\nMETHODS: New onset and flared patients with active renal disease (proteinuria ≥0.5 g/24 h) were enrolled in 2001-2004. Therapeutic approaches and disease activity parameters were analysed at baseline, 6, 12 and 24 months. Response was assessed by the PRINTO/ACR criteria.\nRESULTS: 218/557 (79.8% female subjects, 117 new onset and 101 flared) patients with active renal disease were identified; 66 patients were lost to follow-up and 11 died. Mean age at disease onset for new onset group was higher than for flared group (13.1 vs 10.2 years, p&lt;0.0001). At baseline, both groups had similar renal activity with similar median doses of corticosteroids (1.0-0.76 mg/kg/day). Cyclophosphamide (43.1%) and azathioprine (22%) were the most common immunosuppressive drugs. At baseline, South American patients received higher doses of corticosteroids than in other areas in new onset (median 1.16 vs 0.8-1 mg/kg/day) while cyclophosphamide use was similar in all four regions in the new onset group. There were no differences regarding the use of azathioprine or mycophenolate mofetil worldwide. PRINTO 70 response was reached in a greater percentage of new onset versus flared patients (74.8% vs 53.3%; p=0.005) at 6 months while at 24 months ACR 90 was reached by 69.9% and 56.1%, respectively.\nCONCLUSIONS: New onset and flared juvenile SLE improved similarly over 24 months with minimal differences in therapeutic approaches worldwide.","container-title":"Annals of the Rheumatic Diseases","DOI":"10.1136/annrheumdis-2012-201937","ISSN":"1468-2060","issue":"9","journalAbbreviation":"Ann Rheum Dis","language":"eng","note":"PMID: 23100607","page":"1503-1509","source":"PubMed","title":"Therapeutic approaches for the treatment of renal disease in juvenile systemic lupus erythematosus: an international multicentre PRINTO study","title-short":"Therapeutic approaches for the treatment of renal disease in juvenile systemic lupus erythematosus","volume":"72","author":[{"family":"Miettunen","given":"Paivi M."},{"family":"Pistorio","given":"Angela"},{"family":"Palmisani","given":"Elena"},{"family":"Ravelli","given":"Angelo"},{"family":"Silverman","given":"Earl"},{"family":"Oliveira","given":"Sheila"},{"family":"Alessio","given":"Maria"},{"family":"Cuttica","given":"Ruben"},{"family":"Mihaylova","given":"Dimitrina"},{"family":"Espada","given":"Graciela"},{"family":"Pasic","given":"Srdjan"},{"family":"Insalaco","given":"Antonella"},{"family":"Ozen","given":"Seza"},{"family":"Porras","given":"Oscar"},{"family":"Sztajnbok","given":"Flavio"},{"family":"Lazarevic","given":"Dragana"},{"family":"Martini","given":"Alberto"},{"family":"Ruperto","given":"Nicolino"},{"literal":"Paediatric Rheumatology International Trials Organisation (PRINTO)"}],"issued":{"date-parts":[["2013",9,1]]}}},{"id":261,"uris":["http://zotero.org/users/local/lvPLY4Gu/items/Y6XAIRGR"],"itemData":{"id":261,"type":"article-journal","abstract":"BACKGROUND: Juvenile-onset systemic lupus erythematosus (JSLE) is more severe than adult-onset disease, including more lupus nephritis (LN). Despite differences in phenotype/pathogenesis, treatment is based upon adult trials. This study aimed to compare treatment response, damage accrual, time to inactive LN and subsequent flare, in JSLE LN patients treated with mycophenolate mofetil (MMF) versus intravenous cyclophosphamide (IVCYC).\nMETHODS: UK JSLE Cohort Study participants, ≤16 years at diagnosis, with ≥4 American College of Rheumatology criteria for SLE, with class III or IV LN, were eligible. Mann-Whitney U tests, Fisher's exact test and Chi-squared tests were utilized for statistical analysis.\nRESULTS: Of the patients, 34/51 (67%) received MMF, and 17/51 (33%) received IVCYC. No significant differences were identified at 4-8 and 10-14 months post-renal biopsy and last follow-up, in terms of renal British Isles Lupus Assessment Grade scores, urine albumin/creatinine ratio, serum creatinine, ESR, anti-dsDNA antibody, C3 levels and patient/physician global scores. Standardized Damage Index scores did not differ between groups at 13 months or at last follow-up. Inactive LN was attained 262 (141-390) days after MMF treatment, and 151 (117-305) days following IVCYC ( p = 0.17). Time to renal flare was 451 (157-1266) days for MMF, and 343 (198-635) days for IVCYC ( p = 0.47).\nCONCLUSION: This is the largest study to date investigating induction treatments for proliferative LN in children, demonstrating comparability of MMF and IVCYC.","container-title":"Lupus","DOI":"10.1177/0961203319836712","ISSN":"1477-0962","issue":"5","journalAbbreviation":"Lupus","language":"eng","note":"PMID: 30871425","page":"613-620","source":"PubMed","title":"Outcomes following mycophenolate mofetil versus cyclophosphamide induction treatment for proliferative juvenile-onset lupus nephritis","volume":"28","author":[{"family":"Smith","given":"Emd"},{"family":"Al-Abadi","given":"E."},{"family":"Armon","given":"K."},{"family":"Bailey","given":"K."},{"family":"Ciurtin","given":"C."},{"family":"Davidson","given":"J."},{"family":"Gardner-Medwin","given":"J."},{"family":"Haslam","given":"K."},{"family":"Hawley","given":"D."},{"family":"Leahy","given":"A."},{"family":"Leone","given":"V."},{"family":"McErlane","given":"F."},{"family":"Mewar","given":"D."},{"family":"Modgil","given":"G."},{"family":"Moots","given":"R."},{"family":"Pilkington","given":"C."},{"family":"Ramanan","given":"A."},{"family":"Rangaraj","given":"S."},{"family":"Riley","given":"P."},{"family":"Sridhar","given":"A."},{"family":"Wilkinson","given":"N."},{"family":"Beresford","given":"M. W."},{"family":"Hedrich","given":"C. M."}],"issued":{"date-parts":[["2019",4]]}}},{"id":272,"uris":["http://zotero.org/users/local/lvPLY4Gu/items/J55NMG64"],"itemData":{"id":272,"type":"article-journal","abstract":"OBJECTIVE: Although juvenile-onset proliferative lupus nephritis (PLN) leads to significant morbidity and mortality, there is no clinical trials-based evidence to support the treatment effectiveness of any therapy for juvenile-onset PLN. Marginal structural models enable us to estimate treatment effectiveness using observational data while accounting for confounding by indication.\nMETHODS: We used prospectively collected data to examine the effect of mycophenolate mofetil (MMF), compared to the use of other therapies, on the long-term outcome of a juvenile-onset PLN cohort (age at PLN onset &lt;18 years). The major outcome variable was the estimated glomerular filtration rate (GFR) using the revised Schwartz formula. Confounding by indication was corrected for marginal structural model.\nRESULTS: A total of 172 subjects with juvenile-onset PLN, with a mean followup duration of approximately 4 years, were included. Overall, MMF was superior to other therapies, with a relative effect estimate for MMF of 1.06, i.e., 6% better estimated GFR on average (95% confidence interval 0.7, 11.3), corrected for potential confounding by indication. We found that beginning in year 4 there was a significant improvement in estimated GFR in the patients who were treated with MMF versus other therapies. This improvement was maintained until the end of the study.\nCONCLUSION: MMF was more beneficial than other therapies in improving/maintaining long-term renal function in patients with juvenile-onset PLN up to a maximum followup of 7 years. This finding is consistent with evidence from adult PLN clinical trials.","container-title":"Arthritis Care &amp; Research","DOI":"10.1002/acr.23215","ISSN":"2151-4658","issue":"12","journalAbbreviation":"Arthritis Care Res (Hoboken)","language":"eng","note":"PMID: 28182833","page":"1887-1894","source":"PubMed","title":"Comparative Effectiveness of Mycophenolate Mofetil for the Treatment of Juvenile-Onset Proliferative Lupus Nephritis","volume":"69","author":[{"family":"Tian","given":"Simon Y."},{"family":"Silverman","given":"Earl D."},{"family":"Pullenayegum","given":"Eleanor"},{"family":"Brown","given":"Patrick E."},{"family":"Beyene","given":"Joseph"},{"family":"Feldman","given":"Brian M."}],"issued":{"date-parts":[["2017",12]]}}},{"id":274,"uris":["http://zotero.org/users/local/lvPLY4Gu/items/2PGF7J93"],"itemData":{"id":274,"type":"article-journal","abstract":"OBJECTIVE: To determine the most effective immunosuppressive therapy for the longterm management of proliferative lupus nephritis (PLN) based on the outcome of renal failure.\nMETHODS: A systematic review of randomized controlled trials (RCT) was conducted. MEDLINE and EMBASE were searched. RCT designed to examine the maintenance treatment effectiveness of immunosuppressive agents for PLN were included. A Bayesian network metaanalysis of 2-arm and 3-arm trials was used. A skeptical prior assumption was used in sensitivity analysis. Four immunosuppressive agents were evaluated: cyclophosphamide (CYC), azathioprine (AZA), mycophenolate mofetil (MMF), and prednisone alone. The outcome of interest was renal failure during the study period, defined by serum creatinine (sCr) &gt; 256 µmol/l, doubling of sCr from baseline, and/or endstage renal disease.\nRESULTS: The OR (95% credible interval) of developing renal failure at 2-3 years was 0.72 (0.11, 4.49) for AZA versus CYC, 0.32 (0.04, 2.25) for MMF versus CYC, 2.40 (0.22, 36.94) for prednisone alone versus CYC, and 0.45 (0.11, 1.48) for MMF versus AZA. The probability (95% credible interval) of developing renal failure at 2 years as expected for each agent was 6% (0.7%, 24%) for MMF, 12% (2%, 37%) for AZA, 16% (5%, 33%) for CYC, and 31% (5%, 81%) for prednisone alone. After applying a skeptical prior in the Bayesian analysis, there was no evidence of benefit for 1 therapy over another.\nCONCLUSION: Although the data suggest that MMF may be superior to other treatments for the maintenance treatment of PLN, the evidence is not conclusive.","container-title":"The Journal of Rheumatology","DOI":"10.3899/jrheum.141650","ISSN":"1499-2752","issue":"8","journalAbbreviation":"J Rheumatol","language":"eng","note":"PMID: 26077406","page":"1392-1400","source":"PubMed","title":"Immunosuppressive Therapies for the Maintenance Treatment of Proliferative Lupus Nephritis: A Systematic Review and Network Metaanalysis","title-short":"Immunosuppressive Therapies for the Maintenance Treatment of Proliferative Lupus Nephritis","volume":"42","author":[{"family":"Tian","given":"Simon Yu"},{"family":"Feldman","given":"Brian M."},{"family":"Beyene","given":"Joseph"},{"family":"Brown","given":"Patrick E."},{"family":"Uleryk","given":"Elizabeth M."},{"family":"Silverman","given":"Earl D."}],"issued":{"date-parts":[["2015",8]]}}}],"schema":"https://github.com/citation-style-language/schema/raw/master/csl-citation.json"} </w:instrText>
      </w:r>
      <w:r>
        <w:rPr>
          <w:rFonts w:eastAsia="Times New Roman" w:cstheme="minorHAnsi"/>
          <w:sz w:val="22"/>
          <w:szCs w:val="22"/>
          <w:lang w:eastAsia="en-GB"/>
        </w:rPr>
        <w:fldChar w:fldCharType="separate"/>
      </w:r>
      <w:r w:rsidR="00642970">
        <w:rPr>
          <w:rFonts w:eastAsia="Times New Roman" w:cstheme="minorHAnsi"/>
          <w:noProof/>
          <w:sz w:val="22"/>
          <w:szCs w:val="22"/>
          <w:lang w:eastAsia="en-GB"/>
        </w:rPr>
        <w:t>(59,64,70,73,74,77,82,83)</w:t>
      </w:r>
      <w:r>
        <w:rPr>
          <w:rFonts w:eastAsia="Times New Roman" w:cstheme="minorHAnsi"/>
          <w:sz w:val="22"/>
          <w:szCs w:val="22"/>
          <w:lang w:eastAsia="en-GB"/>
        </w:rPr>
        <w:fldChar w:fldCharType="end"/>
      </w:r>
      <w:r>
        <w:rPr>
          <w:rFonts w:eastAsia="Times New Roman" w:cstheme="minorHAnsi"/>
          <w:sz w:val="22"/>
          <w:szCs w:val="22"/>
          <w:lang w:eastAsia="en-GB"/>
        </w:rPr>
        <w:t xml:space="preserve">. </w:t>
      </w:r>
      <w:r w:rsidR="009B7867">
        <w:rPr>
          <w:rFonts w:eastAsia="Times New Roman" w:cstheme="minorHAnsi"/>
          <w:sz w:val="22"/>
          <w:szCs w:val="22"/>
          <w:lang w:eastAsia="en-GB"/>
        </w:rPr>
        <w:t xml:space="preserve">The recent publication </w:t>
      </w:r>
      <w:r w:rsidR="009B7867" w:rsidRPr="00046CE3">
        <w:rPr>
          <w:rFonts w:eastAsia="Times New Roman" w:cstheme="minorHAnsi"/>
          <w:sz w:val="22"/>
          <w:szCs w:val="22"/>
          <w:lang w:eastAsia="en-GB"/>
        </w:rPr>
        <w:t xml:space="preserve">of the KDIGO LN guidelines </w:t>
      </w:r>
      <w:r w:rsidR="009B7867" w:rsidRPr="00046CE3">
        <w:rPr>
          <w:rFonts w:eastAsia="Times New Roman" w:cstheme="minorHAnsi"/>
          <w:sz w:val="22"/>
          <w:szCs w:val="22"/>
          <w:lang w:eastAsia="en-GB"/>
        </w:rPr>
        <w:fldChar w:fldCharType="begin"/>
      </w:r>
      <w:r w:rsidR="00642970">
        <w:rPr>
          <w:rFonts w:eastAsia="Times New Roman" w:cstheme="minorHAnsi"/>
          <w:sz w:val="22"/>
          <w:szCs w:val="22"/>
          <w:lang w:eastAsia="en-GB"/>
        </w:rPr>
        <w:instrText xml:space="preserve"> ADDIN ZOTERO_ITEM CSL_CITATION {"citationID":"5VtG3pGS","properties":{"formattedCitation":"(6)","plainCitation":"(6)","noteIndex":0},"citationItems":[{"id":13,"uris":["http://zotero.org/users/local/lvPLY4Gu/items/47U9PVRE"],"itemData":{"id":13,"type":"article-journal","container-title":"Kidney International","DOI":"10.1016/j.kint.2023.09.002","ISSN":"1523-1755","issue":"1S","journalAbbreviation":"Kidney Int","language":"eng","note":"PMID: 38182286","page":"S1-S69","source":"PubMed","title":"KDIGO 2024 Clinical Practice Guideline for the management of LUPUS NEPHRITIS","volume":"105","author":[{"literal":"Kidney Disease: Improving Global Outcomes (KDIGO) Lupus Nephritis Work Group"}],"issued":{"date-parts":[["2024",1]]}}}],"schema":"https://github.com/citation-style-language/schema/raw/master/csl-citation.json"} </w:instrText>
      </w:r>
      <w:r w:rsidR="009B7867" w:rsidRPr="00046CE3">
        <w:rPr>
          <w:rFonts w:eastAsia="Times New Roman" w:cstheme="minorHAnsi"/>
          <w:sz w:val="22"/>
          <w:szCs w:val="22"/>
          <w:lang w:eastAsia="en-GB"/>
        </w:rPr>
        <w:fldChar w:fldCharType="separate"/>
      </w:r>
      <w:r w:rsidR="00642970">
        <w:rPr>
          <w:rFonts w:eastAsia="Times New Roman" w:cstheme="minorHAnsi"/>
          <w:noProof/>
          <w:sz w:val="22"/>
          <w:szCs w:val="22"/>
          <w:lang w:eastAsia="en-GB"/>
        </w:rPr>
        <w:t>(6)</w:t>
      </w:r>
      <w:r w:rsidR="009B7867" w:rsidRPr="00046CE3">
        <w:rPr>
          <w:rFonts w:eastAsia="Times New Roman" w:cstheme="minorHAnsi"/>
          <w:sz w:val="22"/>
          <w:szCs w:val="22"/>
          <w:lang w:eastAsia="en-GB"/>
        </w:rPr>
        <w:fldChar w:fldCharType="end"/>
      </w:r>
      <w:r w:rsidR="00B51614">
        <w:rPr>
          <w:rFonts w:eastAsia="Times New Roman" w:cstheme="minorHAnsi"/>
          <w:sz w:val="22"/>
          <w:szCs w:val="22"/>
          <w:lang w:eastAsia="en-GB"/>
        </w:rPr>
        <w:t xml:space="preserve">, and recognised suboptimal outcomes </w:t>
      </w:r>
      <w:r w:rsidR="00B51614">
        <w:rPr>
          <w:rFonts w:eastAsia="Times New Roman" w:cstheme="minorHAnsi"/>
          <w:sz w:val="22"/>
          <w:szCs w:val="22"/>
          <w:lang w:eastAsia="en-GB"/>
        </w:rPr>
        <w:fldChar w:fldCharType="begin"/>
      </w:r>
      <w:r w:rsidR="00642970">
        <w:rPr>
          <w:rFonts w:eastAsia="Times New Roman" w:cstheme="minorHAnsi"/>
          <w:sz w:val="22"/>
          <w:szCs w:val="22"/>
          <w:lang w:eastAsia="en-GB"/>
        </w:rPr>
        <w:instrText xml:space="preserve"> ADDIN ZOTERO_ITEM CSL_CITATION {"citationID":"TH9PfyYo","properties":{"formattedCitation":"(75)","plainCitation":"(75)","noteIndex":0},"citationItems":[{"id":257,"uris":["http://zotero.org/users/local/lvPLY4Gu/items/P84L4Y6S"],"itemData":{"id":257,"type":"article-journal","abstract":"BACKGROUND: Lupus nephritis (LN) strongly affects the outcome in children with systemic lupus erythematosus (SLE). Many patients, however, have renal disease at onset, but lack a sufficient number of criteria to be diagnosed as SLE and develop delayed symptoms over time (d-SLE). Data on the clinical course, long-term outcome and predictors of disease progression in children with LN are scant.\nMETHODS: The Italian Collaborative Study included 161 paediatric patients with LN who were followed up for a mean of 96 months (range 6-296) in seven paediatric nephrology units. Cox-Mantel regression models were used to identify predictors of disease remission, relapse and progression.\nRESULTS: At 1 year, the proportion of patients in remission was 83.2% (partial) and 53.5% (complete). Renal flares occurred in &gt;50% of patients within 10 years. The intensity of induction treatment correlated significantly with the achievement of remission, while d-SLE, class IV LN and younger age were associated with poor response to treatment and/or with progression to chronic renal failure.\nCONCLUSIONS: The current study provides outcome data on a large paediatric population with LN and underlines the importance of prescribing appropriate induction treatment to all children, regardless of the presence of enough SLE criteria, which may develop several years after the initial diagnosis.","container-title":"Nephrology, Dialysis, Transplantation: Official Publication of the European Dialysis and Transplant Association - European Renal Association","DOI":"10.1093/ndt/gfs589","ISSN":"1460-2385","issue":"6","journalAbbreviation":"Nephrol Dial Transplant","language":"eng","note":"PMID: 23345627","page":"1487-1496","source":"PubMed","title":"Lupus nephritis in children and adolescents: results of the Italian Collaborative Study","title-short":"Lupus nephritis in children and adolescents","volume":"28","author":[{"family":"Ruggiero","given":"Barbara"},{"family":"Vivarelli","given":"Marina"},{"family":"Gianviti","given":"Alessandra"},{"family":"Benetti","given":"Elisa"},{"family":"Peruzzi","given":"Licia"},{"family":"Barbano","given":"Giancarlo"},{"family":"Corona","given":"Fabrizia"},{"family":"Ventura","given":"Giovanna"},{"family":"Pecoraro","given":"Carmine"},{"family":"Murer","given":"Luisa"},{"family":"Ghiggeri","given":"Gian Marco"},{"family":"Pennesi","given":"Marco"},{"family":"Edefonti","given":"Alberto"},{"family":"Coppo","given":"Rosanna"},{"family":"Emma","given":"Francesco"}],"issued":{"date-parts":[["2013",6]]}}}],"schema":"https://github.com/citation-style-language/schema/raw/master/csl-citation.json"} </w:instrText>
      </w:r>
      <w:r w:rsidR="00B51614">
        <w:rPr>
          <w:rFonts w:eastAsia="Times New Roman" w:cstheme="minorHAnsi"/>
          <w:sz w:val="22"/>
          <w:szCs w:val="22"/>
          <w:lang w:eastAsia="en-GB"/>
        </w:rPr>
        <w:fldChar w:fldCharType="separate"/>
      </w:r>
      <w:r w:rsidR="00642970">
        <w:rPr>
          <w:rFonts w:eastAsia="Times New Roman" w:cstheme="minorHAnsi"/>
          <w:noProof/>
          <w:sz w:val="22"/>
          <w:szCs w:val="22"/>
          <w:lang w:eastAsia="en-GB"/>
        </w:rPr>
        <w:t>(75)</w:t>
      </w:r>
      <w:r w:rsidR="00B51614">
        <w:rPr>
          <w:rFonts w:eastAsia="Times New Roman" w:cstheme="minorHAnsi"/>
          <w:sz w:val="22"/>
          <w:szCs w:val="22"/>
          <w:lang w:eastAsia="en-GB"/>
        </w:rPr>
        <w:fldChar w:fldCharType="end"/>
      </w:r>
      <w:r w:rsidR="00B51614">
        <w:rPr>
          <w:rFonts w:eastAsia="Times New Roman" w:cstheme="minorHAnsi"/>
          <w:sz w:val="22"/>
          <w:szCs w:val="22"/>
          <w:lang w:eastAsia="en-GB"/>
        </w:rPr>
        <w:t>,</w:t>
      </w:r>
      <w:r w:rsidR="009B7867" w:rsidRPr="00046CE3">
        <w:rPr>
          <w:rFonts w:eastAsia="Times New Roman" w:cstheme="minorHAnsi"/>
          <w:sz w:val="22"/>
          <w:szCs w:val="22"/>
          <w:lang w:eastAsia="en-GB"/>
        </w:rPr>
        <w:t xml:space="preserve"> advocate for earlier dual immunosuppression in addition to steroids following </w:t>
      </w:r>
      <w:r>
        <w:rPr>
          <w:rFonts w:eastAsia="Times New Roman" w:cstheme="minorHAnsi"/>
          <w:sz w:val="22"/>
          <w:szCs w:val="22"/>
          <w:lang w:eastAsia="en-GB"/>
        </w:rPr>
        <w:t xml:space="preserve">long standing cohort data supporting the use of adjunctive </w:t>
      </w:r>
      <w:r w:rsidR="005D569D">
        <w:rPr>
          <w:rFonts w:eastAsia="Times New Roman" w:cstheme="minorHAnsi"/>
          <w:sz w:val="22"/>
          <w:szCs w:val="22"/>
          <w:lang w:eastAsia="en-GB"/>
        </w:rPr>
        <w:t xml:space="preserve">treatment (mostly </w:t>
      </w:r>
      <w:r>
        <w:rPr>
          <w:rFonts w:eastAsia="Times New Roman" w:cstheme="minorHAnsi"/>
          <w:sz w:val="22"/>
          <w:szCs w:val="22"/>
          <w:lang w:eastAsia="en-GB"/>
        </w:rPr>
        <w:t xml:space="preserve">B cell </w:t>
      </w:r>
      <w:r w:rsidR="005D569D">
        <w:rPr>
          <w:rFonts w:eastAsia="Times New Roman" w:cstheme="minorHAnsi"/>
          <w:sz w:val="22"/>
          <w:szCs w:val="22"/>
          <w:lang w:eastAsia="en-GB"/>
        </w:rPr>
        <w:t>depletion using</w:t>
      </w:r>
      <w:r>
        <w:rPr>
          <w:rFonts w:eastAsia="Times New Roman" w:cstheme="minorHAnsi"/>
          <w:sz w:val="22"/>
          <w:szCs w:val="22"/>
          <w:lang w:eastAsia="en-GB"/>
        </w:rPr>
        <w:t xml:space="preserve"> rituximab) </w:t>
      </w:r>
      <w:r w:rsidR="00B51614">
        <w:rPr>
          <w:rFonts w:eastAsia="Times New Roman" w:cstheme="minorHAnsi"/>
          <w:sz w:val="22"/>
          <w:szCs w:val="22"/>
          <w:lang w:eastAsia="en-GB"/>
        </w:rPr>
        <w:fldChar w:fldCharType="begin"/>
      </w:r>
      <w:r w:rsidR="00642970">
        <w:rPr>
          <w:rFonts w:eastAsia="Times New Roman" w:cstheme="minorHAnsi"/>
          <w:sz w:val="22"/>
          <w:szCs w:val="22"/>
          <w:lang w:eastAsia="en-GB"/>
        </w:rPr>
        <w:instrText xml:space="preserve"> ADDIN ZOTERO_ITEM CSL_CITATION {"citationID":"qgbcipxW","properties":{"formattedCitation":"(71,80)","plainCitation":"(71,80)","noteIndex":0},"citationItems":[{"id":247,"uris":["http://zotero.org/users/local/lvPLY4Gu/items/C89IYTQS"],"itemData":{"id":247,"type":"article-journal","abstract":"BACKGROUND: Pediatric lupus nephritis (LN) is one of the most serious manifestations of systemic lupus erythematosus (SLE) in children, determining the outcomes of the disease. There are no standardized treatment protocols for pediatric LN, and the role of biologics has not yet been conclusively defined.\nOBJECTIVES: analyze the safety and efficacy of rituximab biosimilar BCD020 in pediatric patients with lupus nephritis.\nMETHODS: in a retrospective cohort study, the data from the case histories of 25 patients with LN (10 boys and 15 girls) with an onset age of 13 (9-16) years, who failed conventional non-biologic treatment or developed corticosteroid dependence/toxicity, were included. The diagnosis was made using Systemic Lupus International Collaborating Clinics (SLICC) classification criteria. Rituximab biosimilar BCD020 was prescribed in a dosage of 375 mg/m2 every week (2-4 infusions) with repeated courses every 6-12 months (2-4 infusions) according to disease activity, B-cell depletion, and IgG levels. The dynamics of clinical and laboratory data, the activity of the disease by SLEDAI, and corticosteroid doses were assessed at the onset and during the rituximab trial.\nRESULTS: The main patient's characteristics were: Pre-rituximab non-biologic conventional treatment included: cyclophosphamide 15 (60%), MMF 8 (32%), azathioprine 3 (12%), hydroxychloroquine 12 (48%), and pulse therapy of methylprednisolone followed by oral methylprednisolone 25 (100%). The time before rituximab was 7.0 (3.0-24.0) months, and the whole observation period was 7.0 (0; 24) months. The initial pre-rituximab treatment slightly reduced SLEDAI levels and the proportion of patients with LN. A significant reduction of SLEDAI, the anti-dsDNA level, proteinuria, hematuria, C4 complement, ESR, and the median corticosteroid dose by 80% from the initial value, as well as the proportion of patients without corticosteroids, was observed after rituximab administration. Two deaths were observed due to catastrophic SLE with macrophage activation syndrome, accompanied by a severe infection (invasive aspergillosis, n = 2). Three patients developed serious adverse events: pneumonia (n = 2), transient agranulocytosis (n = 1) after the third rituximab infusion, and meningitis, caused by Listeria monocytosis, after the first rituximab infusion. Eight patients received antibacterial treatment for different respiratory infections without hospital admissions.\nCONCLUSIONS: Rituximab biosimilar BCD020 showed effectiveness in LN, whereas previous non-biologic treatment was insufficiently effective. Randomized controlled trials are required to evaluate the efficacy and safety of rituximab and evaluate the benefits when compared with conventional SLE treatment.","container-title":"Biomedicines","DOI":"10.3390/biomedicines11051503","ISSN":"2227-9059","issue":"5","journalAbbreviation":"Biomedicines","language":"eng","note":"PMID: 37239173\nPMCID: PMC10216075","page":"1503","source":"PubMed","title":"Rituximab Biosimilar BCD020 Shows Superior Efficacy above Conventional Non-Biologics Treatment in Pediatric Lupus Nephritis: The Data of Retrospective Cohort Study","title-short":"Rituximab Biosimilar BCD020 Shows Superior Efficacy above Conventional Non-Biologics Treatment in Pediatric Lupus Nephritis","volume":"11","author":[{"family":"Kostik","given":"Mikhail"},{"family":"Kalashnikova","given":"Elvira"},{"family":"Rinat","given":"Raupov"},{"family":"Isupova","given":"Eugenia"},{"family":"Gaidar","given":"Ekaterina"},{"family":"Soloviev","given":"Anton A."},{"family":"Masalova","given":"Vera"},{"family":"Snegireva","given":"Ludmila"},{"family":"Kornishina","given":"Tatyana"},{"family":"Abramova","given":"Natalia"},{"family":"Suspitsin","given":"Evgeny"},{"family":"Sorokina","given":"Lubov"},{"family":"Kaneva","given":"Maria"},{"family":"Dubko","given":"Margarita F."},{"family":"Lubimova","given":"Natalia"},{"family":"Kuchuinskaya","given":"Ekaterina"},{"family":"Kalashnikova","given":"Olga"},{"family":"Chasnyk","given":"Vyacheslav"}],"issued":{"date-parts":[["2023",5,22]]}}},{"id":268,"uris":["http://zotero.org/users/local/lvPLY4Gu/items/RDY2RWXJ"],"itemData":{"id":268,"type":"article-journal","abstract":"BACKGROUND: Recent advances in the management of lupus nephritis (LN) have also contributed to a favorable outcome in patients with pediatric-onset LN. Nevertheless, we believe that a more effective and less toxic treatment is needed to attain optimal control of pediatric-onset LN.\nMETHODS: Seven consecutive children with biopsy-proven LN (four with class III/IV and three with class V) received multitarget induction therapy consisting of mizoribine (MZR), tacrolimus (Tac), and prednisolone (PDN). They were prospectively evaluated at three, six, and 12 months, and at the latest observation point after a mean period of 32 months. Post-treatment renal biopsy was performed in two patients with class III/IV.\nRESULTS: Despite gradually tapering the dose of concomitantly administered PDN, a significant improvement compared with baseline values was observed in the urinary, serological, and clinical assessment measures even at three months of treatment, and the favorable changes persisted throughout the treatment period in most of the study participants except for one. In two patients who underwent post-treatment renal biopsy, a marked histologic improvement was confirmed. No serious adverse events were observed.\nCONCLUSIONS: Multitarget therapy may be an attractive option for the treatment of pediatric-onset LN. Further studies involving a larger number of patients are needed.","container-title":"Lupus","DOI":"10.1177/0961203314528553","ISSN":"1477-0962","issue":"8","journalAbbreviation":"Lupus","language":"eng","note":"PMID: 24651669","page":"813-818","source":"PubMed","title":"Efficacy of mizoribine-tacrolimus-based induction therapy for pediatric lupus nephritis","volume":"23","author":[{"family":"Tanaka","given":"H."},{"family":"Aizawa","given":"T."},{"family":"Watanabe","given":"S."},{"family":"Oki","given":"E."},{"family":"Tsuruga","given":"K."},{"family":"Imaizumi","given":"T."}],"issued":{"date-parts":[["2014",7]]}}}],"schema":"https://github.com/citation-style-language/schema/raw/master/csl-citation.json"} </w:instrText>
      </w:r>
      <w:r w:rsidR="00B51614">
        <w:rPr>
          <w:rFonts w:eastAsia="Times New Roman" w:cstheme="minorHAnsi"/>
          <w:sz w:val="22"/>
          <w:szCs w:val="22"/>
          <w:lang w:eastAsia="en-GB"/>
        </w:rPr>
        <w:fldChar w:fldCharType="separate"/>
      </w:r>
      <w:r w:rsidR="00642970">
        <w:rPr>
          <w:rFonts w:eastAsia="Times New Roman" w:cstheme="minorHAnsi"/>
          <w:noProof/>
          <w:sz w:val="22"/>
          <w:szCs w:val="22"/>
          <w:lang w:eastAsia="en-GB"/>
        </w:rPr>
        <w:t>(71,80)</w:t>
      </w:r>
      <w:r w:rsidR="00B51614">
        <w:rPr>
          <w:rFonts w:eastAsia="Times New Roman" w:cstheme="minorHAnsi"/>
          <w:sz w:val="22"/>
          <w:szCs w:val="22"/>
          <w:lang w:eastAsia="en-GB"/>
        </w:rPr>
        <w:fldChar w:fldCharType="end"/>
      </w:r>
      <w:r w:rsidR="00B51614">
        <w:rPr>
          <w:rFonts w:eastAsia="Times New Roman" w:cstheme="minorHAnsi"/>
          <w:sz w:val="22"/>
          <w:szCs w:val="22"/>
          <w:lang w:eastAsia="en-GB"/>
        </w:rPr>
        <w:t xml:space="preserve"> </w:t>
      </w:r>
      <w:r>
        <w:rPr>
          <w:rFonts w:eastAsia="Times New Roman" w:cstheme="minorHAnsi"/>
          <w:sz w:val="22"/>
          <w:szCs w:val="22"/>
          <w:lang w:eastAsia="en-GB"/>
        </w:rPr>
        <w:t xml:space="preserve">and </w:t>
      </w:r>
      <w:r w:rsidR="009B7867" w:rsidRPr="00046CE3">
        <w:rPr>
          <w:rFonts w:eastAsia="Times New Roman" w:cstheme="minorHAnsi"/>
          <w:sz w:val="22"/>
          <w:szCs w:val="22"/>
          <w:lang w:eastAsia="en-GB"/>
        </w:rPr>
        <w:t xml:space="preserve">recent clinical trial evidence on the beneficial effects of </w:t>
      </w:r>
      <w:r>
        <w:rPr>
          <w:rFonts w:eastAsia="Times New Roman" w:cstheme="minorHAnsi"/>
          <w:sz w:val="22"/>
          <w:szCs w:val="22"/>
          <w:lang w:eastAsia="en-GB"/>
        </w:rPr>
        <w:t xml:space="preserve">using either </w:t>
      </w:r>
      <w:r w:rsidR="009B7867" w:rsidRPr="00046CE3">
        <w:rPr>
          <w:rFonts w:eastAsia="Times New Roman" w:cstheme="minorHAnsi"/>
          <w:sz w:val="22"/>
          <w:szCs w:val="22"/>
          <w:lang w:eastAsia="en-GB"/>
        </w:rPr>
        <w:t xml:space="preserve">belimumab and </w:t>
      </w:r>
      <w:proofErr w:type="spellStart"/>
      <w:r w:rsidR="009B7867" w:rsidRPr="00046CE3">
        <w:rPr>
          <w:rFonts w:eastAsia="Times New Roman" w:cstheme="minorHAnsi"/>
          <w:sz w:val="22"/>
          <w:szCs w:val="22"/>
          <w:lang w:eastAsia="en-GB"/>
        </w:rPr>
        <w:t>voclosporin</w:t>
      </w:r>
      <w:proofErr w:type="spellEnd"/>
      <w:r w:rsidR="00046CE3" w:rsidRPr="00046CE3">
        <w:rPr>
          <w:rFonts w:eastAsia="Times New Roman" w:cstheme="minorHAnsi"/>
          <w:sz w:val="22"/>
          <w:szCs w:val="22"/>
          <w:lang w:eastAsia="en-GB"/>
        </w:rPr>
        <w:t xml:space="preserve"> </w:t>
      </w:r>
      <w:r>
        <w:rPr>
          <w:rFonts w:eastAsia="Times New Roman" w:cstheme="minorHAnsi"/>
          <w:sz w:val="22"/>
          <w:szCs w:val="22"/>
          <w:lang w:eastAsia="en-GB"/>
        </w:rPr>
        <w:t xml:space="preserve">as induction agents </w:t>
      </w:r>
      <w:r w:rsidR="00046CE3" w:rsidRPr="00046CE3">
        <w:rPr>
          <w:rFonts w:eastAsia="Times New Roman" w:cstheme="minorHAnsi"/>
          <w:sz w:val="22"/>
          <w:szCs w:val="22"/>
          <w:lang w:eastAsia="en-GB"/>
        </w:rPr>
        <w:t>in adults</w:t>
      </w:r>
      <w:r w:rsidR="009B7867" w:rsidRPr="00046CE3">
        <w:rPr>
          <w:rFonts w:eastAsia="Times New Roman" w:cstheme="minorHAnsi"/>
          <w:sz w:val="22"/>
          <w:szCs w:val="22"/>
          <w:lang w:eastAsia="en-GB"/>
        </w:rPr>
        <w:t xml:space="preserve">. </w:t>
      </w:r>
      <w:r>
        <w:rPr>
          <w:rFonts w:eastAsia="Times New Roman" w:cstheme="minorHAnsi"/>
          <w:sz w:val="22"/>
          <w:szCs w:val="22"/>
          <w:lang w:eastAsia="en-GB"/>
        </w:rPr>
        <w:t xml:space="preserve">In a study in 2017, 44 children with LN were treated with MMF or rituximab or cyclophosphamide </w:t>
      </w:r>
      <w:r w:rsidR="00AD454E">
        <w:rPr>
          <w:rFonts w:eastAsia="Times New Roman" w:cstheme="minorHAnsi"/>
          <w:sz w:val="22"/>
          <w:szCs w:val="22"/>
          <w:lang w:eastAsia="en-GB"/>
        </w:rPr>
        <w:t>where</w:t>
      </w:r>
      <w:r>
        <w:rPr>
          <w:rFonts w:eastAsia="Times New Roman" w:cstheme="minorHAnsi"/>
          <w:sz w:val="22"/>
          <w:szCs w:val="22"/>
          <w:lang w:eastAsia="en-GB"/>
        </w:rPr>
        <w:t xml:space="preserve"> more </w:t>
      </w:r>
      <w:r w:rsidR="00AD454E">
        <w:rPr>
          <w:rFonts w:eastAsia="Times New Roman" w:cstheme="minorHAnsi"/>
          <w:sz w:val="22"/>
          <w:szCs w:val="22"/>
          <w:lang w:eastAsia="en-GB"/>
        </w:rPr>
        <w:t xml:space="preserve">children </w:t>
      </w:r>
      <w:r>
        <w:rPr>
          <w:rFonts w:eastAsia="Times New Roman" w:cstheme="minorHAnsi"/>
          <w:sz w:val="22"/>
          <w:szCs w:val="22"/>
          <w:lang w:eastAsia="en-GB"/>
        </w:rPr>
        <w:t xml:space="preserve">achieved complete remission with rituximab with lower overall steroid dose </w:t>
      </w:r>
      <w:r w:rsidR="00AD454E">
        <w:rPr>
          <w:rFonts w:eastAsia="Times New Roman" w:cstheme="minorHAnsi"/>
          <w:sz w:val="22"/>
          <w:szCs w:val="22"/>
          <w:lang w:eastAsia="en-GB"/>
        </w:rPr>
        <w:t xml:space="preserve">observed </w:t>
      </w:r>
      <w:r>
        <w:rPr>
          <w:rFonts w:eastAsia="Times New Roman" w:cstheme="minorHAnsi"/>
          <w:sz w:val="22"/>
          <w:szCs w:val="22"/>
          <w:lang w:eastAsia="en-GB"/>
        </w:rPr>
        <w:t xml:space="preserve">too </w:t>
      </w:r>
      <w:r>
        <w:rPr>
          <w:rFonts w:eastAsia="Times New Roman" w:cstheme="minorHAnsi"/>
          <w:sz w:val="22"/>
          <w:szCs w:val="22"/>
          <w:lang w:eastAsia="en-GB"/>
        </w:rPr>
        <w:fldChar w:fldCharType="begin"/>
      </w:r>
      <w:r w:rsidR="00642970">
        <w:rPr>
          <w:rFonts w:eastAsia="Times New Roman" w:cstheme="minorHAnsi"/>
          <w:sz w:val="22"/>
          <w:szCs w:val="22"/>
          <w:lang w:eastAsia="en-GB"/>
        </w:rPr>
        <w:instrText xml:space="preserve"> ADDIN ZOTERO_ITEM CSL_CITATION {"citationID":"uy1CeZv3","properties":{"formattedCitation":"(57)","plainCitation":"(57)","noteIndex":0},"citationItems":[{"id":211,"uris":["http://zotero.org/users/local/lvPLY4Gu/items/U2UWCC6B"],"itemData":{"id":211,"type":"article-journal","abstract":"BACKGROUND: Childhood-onset lupus nephritis (LN) is one of the most severe manifestations of systemic lupus erythematosus (SLE). Despite treatment-related toxicities, cyclophosphamide (CYC) and glucocorticoid-based treatment protocols are still considered standard therapy in managing this multisystem disorder. An effective and safe alternative induction regimen is needed.\nMETHODS: Forty-four pediatric patients with active LN aged 3.5-13.8 (median 8.4) years, of whom 32 entered the study at diagnosis of SLE, were followed over 36 months. Induction therapy consisted of methylprednisolone pulses followed by either rituximab (RTX) (n = 17), mycophenolate mofetil (MMF) (n = 12) or pulse-CYC (n = 15), with tapering dose of prednisolone orally. MMF was added as maintenance immunosuppressant (800 mg/m2 daily) in all children from the third month onward.\nRESULTS: Flare-free survival was significantly higher at 36 months with RTX compared with MMF and CYC (100% for RTX vs. 83% for MMF. and 53% for CYC, p = 0·006). Twelve patients (76.5%) achieved complete remission with RTX compared with five (41.7%) and seven (46.7%) with MMF and CYC, respectively, at last follow-up. Requirement of mean daily dosage of prednisone was significantly lower in RTX group [p = 0.005 (RTX vs MMF); 0.0001 (RTX vs CYC) at 36 months] compared with other groups after the 3-month follow-up. In comparison with few minor adverse events in the other two cohorts, several serious adverse events occurred in the CYC group.\nCONCLUSIONS: Efficacy and medium-term safety of RTX induction followed by MMF maintenance therapy in inducing and maintaining remission among children with LN were evident in this study.","container-title":"Pediatric Nephrology (Berlin, Germany)","DOI":"10.1007/s00467-017-3583-x","ISSN":"1432-198X","issue":"6","journalAbbreviation":"Pediatr Nephrol","language":"eng","note":"PMID: 28191596","page":"1013-1021","source":"PubMed","title":"Efficacy and safety of rituximab in comparison with common induction therapies in pediatric active lupus nephritis","volume":"32","author":[{"family":"Basu","given":"Biswanath"},{"family":"Roy","given":"Birendranath"},{"family":"Babu","given":"Binu George"}],"issued":{"date-parts":[["2017",6]]}}}],"schema":"https://github.com/citation-style-language/schema/raw/master/csl-citation.json"} </w:instrText>
      </w:r>
      <w:r>
        <w:rPr>
          <w:rFonts w:eastAsia="Times New Roman" w:cstheme="minorHAnsi"/>
          <w:sz w:val="22"/>
          <w:szCs w:val="22"/>
          <w:lang w:eastAsia="en-GB"/>
        </w:rPr>
        <w:fldChar w:fldCharType="separate"/>
      </w:r>
      <w:r w:rsidR="00642970">
        <w:rPr>
          <w:rFonts w:eastAsia="Times New Roman" w:cstheme="minorHAnsi"/>
          <w:noProof/>
          <w:sz w:val="22"/>
          <w:szCs w:val="22"/>
          <w:lang w:eastAsia="en-GB"/>
        </w:rPr>
        <w:t>(57)</w:t>
      </w:r>
      <w:r>
        <w:rPr>
          <w:rFonts w:eastAsia="Times New Roman" w:cstheme="minorHAnsi"/>
          <w:sz w:val="22"/>
          <w:szCs w:val="22"/>
          <w:lang w:eastAsia="en-GB"/>
        </w:rPr>
        <w:fldChar w:fldCharType="end"/>
      </w:r>
      <w:r>
        <w:rPr>
          <w:rFonts w:eastAsia="Times New Roman" w:cstheme="minorHAnsi"/>
          <w:sz w:val="22"/>
          <w:szCs w:val="22"/>
          <w:lang w:eastAsia="en-GB"/>
        </w:rPr>
        <w:t xml:space="preserve">. Serious adverse effects were mostly seen in the cyclophosphamide cohort </w:t>
      </w:r>
      <w:r>
        <w:rPr>
          <w:rFonts w:eastAsia="Times New Roman" w:cstheme="minorHAnsi"/>
          <w:sz w:val="22"/>
          <w:szCs w:val="22"/>
          <w:lang w:eastAsia="en-GB"/>
        </w:rPr>
        <w:fldChar w:fldCharType="begin"/>
      </w:r>
      <w:r w:rsidR="00642970">
        <w:rPr>
          <w:rFonts w:eastAsia="Times New Roman" w:cstheme="minorHAnsi"/>
          <w:sz w:val="22"/>
          <w:szCs w:val="22"/>
          <w:lang w:eastAsia="en-GB"/>
        </w:rPr>
        <w:instrText xml:space="preserve"> ADDIN ZOTERO_ITEM CSL_CITATION {"citationID":"AAqqvwQW","properties":{"formattedCitation":"(57)","plainCitation":"(57)","noteIndex":0},"citationItems":[{"id":211,"uris":["http://zotero.org/users/local/lvPLY4Gu/items/U2UWCC6B"],"itemData":{"id":211,"type":"article-journal","abstract":"BACKGROUND: Childhood-onset lupus nephritis (LN) is one of the most severe manifestations of systemic lupus erythematosus (SLE). Despite treatment-related toxicities, cyclophosphamide (CYC) and glucocorticoid-based treatment protocols are still considered standard therapy in managing this multisystem disorder. An effective and safe alternative induction regimen is needed.\nMETHODS: Forty-four pediatric patients with active LN aged 3.5-13.8 (median 8.4) years, of whom 32 entered the study at diagnosis of SLE, were followed over 36 months. Induction therapy consisted of methylprednisolone pulses followed by either rituximab (RTX) (n = 17), mycophenolate mofetil (MMF) (n = 12) or pulse-CYC (n = 15), with tapering dose of prednisolone orally. MMF was added as maintenance immunosuppressant (800 mg/m2 daily) in all children from the third month onward.\nRESULTS: Flare-free survival was significantly higher at 36 months with RTX compared with MMF and CYC (100% for RTX vs. 83% for MMF. and 53% for CYC, p = 0·006). Twelve patients (76.5%) achieved complete remission with RTX compared with five (41.7%) and seven (46.7%) with MMF and CYC, respectively, at last follow-up. Requirement of mean daily dosage of prednisone was significantly lower in RTX group [p = 0.005 (RTX vs MMF); 0.0001 (RTX vs CYC) at 36 months] compared with other groups after the 3-month follow-up. In comparison with few minor adverse events in the other two cohorts, several serious adverse events occurred in the CYC group.\nCONCLUSIONS: Efficacy and medium-term safety of RTX induction followed by MMF maintenance therapy in inducing and maintaining remission among children with LN were evident in this study.","container-title":"Pediatric Nephrology (Berlin, Germany)","DOI":"10.1007/s00467-017-3583-x","ISSN":"1432-198X","issue":"6","journalAbbreviation":"Pediatr Nephrol","language":"eng","note":"PMID: 28191596","page":"1013-1021","source":"PubMed","title":"Efficacy and safety of rituximab in comparison with common induction therapies in pediatric active lupus nephritis","volume":"32","author":[{"family":"Basu","given":"Biswanath"},{"family":"Roy","given":"Birendranath"},{"family":"Babu","given":"Binu George"}],"issued":{"date-parts":[["2017",6]]}}}],"schema":"https://github.com/citation-style-language/schema/raw/master/csl-citation.json"} </w:instrText>
      </w:r>
      <w:r>
        <w:rPr>
          <w:rFonts w:eastAsia="Times New Roman" w:cstheme="minorHAnsi"/>
          <w:sz w:val="22"/>
          <w:szCs w:val="22"/>
          <w:lang w:eastAsia="en-GB"/>
        </w:rPr>
        <w:fldChar w:fldCharType="separate"/>
      </w:r>
      <w:r w:rsidR="00642970">
        <w:rPr>
          <w:rFonts w:eastAsia="Times New Roman" w:cstheme="minorHAnsi"/>
          <w:noProof/>
          <w:sz w:val="22"/>
          <w:szCs w:val="22"/>
          <w:lang w:eastAsia="en-GB"/>
        </w:rPr>
        <w:t>(57)</w:t>
      </w:r>
      <w:r>
        <w:rPr>
          <w:rFonts w:eastAsia="Times New Roman" w:cstheme="minorHAnsi"/>
          <w:sz w:val="22"/>
          <w:szCs w:val="22"/>
          <w:lang w:eastAsia="en-GB"/>
        </w:rPr>
        <w:fldChar w:fldCharType="end"/>
      </w:r>
      <w:r>
        <w:rPr>
          <w:rFonts w:eastAsia="Times New Roman" w:cstheme="minorHAnsi"/>
          <w:sz w:val="22"/>
          <w:szCs w:val="22"/>
          <w:lang w:eastAsia="en-GB"/>
        </w:rPr>
        <w:t xml:space="preserve">.  </w:t>
      </w:r>
      <w:r w:rsidR="00046CE3" w:rsidRPr="00046CE3">
        <w:rPr>
          <w:rFonts w:eastAsia="Times New Roman" w:cstheme="minorHAnsi"/>
          <w:sz w:val="22"/>
          <w:szCs w:val="22"/>
          <w:lang w:eastAsia="en-GB"/>
        </w:rPr>
        <w:t xml:space="preserve">For belimumab, the </w:t>
      </w:r>
      <w:r w:rsidR="00046CE3" w:rsidRPr="00046CE3">
        <w:rPr>
          <w:rFonts w:cstheme="minorHAnsi"/>
          <w:color w:val="212121"/>
          <w:sz w:val="22"/>
          <w:szCs w:val="22"/>
          <w:shd w:val="clear" w:color="auto" w:fill="FFFFFF"/>
        </w:rPr>
        <w:t>evidence of effectiveness in p</w:t>
      </w:r>
      <w:r w:rsidR="00B37A43">
        <w:rPr>
          <w:rFonts w:cstheme="minorHAnsi"/>
          <w:color w:val="212121"/>
          <w:sz w:val="22"/>
          <w:szCs w:val="22"/>
          <w:shd w:val="clear" w:color="auto" w:fill="FFFFFF"/>
        </w:rPr>
        <w:t>a</w:t>
      </w:r>
      <w:r w:rsidR="00046CE3" w:rsidRPr="00046CE3">
        <w:rPr>
          <w:rFonts w:cstheme="minorHAnsi"/>
          <w:color w:val="212121"/>
          <w:sz w:val="22"/>
          <w:szCs w:val="22"/>
          <w:shd w:val="clear" w:color="auto" w:fill="FFFFFF"/>
        </w:rPr>
        <w:t>ediatric LN is limited</w:t>
      </w:r>
      <w:r w:rsidR="00AD454E">
        <w:rPr>
          <w:rFonts w:cstheme="minorHAnsi"/>
          <w:color w:val="212121"/>
          <w:sz w:val="22"/>
          <w:szCs w:val="22"/>
          <w:shd w:val="clear" w:color="auto" w:fill="FFFFFF"/>
        </w:rPr>
        <w:t>;</w:t>
      </w:r>
      <w:r w:rsidR="00046CE3" w:rsidRPr="00046CE3">
        <w:rPr>
          <w:rFonts w:cstheme="minorHAnsi"/>
          <w:color w:val="212121"/>
          <w:sz w:val="22"/>
          <w:szCs w:val="22"/>
          <w:shd w:val="clear" w:color="auto" w:fill="FFFFFF"/>
        </w:rPr>
        <w:t xml:space="preserve"> there was a trend favouring belimumab in one randomized, controlled trial,</w:t>
      </w:r>
      <w:r w:rsidR="00AD454E">
        <w:rPr>
          <w:rFonts w:cstheme="minorHAnsi"/>
          <w:color w:val="212121"/>
          <w:sz w:val="22"/>
          <w:szCs w:val="22"/>
          <w:shd w:val="clear" w:color="auto" w:fill="FFFFFF"/>
        </w:rPr>
        <w:t xml:space="preserve"> however</w:t>
      </w:r>
      <w:r w:rsidR="00046CE3" w:rsidRPr="00046CE3">
        <w:rPr>
          <w:rFonts w:cstheme="minorHAnsi"/>
          <w:color w:val="212121"/>
          <w:sz w:val="22"/>
          <w:szCs w:val="22"/>
          <w:shd w:val="clear" w:color="auto" w:fill="FFFFFF"/>
        </w:rPr>
        <w:t xml:space="preserve"> the difference failed to achieve statistical significance</w:t>
      </w:r>
      <w:r w:rsidR="00046CE3">
        <w:rPr>
          <w:rFonts w:cstheme="minorHAnsi"/>
          <w:color w:val="212121"/>
          <w:sz w:val="22"/>
          <w:szCs w:val="22"/>
          <w:shd w:val="clear" w:color="auto" w:fill="FFFFFF"/>
        </w:rPr>
        <w:t xml:space="preserve"> </w:t>
      </w:r>
      <w:r w:rsidR="00046CE3">
        <w:rPr>
          <w:rFonts w:cstheme="minorHAnsi"/>
          <w:color w:val="212121"/>
          <w:sz w:val="22"/>
          <w:szCs w:val="22"/>
          <w:shd w:val="clear" w:color="auto" w:fill="FFFFFF"/>
        </w:rPr>
        <w:fldChar w:fldCharType="begin"/>
      </w:r>
      <w:r w:rsidR="00642970">
        <w:rPr>
          <w:rFonts w:cstheme="minorHAnsi"/>
          <w:color w:val="212121"/>
          <w:sz w:val="22"/>
          <w:szCs w:val="22"/>
          <w:shd w:val="clear" w:color="auto" w:fill="FFFFFF"/>
        </w:rPr>
        <w:instrText xml:space="preserve"> ADDIN ZOTERO_ITEM CSL_CITATION {"citationID":"TfME2J0f","properties":{"formattedCitation":"(149)","plainCitation":"(149)","noteIndex":0},"citationItems":[{"id":359,"uris":["http://zotero.org/users/local/lvPLY4Gu/items/5JG2VW6S"],"itemData":{"id":359,"type":"article-journal","abstract":"INTRODUCTION: The FDA approved the anti-BAFF monoclonal antibody, belimumab, in 2011 for adult systemic lupus erythematosus (SLE), in 2019 for pediatric SLE, in 2020 for adult lupus nephritis (LN), and in 2022 for pediatric LN.\nAREAS COVERED: We performed a PUBMED database search through November 2022, using 'belimumab and lupus nephritis,' 'belimumab and childhood systemic lupus erythematosus,' 'belimumab and pediatric systemic lupus erythematosus,' and 'belimumab and juvenile systemic lupus erythematosus' as the search phrases. We also vetted pertinent references cited in the papers gleaned from the above search, and we drew from our personal literature collections.\nEXPERT OPINION: Based on clinical-trials and real-world experience, belimumab is useful and safe in adult SLE and LN. In contrast and despite FDA approval, evidence of effectiveness in pediatric SLE and pediatric LN is very limited. Whereas there was a trend favoring belimumab in the only randomized, controlled trial to date in pediatric SLE, the difference between the belimumab and placebo groups failed to achieve statistical significance. Moreover, there have been no randomized, controlled trials for belimumab in pediatric LN. Based largely on information gleaned from experience in adults, the clinician can cautiously prescribe belimumab to his/her pediatric LN patient and hope for benefit.","container-title":"Expert Opinion on Biological Therapy","DOI":"10.1080/14712598.2023.2178297","ISSN":"1744-7682","issue":"3","journalAbbreviation":"Expert Opin Biol Ther","language":"eng","note":"PMID: 36750049","page":"243-251","source":"PubMed","title":"Belimumab for the treatment of pediatric patients with lupus nephritis","volume":"23","author":[{"family":"Stohl","given":"William"},{"family":"Kwok","given":"Alyssa"}],"issued":{"date-parts":[["2023",3]]}}}],"schema":"https://github.com/citation-style-language/schema/raw/master/csl-citation.json"} </w:instrText>
      </w:r>
      <w:r w:rsidR="00046CE3">
        <w:rPr>
          <w:rFonts w:cstheme="minorHAnsi"/>
          <w:color w:val="212121"/>
          <w:sz w:val="22"/>
          <w:szCs w:val="22"/>
          <w:shd w:val="clear" w:color="auto" w:fill="FFFFFF"/>
        </w:rPr>
        <w:fldChar w:fldCharType="separate"/>
      </w:r>
      <w:r w:rsidR="00642970">
        <w:rPr>
          <w:rFonts w:cstheme="minorHAnsi"/>
          <w:noProof/>
          <w:color w:val="212121"/>
          <w:sz w:val="22"/>
          <w:szCs w:val="22"/>
          <w:shd w:val="clear" w:color="auto" w:fill="FFFFFF"/>
        </w:rPr>
        <w:t>(149)</w:t>
      </w:r>
      <w:r w:rsidR="00046CE3">
        <w:rPr>
          <w:rFonts w:cstheme="minorHAnsi"/>
          <w:color w:val="212121"/>
          <w:sz w:val="22"/>
          <w:szCs w:val="22"/>
          <w:shd w:val="clear" w:color="auto" w:fill="FFFFFF"/>
        </w:rPr>
        <w:fldChar w:fldCharType="end"/>
      </w:r>
      <w:r w:rsidR="00046CE3" w:rsidRPr="00046CE3">
        <w:rPr>
          <w:rFonts w:cstheme="minorHAnsi"/>
          <w:color w:val="212121"/>
          <w:sz w:val="22"/>
          <w:szCs w:val="22"/>
          <w:shd w:val="clear" w:color="auto" w:fill="FFFFFF"/>
        </w:rPr>
        <w:t xml:space="preserve">. </w:t>
      </w:r>
      <w:r w:rsidR="009B7867" w:rsidRPr="00046CE3">
        <w:rPr>
          <w:rFonts w:eastAsia="Times New Roman" w:cstheme="minorHAnsi"/>
          <w:sz w:val="22"/>
          <w:szCs w:val="22"/>
          <w:lang w:eastAsia="en-GB"/>
        </w:rPr>
        <w:t>Whilst the paediatric</w:t>
      </w:r>
      <w:r w:rsidR="009B7867">
        <w:rPr>
          <w:rFonts w:eastAsia="Times New Roman" w:cstheme="minorHAnsi"/>
          <w:sz w:val="22"/>
          <w:szCs w:val="22"/>
          <w:lang w:eastAsia="en-GB"/>
        </w:rPr>
        <w:t xml:space="preserve"> trials </w:t>
      </w:r>
      <w:r w:rsidR="00046CE3">
        <w:rPr>
          <w:rFonts w:eastAsia="Times New Roman" w:cstheme="minorHAnsi"/>
          <w:sz w:val="22"/>
          <w:szCs w:val="22"/>
          <w:lang w:eastAsia="en-GB"/>
        </w:rPr>
        <w:t xml:space="preserve">for </w:t>
      </w:r>
      <w:proofErr w:type="spellStart"/>
      <w:r w:rsidR="00046CE3">
        <w:rPr>
          <w:rFonts w:eastAsia="Times New Roman" w:cstheme="minorHAnsi"/>
          <w:sz w:val="22"/>
          <w:szCs w:val="22"/>
          <w:lang w:eastAsia="en-GB"/>
        </w:rPr>
        <w:t>voclosporin</w:t>
      </w:r>
      <w:proofErr w:type="spellEnd"/>
      <w:r w:rsidR="00046CE3">
        <w:rPr>
          <w:rFonts w:eastAsia="Times New Roman" w:cstheme="minorHAnsi"/>
          <w:sz w:val="22"/>
          <w:szCs w:val="22"/>
          <w:lang w:eastAsia="en-GB"/>
        </w:rPr>
        <w:t xml:space="preserve"> </w:t>
      </w:r>
      <w:r w:rsidR="009B7867">
        <w:rPr>
          <w:rFonts w:eastAsia="Times New Roman" w:cstheme="minorHAnsi"/>
          <w:sz w:val="22"/>
          <w:szCs w:val="22"/>
          <w:lang w:eastAsia="en-GB"/>
        </w:rPr>
        <w:t>are underway, it has been translated that children may also benefit from th</w:t>
      </w:r>
      <w:r w:rsidR="0062284E">
        <w:rPr>
          <w:rFonts w:eastAsia="Times New Roman" w:cstheme="minorHAnsi"/>
          <w:sz w:val="22"/>
          <w:szCs w:val="22"/>
          <w:lang w:eastAsia="en-GB"/>
        </w:rPr>
        <w:t>e earlier</w:t>
      </w:r>
      <w:r w:rsidR="009B7867">
        <w:rPr>
          <w:rFonts w:eastAsia="Times New Roman" w:cstheme="minorHAnsi"/>
          <w:sz w:val="22"/>
          <w:szCs w:val="22"/>
          <w:lang w:eastAsia="en-GB"/>
        </w:rPr>
        <w:t xml:space="preserve"> management </w:t>
      </w:r>
      <w:r w:rsidR="0062284E">
        <w:rPr>
          <w:rFonts w:eastAsia="Times New Roman" w:cstheme="minorHAnsi"/>
          <w:sz w:val="22"/>
          <w:szCs w:val="22"/>
          <w:lang w:eastAsia="en-GB"/>
        </w:rPr>
        <w:t xml:space="preserve">of additional </w:t>
      </w:r>
      <w:r w:rsidR="00FD0635">
        <w:rPr>
          <w:rFonts w:eastAsia="Times New Roman" w:cstheme="minorHAnsi"/>
          <w:sz w:val="22"/>
          <w:szCs w:val="22"/>
          <w:lang w:eastAsia="en-GB"/>
        </w:rPr>
        <w:t>therapies,</w:t>
      </w:r>
      <w:r w:rsidR="009B7867">
        <w:rPr>
          <w:rFonts w:eastAsia="Times New Roman" w:cstheme="minorHAnsi"/>
          <w:sz w:val="22"/>
          <w:szCs w:val="22"/>
          <w:lang w:eastAsia="en-GB"/>
        </w:rPr>
        <w:t xml:space="preserve"> and </w:t>
      </w:r>
      <w:r w:rsidR="00046CE3">
        <w:rPr>
          <w:rFonts w:eastAsia="Times New Roman" w:cstheme="minorHAnsi"/>
          <w:sz w:val="22"/>
          <w:szCs w:val="22"/>
          <w:lang w:eastAsia="en-GB"/>
        </w:rPr>
        <w:t xml:space="preserve">this </w:t>
      </w:r>
      <w:r w:rsidR="009B7867">
        <w:rPr>
          <w:rFonts w:eastAsia="Times New Roman" w:cstheme="minorHAnsi"/>
          <w:sz w:val="22"/>
          <w:szCs w:val="22"/>
          <w:lang w:eastAsia="en-GB"/>
        </w:rPr>
        <w:t>has been incorporated as a suggestion</w:t>
      </w:r>
      <w:r w:rsidR="0062284E">
        <w:rPr>
          <w:rFonts w:eastAsia="Times New Roman" w:cstheme="minorHAnsi"/>
          <w:sz w:val="22"/>
          <w:szCs w:val="22"/>
          <w:lang w:eastAsia="en-GB"/>
        </w:rPr>
        <w:t xml:space="preserve"> within the recommendations</w:t>
      </w:r>
      <w:r w:rsidR="009B7867">
        <w:rPr>
          <w:rFonts w:eastAsia="Times New Roman" w:cstheme="minorHAnsi"/>
          <w:sz w:val="22"/>
          <w:szCs w:val="22"/>
          <w:lang w:eastAsia="en-GB"/>
        </w:rPr>
        <w:t>.</w:t>
      </w:r>
      <w:r w:rsidR="0062284E">
        <w:rPr>
          <w:rFonts w:eastAsia="Times New Roman" w:cstheme="minorHAnsi"/>
          <w:sz w:val="22"/>
          <w:szCs w:val="22"/>
          <w:lang w:eastAsia="en-GB"/>
        </w:rPr>
        <w:t xml:space="preserve"> </w:t>
      </w:r>
      <w:r w:rsidR="009B7867">
        <w:rPr>
          <w:rFonts w:eastAsia="Times New Roman" w:cstheme="minorHAnsi"/>
          <w:sz w:val="22"/>
          <w:szCs w:val="22"/>
          <w:lang w:eastAsia="en-GB"/>
        </w:rPr>
        <w:t xml:space="preserve"> </w:t>
      </w:r>
      <w:r w:rsidR="00FD0635">
        <w:rPr>
          <w:rFonts w:eastAsia="Times New Roman" w:cstheme="minorHAnsi"/>
          <w:sz w:val="22"/>
          <w:szCs w:val="22"/>
          <w:lang w:eastAsia="en-GB"/>
        </w:rPr>
        <w:t xml:space="preserve">Maintenance treatment has relied on MMF or </w:t>
      </w:r>
      <w:r w:rsidR="00B37A43">
        <w:rPr>
          <w:rFonts w:eastAsia="Times New Roman" w:cstheme="minorHAnsi"/>
          <w:sz w:val="22"/>
          <w:szCs w:val="22"/>
          <w:lang w:eastAsia="en-GB"/>
        </w:rPr>
        <w:t xml:space="preserve">azathioprine </w:t>
      </w:r>
      <w:r w:rsidR="00FD0635">
        <w:rPr>
          <w:rFonts w:eastAsia="Times New Roman" w:cstheme="minorHAnsi"/>
          <w:sz w:val="22"/>
          <w:szCs w:val="22"/>
          <w:lang w:eastAsia="en-GB"/>
        </w:rPr>
        <w:t xml:space="preserve">with some suggestions that MMF may be superior </w:t>
      </w:r>
      <w:r w:rsidR="00FD0635">
        <w:rPr>
          <w:rFonts w:eastAsia="Times New Roman" w:cstheme="minorHAnsi"/>
          <w:sz w:val="22"/>
          <w:szCs w:val="22"/>
          <w:lang w:eastAsia="en-GB"/>
        </w:rPr>
        <w:fldChar w:fldCharType="begin"/>
      </w:r>
      <w:r w:rsidR="00642970">
        <w:rPr>
          <w:rFonts w:eastAsia="Times New Roman" w:cstheme="minorHAnsi"/>
          <w:sz w:val="22"/>
          <w:szCs w:val="22"/>
          <w:lang w:eastAsia="en-GB"/>
        </w:rPr>
        <w:instrText xml:space="preserve"> ADDIN ZOTERO_ITEM CSL_CITATION {"citationID":"HD3bCLKr","properties":{"formattedCitation":"(63,85)","plainCitation":"(63,85)","noteIndex":0},"citationItems":[{"id":228,"uris":["http://zotero.org/users/local/lvPLY4Gu/items/RKHRVNAS"],"itemData":{"id":228,"type":"article-journal","abstract":"OBJECTIVES: There is little data on renal relapse in childhood-onset LN (cLN). We investigate the incidence, predictive factors and outcomes related to renal relapse.\nMETHODS: We conducted a retrospective cohort study of all cLN diagnosed at ≤18 years between 2001-2021 to investigate the incidence and outcomes related to renal relapse.\nRESULTS: Ninety-five Chinese cLN patients (91% proliferative LN) were included. Induction immunosuppression was prednisolone and CYC [n = 36 (38%)] or MMF [n = 33 (35%)]. Maintenance immunosuppression was prednisolone and MMF [n = 53 (54%)] or AZA [n = 29 (31%)]. The rates of complete remission/partial remission (CR/PR) at 12 months were 78.9%/7.4%. Seventy renal relapses occurred in 39 patients over a follow-up of 10.2 years (s.d. 5.9) (0.07 episode/patient-year). Relapse-free survival was 94.7, 86.0, 80.1, 71.2, 68.3, 50.3 and 44.5% at 1, 2, 3, 4, 5, 10 and 20 years, respectively. Multivariate analysis showed that LN diagnosis &lt;13.1 years [adjusted hazard ratio (HRadj) 2.59 995% CI 1.27, 5.29), P = 0.01], AZA maintenance [HRadj 2.20 (95% CI 1.01, 4.79), P = 0.05], PR [HRadj 3.9 (95% CI 1.03, 9.19), P = 0.01] and non-remission [HRadj 3.08 (95% CI 1.35, 11.3), P = 0.04] at 12 months were predictive of renal relapse. Renal relapse was significantly associated with advanced chronic kidney disease (stages 3-5) and end-stage kidney disease (17.9% vs 1.8%, P &lt; 0.01). Furthermore, patients with renal relapse showed an increased incidence of infections (30.8% vs 10.7%, P = 0.02), osteopenia (38.5% vs 17.9%, P = 0.04) and hypertension (30.8% vs 7.1%, P &lt; 0.01).\nCONCLUSION: Renal relapse is common among cLN, especially among young patients, and is associated with an increased incidence of morbidity and mortality. Attaining CR and the use of MMF appear to decrease the incidence of renal relapse.","container-title":"Rheumatology (Oxford, England)","DOI":"10.1093/rheumatology/kead447","ISSN":"1462-0332","issue":"4","journalAbbreviation":"Rheumatology (Oxford)","language":"eng","note":"PMID: 37632777","page":"953-961","source":"PubMed","title":"Renal relapse in children and adolescents with childhood-onset lupus nephritis: a 20-year study","title-short":"Renal relapse in children and adolescents with childhood-onset lupus nephritis","volume":"63","author":[{"family":"Chan","given":"Eugene Yu-Hin"},{"family":"Yap","given":"Desmond Yat-Hin"},{"family":"Wong","given":"Wilfred Hing-Sang"},{"family":"Wong","given":"Sze-Wa"},{"family":"Lin","given":"Kyle Ying-Kit"},{"family":"Hui","given":"Felix Yan-Wai"},{"family":"Li","given":"Jennifer Yee-Ming"},{"family":"Lam","given":"Sophia Suet-Ying"},{"family":"Wong","given":"Jennie Kit-Yee"},{"family":"Lai","given":"Fiona Fung-Yee"},{"family":"Ho","given":"Tsz-Wai"},{"family":"Tong","given":"Pak-Chiu"},{"family":"Lai","given":"Wai-Ming"},{"family":"Chan","given":"Tak Mao"},{"family":"Ma","given":"Alison Lap-Tak"}],"issued":{"date-parts":[["2024",4,2]]}}},{"id":280,"uris":["http://zotero.org/users/local/lvPLY4Gu/items/GSTB7MXM"],"itemData":{"id":280,"type":"article-journal","container-title":"American Journal of Kidney Diseases: The Official Journal of the National Kidney Foundation","DOI":"10.1053/j.ajkd.2018.07.008","ISSN":"1523-6838","issue":"5","journalAbbreviation":"Am J Kidney Dis","language":"eng","note":"PMID: 30343732","page":"756-757","source":"PubMed","title":"Immunosuppressive Treatment for Proliferative Lupus Nephritis: Summary of a Cochrane Review","title-short":"Immunosuppressive Treatment for Proliferative Lupus Nephritis","volume":"72","author":[{"family":"Tunnicliffe","given":"David J."},{"family":"Palmer","given":"Suetonia C."}],"issued":{"date-parts":[["2018",11]]}}}],"schema":"https://github.com/citation-style-language/schema/raw/master/csl-citation.json"} </w:instrText>
      </w:r>
      <w:r w:rsidR="00FD0635">
        <w:rPr>
          <w:rFonts w:eastAsia="Times New Roman" w:cstheme="minorHAnsi"/>
          <w:sz w:val="22"/>
          <w:szCs w:val="22"/>
          <w:lang w:eastAsia="en-GB"/>
        </w:rPr>
        <w:fldChar w:fldCharType="separate"/>
      </w:r>
      <w:r w:rsidR="00642970">
        <w:rPr>
          <w:rFonts w:eastAsia="Times New Roman" w:cstheme="minorHAnsi"/>
          <w:noProof/>
          <w:sz w:val="22"/>
          <w:szCs w:val="22"/>
          <w:lang w:eastAsia="en-GB"/>
        </w:rPr>
        <w:t>(63,85)</w:t>
      </w:r>
      <w:r w:rsidR="00FD0635">
        <w:rPr>
          <w:rFonts w:eastAsia="Times New Roman" w:cstheme="minorHAnsi"/>
          <w:sz w:val="22"/>
          <w:szCs w:val="22"/>
          <w:lang w:eastAsia="en-GB"/>
        </w:rPr>
        <w:fldChar w:fldCharType="end"/>
      </w:r>
      <w:r w:rsidR="005D569D">
        <w:rPr>
          <w:rFonts w:eastAsia="Times New Roman" w:cstheme="minorHAnsi"/>
          <w:sz w:val="22"/>
          <w:szCs w:val="22"/>
          <w:lang w:eastAsia="en-GB"/>
        </w:rPr>
        <w:t xml:space="preserve"> and the recommended duration being described as 1-4 years in the literature </w:t>
      </w:r>
      <w:r w:rsidR="005D569D">
        <w:rPr>
          <w:rFonts w:eastAsia="Times New Roman" w:cstheme="minorHAnsi"/>
          <w:sz w:val="22"/>
          <w:szCs w:val="22"/>
          <w:lang w:eastAsia="en-GB"/>
        </w:rPr>
        <w:fldChar w:fldCharType="begin"/>
      </w:r>
      <w:r w:rsidR="00642970">
        <w:rPr>
          <w:rFonts w:eastAsia="Times New Roman" w:cstheme="minorHAnsi"/>
          <w:sz w:val="22"/>
          <w:szCs w:val="22"/>
          <w:lang w:eastAsia="en-GB"/>
        </w:rPr>
        <w:instrText xml:space="preserve"> ADDIN ZOTERO_ITEM CSL_CITATION {"citationID":"QPlWXk5M","properties":{"formattedCitation":"(84)","plainCitation":"(84)","noteIndex":0},"citationItems":[{"id":277,"uris":["http://zotero.org/users/local/lvPLY4Gu/items/CSIXBY55"],"itemData":{"id":277,"type":"article-journal","abstract":"OBJECTIVE: Management of systemic lupus erythematosus (SLE) is complex and variability in practices exists. Guidelines have been developed to help improve the management of SLE patients, but there has been no formal evaluation of these guidelines. This study aims to compare the scope, quality, and consistency of clinical practice guidelines on the diagnosis, monitoring, and treatment of patients with SLE.\nMETHODS: Electronic databases were searched up to April 2014. The Appraisal of Guidelines for Research and Evaluation (AGREE) II instrument and textual synthesis was used to appraise and compare recommendations.\nRESULTS: Nine clinical practice guidelines and 5 consensus statements were identified, which covered 7 topics: diagnosis, monitoring, treatment, neuropsychiatric SLE, lupus nephritis, antiphospholipid syndrome, and other manifestations of lupus. The methodological quality of the guidelines was variable, with the overall mean AGREE II scores ranging from 31% to 75%, out of a maximum 100%. Scores were consistently low for applicability, with only 1 guideline scoring above 50%. There was substantial variability in the treatments recommended for class II and V lupus nephritis, the recommended duration of maintenance therapy for class III/IV lupus nephritis (from 1 to 4 years), and timing of ophthalmologic examination for patients taking corticosteroids.\nCONCLUSION: Published guidelines on SLE cover a complex area of clinical care, but the methodological quality, scope, and recommendations varied substantially. Collaborative and multidisciplinary efforts to develop comprehensive, high-quality evidence-based guidelines are needed to promote best treatment and health outcomes for patients with SLE.","container-title":"Arthritis Care &amp; Research","DOI":"10.1002/acr.22591","ISSN":"2151-4658","issue":"10","journalAbbreviation":"Arthritis Care Res (Hoboken)","language":"eng","note":"PMID: 25778500","page":"1440-1452","source":"PubMed","title":"Diagnosis, Monitoring, and Treatment of Systemic Lupus Erythematosus: A Systematic Review of Clinical Practice Guidelines","title-short":"Diagnosis, Monitoring, and Treatment of Systemic Lupus Erythematosus","volume":"67","author":[{"family":"Tunnicliffe","given":"David J."},{"family":"Singh-Grewal","given":"Davinder"},{"family":"Kim","given":"Siah"},{"family":"Craig","given":"Jonathan C."},{"family":"Tong","given":"Allison"}],"issued":{"date-parts":[["2015",10]]}}}],"schema":"https://github.com/citation-style-language/schema/raw/master/csl-citation.json"} </w:instrText>
      </w:r>
      <w:r w:rsidR="005D569D">
        <w:rPr>
          <w:rFonts w:eastAsia="Times New Roman" w:cstheme="minorHAnsi"/>
          <w:sz w:val="22"/>
          <w:szCs w:val="22"/>
          <w:lang w:eastAsia="en-GB"/>
        </w:rPr>
        <w:fldChar w:fldCharType="separate"/>
      </w:r>
      <w:r w:rsidR="00642970">
        <w:rPr>
          <w:rFonts w:eastAsia="Times New Roman" w:cstheme="minorHAnsi"/>
          <w:noProof/>
          <w:sz w:val="22"/>
          <w:szCs w:val="22"/>
          <w:lang w:eastAsia="en-GB"/>
        </w:rPr>
        <w:t>(84)</w:t>
      </w:r>
      <w:r w:rsidR="005D569D">
        <w:rPr>
          <w:rFonts w:eastAsia="Times New Roman" w:cstheme="minorHAnsi"/>
          <w:sz w:val="22"/>
          <w:szCs w:val="22"/>
          <w:lang w:eastAsia="en-GB"/>
        </w:rPr>
        <w:fldChar w:fldCharType="end"/>
      </w:r>
      <w:r w:rsidR="00AD454E">
        <w:rPr>
          <w:rFonts w:eastAsia="Times New Roman" w:cstheme="minorHAnsi"/>
          <w:sz w:val="22"/>
          <w:szCs w:val="22"/>
          <w:lang w:eastAsia="en-GB"/>
        </w:rPr>
        <w:t>. A</w:t>
      </w:r>
      <w:r w:rsidR="005D569D">
        <w:rPr>
          <w:rFonts w:eastAsia="Times New Roman" w:cstheme="minorHAnsi"/>
          <w:sz w:val="22"/>
          <w:szCs w:val="22"/>
          <w:lang w:eastAsia="en-GB"/>
        </w:rPr>
        <w:t xml:space="preserve">greement on 3 years </w:t>
      </w:r>
      <w:r w:rsidR="00AD454E">
        <w:rPr>
          <w:rFonts w:eastAsia="Times New Roman" w:cstheme="minorHAnsi"/>
          <w:sz w:val="22"/>
          <w:szCs w:val="22"/>
          <w:lang w:eastAsia="en-GB"/>
        </w:rPr>
        <w:t>treatment was achieved</w:t>
      </w:r>
      <w:r w:rsidR="005D569D">
        <w:rPr>
          <w:rFonts w:eastAsia="Times New Roman" w:cstheme="minorHAnsi"/>
          <w:sz w:val="22"/>
          <w:szCs w:val="22"/>
          <w:lang w:eastAsia="en-GB"/>
        </w:rPr>
        <w:t xml:space="preserve"> by the GDG. </w:t>
      </w:r>
      <w:r w:rsidR="00FD0635">
        <w:rPr>
          <w:rFonts w:eastAsia="Times New Roman" w:cstheme="minorHAnsi"/>
          <w:sz w:val="22"/>
          <w:szCs w:val="22"/>
          <w:lang w:eastAsia="en-GB"/>
        </w:rPr>
        <w:t xml:space="preserve">Larger doses of steroids are used in childhood onset disease </w:t>
      </w:r>
      <w:r w:rsidR="00FD0635">
        <w:rPr>
          <w:rFonts w:eastAsia="Times New Roman" w:cstheme="minorHAnsi"/>
          <w:sz w:val="22"/>
          <w:szCs w:val="22"/>
          <w:lang w:eastAsia="en-GB"/>
        </w:rPr>
        <w:fldChar w:fldCharType="begin"/>
      </w:r>
      <w:r w:rsidR="00642970">
        <w:rPr>
          <w:rFonts w:eastAsia="Times New Roman" w:cstheme="minorHAnsi"/>
          <w:sz w:val="22"/>
          <w:szCs w:val="22"/>
          <w:lang w:eastAsia="en-GB"/>
        </w:rPr>
        <w:instrText xml:space="preserve"> ADDIN ZOTERO_ITEM CSL_CITATION {"citationID":"sMALEuA1","properties":{"formattedCitation":"(66)","plainCitation":"(66)","noteIndex":0},"citationItems":[{"id":236,"uris":["http://zotero.org/users/local/lvPLY4Gu/items/5XN8264L"],"itemData":{"id":236,"type":"article-journal","abstract":"The clinical expression of systemic lupus erythematosus (SLE) is influenced by genetic and environmental factors and therefore varies between ethnicities. Information on the epidemiology of SLE in Brazil is scarce and practically limited to studies conducted in socioeconomically developed regions (South and Southeast). The objective of this study was to describe the clinical and immunological aspects and outcome of a cohort of patients with SLE treated at a university hospital in northeastern Brazil and compare patterns related to age at onset: childhood (cSLE), adult (aSLE), and late (lSLE). A random sample of 414 records (women: 93.5%) were reviewed. The mean age at SLE onset and the mean disease duration were 28.9 ± 10.9 years and 10.2 ± 6.6 years, respectively. Most patients had aSLE (n = 338; 81.6%), followed by cSLE (n = 60; 14.5%) and lSLE (n = 16; 3.9%). The female/male ratio was 6.5:1 in cSLE and 16.8:1 in aSLE; in lSLE, all patients were female (p = 0.05). During follow-up, the cSLE group presented higher rates of nephritis (70% vs. 52.9% vs. 12.5%; p = 0.0001) and leuko/lymphopenia (61.7% vs. 43.8% vs. 56.2%; p = 0.02). No significant differences were found for anti-dsDNA, anti-Sm, and antiphospholipid antibodies. Treatment with immunosuppressants was significantly more common, and higher doses of prednisone were used, in cSLE. The prevalence of cardiovascular diseases were more frequent in lSLE (p = 0.03). No significant differences were found between the three groups with regard to mean damage accrual (SDI), remission, and mortality. Although cSLE presented higher rates of nephritis and leuko/lymphopenia, more frequent use of immunosuppressants and higher prednisone doses than aSLE and lSLE, the three groups did not differ significantly with regard to damage accrual, remission, and mortality.","container-title":"Lupus","DOI":"10.1177/0961203315606983","ISSN":"1477-0962","issue":"4","journalAbbreviation":"Lupus","language":"eng","note":"PMID: 26405022","page":"355-363","source":"PubMed","title":"Clinical and immunological aspects and outcome of a Brazilian cohort of 414 patients with systemic lupus erythematosus (SLE): comparison between childhood-onset, adult-onset, and late-onset SLE","title-short":"Clinical and immunological aspects and outcome of a Brazilian cohort of 414 patients with systemic lupus erythematosus (SLE)","volume":"25","author":[{"family":"Chagas Medeiros","given":"M. M.","non-dropping-particle":"das"},{"family":"Bezerra","given":"M. Campos"},{"family":"Braga","given":"F. N. Holanda Ferreira"},{"family":"Justa Feijão","given":"M. R. Melo","non-dropping-particle":"da"},{"family":"Gois","given":"A. C. Rodrigues"},{"family":"Rebouças","given":"V. C. do Rosário"},{"family":"Carvalho","given":"T. M. Amorim Zaranza","non-dropping-particle":"de"},{"family":"Carvalho","given":"L. N. Solon"},{"family":"Ribeiro","given":"Át Mendes"}],"issued":{"date-parts":[["2016",4]]}}}],"schema":"https://github.com/citation-style-language/schema/raw/master/csl-citation.json"} </w:instrText>
      </w:r>
      <w:r w:rsidR="00FD0635">
        <w:rPr>
          <w:rFonts w:eastAsia="Times New Roman" w:cstheme="minorHAnsi"/>
          <w:sz w:val="22"/>
          <w:szCs w:val="22"/>
          <w:lang w:eastAsia="en-GB"/>
        </w:rPr>
        <w:fldChar w:fldCharType="separate"/>
      </w:r>
      <w:r w:rsidR="00642970">
        <w:rPr>
          <w:rFonts w:eastAsia="Times New Roman" w:cstheme="minorHAnsi"/>
          <w:noProof/>
          <w:sz w:val="22"/>
          <w:szCs w:val="22"/>
          <w:lang w:eastAsia="en-GB"/>
        </w:rPr>
        <w:t>(66)</w:t>
      </w:r>
      <w:r w:rsidR="00FD0635">
        <w:rPr>
          <w:rFonts w:eastAsia="Times New Roman" w:cstheme="minorHAnsi"/>
          <w:sz w:val="22"/>
          <w:szCs w:val="22"/>
          <w:lang w:eastAsia="en-GB"/>
        </w:rPr>
        <w:fldChar w:fldCharType="end"/>
      </w:r>
      <w:r w:rsidR="00FD0635">
        <w:rPr>
          <w:rFonts w:eastAsia="Times New Roman" w:cstheme="minorHAnsi"/>
          <w:sz w:val="22"/>
          <w:szCs w:val="22"/>
          <w:lang w:eastAsia="en-GB"/>
        </w:rPr>
        <w:t xml:space="preserve"> and adherence to steroid treatment plans is reported to be very poor with personalised approaches preferred and  the need to minimise exposure </w:t>
      </w:r>
      <w:r w:rsidR="00AD454E">
        <w:rPr>
          <w:rFonts w:eastAsia="Times New Roman" w:cstheme="minorHAnsi"/>
          <w:sz w:val="22"/>
          <w:szCs w:val="22"/>
          <w:lang w:eastAsia="en-GB"/>
        </w:rPr>
        <w:t>deemed a priority</w:t>
      </w:r>
      <w:r w:rsidR="00FD0635">
        <w:rPr>
          <w:rFonts w:eastAsia="Times New Roman" w:cstheme="minorHAnsi"/>
          <w:sz w:val="22"/>
          <w:szCs w:val="22"/>
          <w:lang w:eastAsia="en-GB"/>
        </w:rPr>
        <w:t xml:space="preserve"> </w:t>
      </w:r>
      <w:r w:rsidR="00FD0635">
        <w:rPr>
          <w:rFonts w:eastAsia="Times New Roman" w:cstheme="minorHAnsi"/>
          <w:sz w:val="22"/>
          <w:szCs w:val="22"/>
          <w:lang w:eastAsia="en-GB"/>
        </w:rPr>
        <w:fldChar w:fldCharType="begin"/>
      </w:r>
      <w:r w:rsidR="00642970">
        <w:rPr>
          <w:rFonts w:eastAsia="Times New Roman" w:cstheme="minorHAnsi"/>
          <w:sz w:val="22"/>
          <w:szCs w:val="22"/>
          <w:lang w:eastAsia="en-GB"/>
        </w:rPr>
        <w:instrText xml:space="preserve"> ADDIN ZOTERO_ITEM CSL_CITATION {"citationID":"Fy1lh7RF","properties":{"formattedCitation":"(64)","plainCitation":"(64)","noteIndex":0},"citationItems":[{"id":230,"uris":["http://zotero.org/users/local/lvPLY4Gu/items/75HTH4AJ"],"itemData":{"id":230,"type":"article-journal","abstract":"BACKGROUND: To reduce treatment variability and facilitate comparative effectiveness studies, the Childhood Arthritis and Rheumatology Research Alliance (CARRA) published consensus treatment plans (CTPs) including one for juvenile proliferative lupus nephritis (LN). Induction immunosuppression CTPs outline treatment with either monthly intravenous (IV) cyclophosphamide (CYC) or mycophenolate mofetil (MMF) in conjunction with one of three corticosteroid (steroid) CTPs: primarily oral, primarily IV or mixed oral/IV. The acceptability and in-practice use of these CTPs are unknown. Therefore, the primary aims of the pilot study were to demonstrate feasibility of adhering to the LN CTPs and delineate barriers to implementation in clinical care in the US. Further, we aimed to explore the safety and effectiveness of the treatments for induction therapy.\nMETHODS: Forty-one patients were enrolled from 10 CARRA sites. Patients had new-onset biopsy proven ISN/RPS class III or IV proliferative LN, were starting induction therapy with MMF or IV CYC and high-dose steroids and were followed for up to 24 months. Routine clinical data were collected at each visit. Provider reasons for CTP selection were assessed at baseline. Adherence to the CTPs was evaluated by provider survey and medication logs. Complete and partial renal responses were reported at 6 months.\nRESULTS: The majority of patients were female (83%) with a mean age of 14.7 years, SD 2.8. CYC was used more commonly than MMF for patients with ISN/RPS class IV LN (vs. class III), those who had hematuria, and those with adherence concerns. Overall adherence to the immunosuppression induction CTPs was acceptable with a majority of patients receiving the target MMF (86%) or CYC (63%) dose. However, adherence to the steroid CTPs was poor (37%) with large variability in dosing. Renal response endpoints were exploratory and did not show a significant difference between CYC and MMF.\nCONCLUSIONS: Overall, the immunosuppression CTPs were followed as intended in the majority of patients however, adherence to the steroid CTPs was poor indicating revision is necessary. In addition, our pilot study revealed several sources of treatment selection bias that will need to be addressed in for future comparative effectiveness research.","container-title":"Pediatric Rheumatology Online Journal","DOI":"10.1186/s12969-018-0279-0","ISSN":"1546-0096","issue":"1","journalAbbreviation":"Pediatr Rheumatol Online J","language":"eng","note":"PMID: 30348175\nPMCID: PMC6196456","page":"65","source":"PubMed","title":"Pilot study comparing the childhood arthritis and rheumatology research alliance consensus treatment plans for induction therapy of juvenile proliferative lupus nephritis","volume":"16","author":[{"family":"Cooper","given":"Jennifer C."},{"family":"Rouster-Stevens","given":"Kelly"},{"family":"Wright","given":"Tracey B."},{"family":"Hsu","given":"Joyce J."},{"family":"Klein-Gitelman","given":"Marisa S."},{"family":"Ardoin","given":"Stacy P."},{"family":"Schanberg","given":"Laura E."},{"family":"Brunner","given":"Hermine I."},{"family":"Eberhard","given":"B. Anne"},{"family":"Wagner-Weiner","given":"Linda"},{"family":"Mehta","given":"Jay"},{"family":"Haines","given":"Kathleen"},{"family":"McCurdy","given":"Deborah K."},{"family":"Phillips","given":"Thomas A."},{"family":"Huang","given":"Zhen"},{"family":"Scheven","given":"Emily","non-dropping-particle":"von"},{"literal":"CARRA registry investigators"}],"issued":{"date-parts":[["2018",10,22]]}}}],"schema":"https://github.com/citation-style-language/schema/raw/master/csl-citation.json"} </w:instrText>
      </w:r>
      <w:r w:rsidR="00FD0635">
        <w:rPr>
          <w:rFonts w:eastAsia="Times New Roman" w:cstheme="minorHAnsi"/>
          <w:sz w:val="22"/>
          <w:szCs w:val="22"/>
          <w:lang w:eastAsia="en-GB"/>
        </w:rPr>
        <w:fldChar w:fldCharType="separate"/>
      </w:r>
      <w:r w:rsidR="00642970">
        <w:rPr>
          <w:rFonts w:eastAsia="Times New Roman" w:cstheme="minorHAnsi"/>
          <w:noProof/>
          <w:sz w:val="22"/>
          <w:szCs w:val="22"/>
          <w:lang w:eastAsia="en-GB"/>
        </w:rPr>
        <w:t>(64)</w:t>
      </w:r>
      <w:r w:rsidR="00FD0635">
        <w:rPr>
          <w:rFonts w:eastAsia="Times New Roman" w:cstheme="minorHAnsi"/>
          <w:sz w:val="22"/>
          <w:szCs w:val="22"/>
          <w:lang w:eastAsia="en-GB"/>
        </w:rPr>
        <w:fldChar w:fldCharType="end"/>
      </w:r>
      <w:r w:rsidR="00FD0635">
        <w:rPr>
          <w:rFonts w:eastAsia="Times New Roman" w:cstheme="minorHAnsi"/>
          <w:sz w:val="22"/>
          <w:szCs w:val="22"/>
          <w:lang w:eastAsia="en-GB"/>
        </w:rPr>
        <w:t xml:space="preserve">. Hydroxychloroquine has adjunctive benefit in improving proteinuria outcomes, with evidence from a double blind randomised controlled trial involving 60 children </w:t>
      </w:r>
      <w:r w:rsidR="00FD0635">
        <w:rPr>
          <w:rFonts w:eastAsia="Times New Roman" w:cstheme="minorHAnsi"/>
          <w:sz w:val="22"/>
          <w:szCs w:val="22"/>
          <w:lang w:eastAsia="en-GB"/>
        </w:rPr>
        <w:fldChar w:fldCharType="begin"/>
      </w:r>
      <w:r w:rsidR="00642970">
        <w:rPr>
          <w:rFonts w:eastAsia="Times New Roman" w:cstheme="minorHAnsi"/>
          <w:sz w:val="22"/>
          <w:szCs w:val="22"/>
          <w:lang w:eastAsia="en-GB"/>
        </w:rPr>
        <w:instrText xml:space="preserve"> ADDIN ZOTERO_ITEM CSL_CITATION {"citationID":"HBRjkNSB","properties":{"formattedCitation":"(67)","plainCitation":"(67)","noteIndex":0},"citationItems":[{"id":238,"uris":["http://zotero.org/users/local/lvPLY4Gu/items/TA3ZE73Y"],"itemData":{"id":238,"type":"article-journal","abstract":"Hydroxychloroquine (HCQ) is an antimalarial agent used to treat mucocutaneous, musculoskeletal, constitutional manifestations of systemic lupus erythematosus (SLE). This study assessed the efficacy and side effects of HCQ in children with proliferative lupus nephritis (LN). This double-blind, randomized, placebo-controlled trial study was conducted on 60 children with proliferative LN classes III and IV treated with steroids and a mycophenolate (MMF) regimen. Patients were categorized into two groups, the HCQ group (n = 30) and the placebo group (n = 30). They were evaluated initially at 6- and a 12-month follow-up by mucocutaneous, ophthalmological examination, and investigations (BUN, creatinine, 24 h proteinuria, triglycerides (TG), cholesterol, Antids-DNA, C3, C4). Disease activity was assessed using the SLE disease activity index (SLEDAI-2 k). After 12 months, TG, cholesterol, 24 h proteinuria, Antids-DNA, and SLEDAI score were significantly decreased in the HCQ group (P: 0.002, 0.012, 0.031, 0.001, respectively). After 12 months, the cumulative probabilities of developing primary end-points (LN partial and complete remission) were 40% and 60% in the HCQ group versus 53.3% and 36.7% in the placebo group (P: 0.002). After 12 months, the HCQ group experienced mucocutaneous alopecia (3.3%), hyperpigmentation (10%), and ophthalmological mild retinal changes (6.7%), but they did not differ significantly from the placebo group.  Cunclusion: HCQ improved the disease and LN activity in children with proliferative LN, with documented skin hyperpigmentation and mild retinal changes following HCQ use in a few cases. This study was registered on http://www.\nCLINICALTRIALS: gov/ with trial registration number (TRN): NCT03687905, September 2018 \"retrospectively registered.\"\nWHAT IS KNOWN: • Hydroxychloroquine (HCQ) is documented as an adjunctive treatment in children with systemic lupus erythematosus (c-SLE) LN with efficacy in improving lupus musculoskeletal and mucocutaneous manifestations. • Due to the paucity of studies, its effects and side effects in children with LN remain unclear.\nWHAT IS NEW: • This pilot randomized clinical trial assessed the efficacy and adverse effects of HCQ in children with proliferative LN. • HCQ had numerous advantages for LN, including rapid and sustained remission, antilipidemic effect, and rapid improvement of kidney functions.","container-title":"European Journal of Pediatrics","DOI":"10.1007/s00431-023-04837-0","ISSN":"1432-1076","issue":"4","journalAbbreviation":"Eur J Pediatr","language":"eng","note":"PMID: 36752895\nPMCID: PMC10167107","page":"1685-1695","source":"PubMed","title":"Hydroxychloroquine in children with proliferative lupus nephritis: a randomized clinical trial","title-short":"Hydroxychloroquine in children with proliferative lupus nephritis","volume":"182","author":[{"family":"Gheet","given":"Fatma Sayed"},{"family":"Dawoud","given":"Heba El-Sayed"},{"family":"El-Shahaby","given":"Waleed Ahmed"},{"family":"Elrifaey","given":"Shymaa Mohamed"},{"family":"Abdelnabi","given":"Hend Hassan"}],"issued":{"date-parts":[["2023",4]]}}}],"schema":"https://github.com/citation-style-language/schema/raw/master/csl-citation.json"} </w:instrText>
      </w:r>
      <w:r w:rsidR="00FD0635">
        <w:rPr>
          <w:rFonts w:eastAsia="Times New Roman" w:cstheme="minorHAnsi"/>
          <w:sz w:val="22"/>
          <w:szCs w:val="22"/>
          <w:lang w:eastAsia="en-GB"/>
        </w:rPr>
        <w:fldChar w:fldCharType="separate"/>
      </w:r>
      <w:r w:rsidR="00642970">
        <w:rPr>
          <w:rFonts w:eastAsia="Times New Roman" w:cstheme="minorHAnsi"/>
          <w:noProof/>
          <w:sz w:val="22"/>
          <w:szCs w:val="22"/>
          <w:lang w:eastAsia="en-GB"/>
        </w:rPr>
        <w:t>(67)</w:t>
      </w:r>
      <w:r w:rsidR="00FD0635">
        <w:rPr>
          <w:rFonts w:eastAsia="Times New Roman" w:cstheme="minorHAnsi"/>
          <w:sz w:val="22"/>
          <w:szCs w:val="22"/>
          <w:lang w:eastAsia="en-GB"/>
        </w:rPr>
        <w:fldChar w:fldCharType="end"/>
      </w:r>
      <w:r w:rsidR="00FD0635">
        <w:rPr>
          <w:rFonts w:eastAsia="Times New Roman" w:cstheme="minorHAnsi"/>
          <w:sz w:val="22"/>
          <w:szCs w:val="22"/>
          <w:lang w:eastAsia="en-GB"/>
        </w:rPr>
        <w:t>.</w:t>
      </w:r>
      <w:r w:rsidR="00B51614">
        <w:rPr>
          <w:rFonts w:eastAsia="Times New Roman" w:cstheme="minorHAnsi"/>
          <w:sz w:val="22"/>
          <w:szCs w:val="22"/>
          <w:lang w:eastAsia="en-GB"/>
        </w:rPr>
        <w:t xml:space="preserve"> There are reports of worse kidney outcomes according to ethnicity, with African ancestry being worse, however there are no agreed ways to stratify patients at present </w:t>
      </w:r>
      <w:r w:rsidR="00B51614">
        <w:rPr>
          <w:rFonts w:eastAsia="Times New Roman" w:cstheme="minorHAnsi"/>
          <w:sz w:val="22"/>
          <w:szCs w:val="22"/>
          <w:lang w:eastAsia="en-GB"/>
        </w:rPr>
        <w:fldChar w:fldCharType="begin"/>
      </w:r>
      <w:r w:rsidR="00642970">
        <w:rPr>
          <w:rFonts w:eastAsia="Times New Roman" w:cstheme="minorHAnsi"/>
          <w:sz w:val="22"/>
          <w:szCs w:val="22"/>
          <w:lang w:eastAsia="en-GB"/>
        </w:rPr>
        <w:instrText xml:space="preserve"> ADDIN ZOTERO_ITEM CSL_CITATION {"citationID":"rFZMIsFE","properties":{"formattedCitation":"(72)","plainCitation":"(72)","noteIndex":0},"citationItems":[{"id":250,"uris":["http://zotero.org/users/local/lvPLY4Gu/items/YU8XCLAX"],"itemData":{"id":250,"type":"article-journal","abstract":"Background Systemic lupus erythematosus (SLE) is a life-threatening multisystem autoimmune disease that is more severe in patients of African ancestry and children, yet pediatric SLE on the African continent has been understudied. This study describes a cohort of pediatric SLE (PULSE) patients in South Africa. Methods Patients with a diagnosis of SLE (1997 American College of Rheumatology criteria) diagnosed prior to age 19 years in Cape Town, South Africa, were enrolled in this cross-sectional study from September 2013 to December 2014. Information on clinical and serological characteristics was extracted from medical records. Results were compared to a well-described North American pediatric SLE cohort. Results Seventy-two South African patients were enrolled in the study; mean age 11.5 years; 82% were girls. The racial distribution was 68% Coloured, 24% Black, 5% White and 3% Asian/Indian. Most patients presented with severe lupus nephritis documented by renal biopsy (61%). Of patients with lupus nephritis, 63% presented with International Society of Nephrology/Renal Pathology Society class III or IV. Patients in the PULSE cohort were more likely to be treated with cyclophosphamide, methotrexate and azathioprine. The PULSE cohort had high disease activity at diagnosis (mean Systemic Lupus Erythematosus Disease Activity Index-2K (SLEDAI-2K) 20.6). The SLEDAI-2K at enrolment in the PULSE cohort (5.0) did not differ from the North American pediatric SLE cohort (4.8). Sixty-three per cent of the PULSE cohort had end organ damage with Systemic Lupus International Collaborating Clinics Damage Index (SLICC-DI) score &gt;0 (mean SLICC-DI 1.9), compared to 23% in a previously reported US cohort. Within the PULSE cohort, nine (13%) developed end-stage renal disease with six (8%) requiring transplant, strikingly higher than North American peers (transplant rate &lt;1%). Conclusions The PULSE cohort had highly active multiorgan disease at diagnosis and significant disease damage at enrolment in the South African registry. South African patients have severe lupus nephritis and poor renal outcomes compared to North American peers. Our study revealed a severe disease phenotype in the PULSE cohort resulting in poor outcomes in this high-risk population.","container-title":"Lupus","DOI":"10.1177/0961203316660625","ISSN":"1477-0962","issue":"2","journalAbbreviation":"Lupus","language":"eng","note":"PMID: 27488473\nPMCID: PMC5290292","page":"186-194","source":"PubMed","title":"Severe disease presentation and poor outcomes among pediatric systemic lupus erythematosus patients in South Africa","volume":"26","author":[{"family":"Lewandowski","given":"L. B."},{"family":"Schanberg","given":"L. E."},{"family":"Thielman","given":"N."},{"family":"Phuti","given":"A."},{"family":"Kalla","given":"A. A."},{"family":"Okpechi","given":"I."},{"family":"Nourse","given":"P."},{"family":"Gajjar","given":"P."},{"family":"Faller","given":"G."},{"family":"Ambaram","given":"P."},{"family":"Reuter","given":"H."},{"family":"Spittal","given":"G."},{"family":"Scott","given":"C."}],"issued":{"date-parts":[["2017",2]]}}}],"schema":"https://github.com/citation-style-language/schema/raw/master/csl-citation.json"} </w:instrText>
      </w:r>
      <w:r w:rsidR="00B51614">
        <w:rPr>
          <w:rFonts w:eastAsia="Times New Roman" w:cstheme="minorHAnsi"/>
          <w:sz w:val="22"/>
          <w:szCs w:val="22"/>
          <w:lang w:eastAsia="en-GB"/>
        </w:rPr>
        <w:fldChar w:fldCharType="separate"/>
      </w:r>
      <w:r w:rsidR="00642970">
        <w:rPr>
          <w:rFonts w:eastAsia="Times New Roman" w:cstheme="minorHAnsi"/>
          <w:noProof/>
          <w:sz w:val="22"/>
          <w:szCs w:val="22"/>
          <w:lang w:eastAsia="en-GB"/>
        </w:rPr>
        <w:t>(72)</w:t>
      </w:r>
      <w:r w:rsidR="00B51614">
        <w:rPr>
          <w:rFonts w:eastAsia="Times New Roman" w:cstheme="minorHAnsi"/>
          <w:sz w:val="22"/>
          <w:szCs w:val="22"/>
          <w:lang w:eastAsia="en-GB"/>
        </w:rPr>
        <w:fldChar w:fldCharType="end"/>
      </w:r>
      <w:r w:rsidR="00B51614">
        <w:rPr>
          <w:rFonts w:eastAsia="Times New Roman" w:cstheme="minorHAnsi"/>
          <w:sz w:val="22"/>
          <w:szCs w:val="22"/>
          <w:lang w:eastAsia="en-GB"/>
        </w:rPr>
        <w:t xml:space="preserve">. </w:t>
      </w:r>
      <w:r w:rsidR="005D569D">
        <w:rPr>
          <w:rFonts w:eastAsia="Times New Roman" w:cstheme="minorHAnsi"/>
          <w:sz w:val="22"/>
          <w:szCs w:val="22"/>
          <w:lang w:eastAsia="en-GB"/>
        </w:rPr>
        <w:t xml:space="preserve">There are scattered reports of experimental treatments for refractory disease, including biologics and cell based therapies </w:t>
      </w:r>
      <w:r w:rsidR="005D569D">
        <w:rPr>
          <w:rFonts w:eastAsia="Times New Roman" w:cstheme="minorHAnsi"/>
          <w:sz w:val="22"/>
          <w:szCs w:val="22"/>
          <w:lang w:eastAsia="en-GB"/>
        </w:rPr>
        <w:fldChar w:fldCharType="begin"/>
      </w:r>
      <w:r w:rsidR="00642970">
        <w:rPr>
          <w:rFonts w:eastAsia="Times New Roman" w:cstheme="minorHAnsi"/>
          <w:sz w:val="22"/>
          <w:szCs w:val="22"/>
          <w:lang w:eastAsia="en-GB"/>
        </w:rPr>
        <w:instrText xml:space="preserve"> ADDIN ZOTERO_ITEM CSL_CITATION {"citationID":"9S9zCthM","properties":{"formattedCitation":"(68,79)","plainCitation":"(68,79)","noteIndex":0},"citationItems":[{"id":241,"uris":["http://zotero.org/users/local/lvPLY4Gu/items/HLPJFM3Q"],"itemData":{"id":241,"type":"article-journal","abstract":"Allogeneic mesenchymal stem cell transplantation (MSCT) has been shown to be clinically efficacious in the treatment of various autoimmune diseases. Here, we analyzed the role of allogeneic MSCT to induce renal remission in patients with active and refractory lupus nephritis (LN). This is an open-label and single-center clinical trial conducted from 2007 to 2010 in which 81 Chinese patients with active and refractory LN were enrolled. Allogeneic bone marrow- or umbilical cord-derived mesenchymal stem cells (MSCs) were administered intravenously at the dose of 1 million cells per kilogram of bodyweight. All patients were then monitored over the course of 12 months with periodic follow-up visits to evaluate renal remission, as well as possible adverse events. The primary outcome was complete renal remission (CR) and partial remission (PR) at each follow-up, as well as renal flares. The secondary outcome included renal activity score, total disease activity score, renal function, and serologic index. During the 12-month follow-up, the overall rate of survival was 95 % (77/81). Totally, 60.5 % (49/81) patients achieved renal remission during 12-month visit by MSCT. Eleven of 49 (22.4 %) patients experienced renal flare by the end of 12 months after a previous remission. Renal activity evaluated by British Isles Lupus Assessment Group (BILAG) scores significantly declined after MSCT (mean ± SD, from 4.48 ± 2.60 at baseline to 1.09 ± 0.83 at 12 months), in parallel with the obvious amelioration of renal function. Glomerular filtration rate (GFR) improved significantly 12 months after MSCT (mean ± SD, from 58.55 ± 19.16 to 69.51 ± 27.93 mL/min). Total disease activity evaluated by Systemic Lupus Erythematosus Disease Activity Index (SLEDAI) scores also decreased after treatment (mean ± SD, from 13.11 ± 4.20 at baseline to 5.48 ± 2.77 at 12 months). Additionally, the doses of concomitant prednisone and immunosuppressive drugs were tapered. No transplantation-related adverse event was observed. Allogeneic MSCT resulted in renal remission for active LN patients within 12-month visit, confirming its use as a potential therapy for refractory LN.","container-title":"Clinical Rheumatology","DOI":"10.1007/s10067-014-2754-4","ISSN":"1434-9949","issue":"11","journalAbbreviation":"Clin Rheumatol","language":"eng","note":"PMID: 25119864","page":"1611-1619","source":"PubMed","title":"Allogeneic mesenchymal stem cell transplantation for lupus nephritis patients refractory to conventional therapy","volume":"33","author":[{"family":"Gu","given":"Fei"},{"family":"Wang","given":"Dandan"},{"family":"Zhang","given":"Huayong"},{"family":"Feng","given":"Xuebing"},{"family":"Gilkeson","given":"Gary S."},{"family":"Shi","given":"Songtao"},{"family":"Sun","given":"Lingyun"}],"issued":{"date-parts":[["2014",11]]}}},{"id":266,"uris":["http://zotero.org/users/local/lvPLY4Gu/items/MUY6PGQZ"],"itemData":{"id":266,"type":"article-journal","abstract":"OBJECTIVE: To observe the efficacy and safety of telitacicept in refractory childhood-onset systemic lupus erythematosus (cSLE).\nMETHODS: A self-controlled before-after trial. Children with active SLE, aged 5-18 years, who cannot tolerate side effects of glucocorticoid, were enrolled in our study. Patients received subcutaneous injection of telitacicept weekly based on the standard treatment. SLE responder index-4 (SRI-4) was assessed before the first administration and at least 4 weeks after the first administration.\nRESULTS: Among the 15 cases of refractory cSLE, three were males (20%) and 12 were females (80%). The median age and weight were 13 years old and 52 kg, respectively. The median duration of disease was 30 months. 5-26 weeks (80 or 160 mg per week) after administration of telitacicept, 66.7% (n=10) reached SRI-4 response. 12 cases reduced their glucocorticoid intake from 40 mg/d to 17.5 mg/d. The urinary protein after treatment declined in 8 cases whose 24-h proteinuria was &gt;0.5 g at baseline. The urinary protein in two of the eight cases turned negative and plasma albumin in five of the eight cases rose to normal. In addition, three of these eight cases demonstrated varying degrees of improvement in renal impairment, whose estimated glomerular filtration rate (eGFR, ml/min·1.73 m2) rose from 17.4 to 26.6, 40.7 to 48.2, and 63.2 to 146.0, respectively. There were mild to moderate adverse events after treatment.\nCONCLUSION: Telitacicept combined with the standard treatment may significantly increase the SRI-4 response rate and reduce the glucocorticoid dosage in refractory cSLE, and also shown efficacy on lupus nephritis. The related adverse drug events were controllable.","container-title":"Lupus","DOI":"10.1177/09612033221097812","ISSN":"1477-0962","issue":"8","journalAbbreviation":"Lupus","language":"eng","note":"PMID: 35499216","page":"998-1006","source":"PubMed","title":"Safety and efficacy of telitacicept in refractory childhood-onset systemic lupus erythematosus: A self-controlled before-after trial","title-short":"Safety and efficacy of telitacicept in refractory childhood-onset systemic lupus erythematosus","volume":"31","author":[{"family":"Sun","given":"Li"},{"family":"Shen","given":"Qian"},{"family":"Gong","given":"Yinv"},{"family":"Li","given":"Yifan"},{"family":"Lv","given":"Qianying"},{"family":"Liu","given":"Haimei"},{"family":"Zhao","given":"Fei"},{"family":"Yu","given":"Haiguo"},{"family":"Qiu","given":"Lingzhi"},{"family":"Li","given":"Xiaozhong"},{"family":"He","given":"Xiaoliang"},{"family":"Chen","given":"Yuqing"},{"family":"Xu","given":"Zhiquan"},{"family":"Xu","given":"Hong"}],"issued":{"date-parts":[["2022",7]]}}}],"schema":"https://github.com/citation-style-language/schema/raw/master/csl-citation.json"} </w:instrText>
      </w:r>
      <w:r w:rsidR="005D569D">
        <w:rPr>
          <w:rFonts w:eastAsia="Times New Roman" w:cstheme="minorHAnsi"/>
          <w:sz w:val="22"/>
          <w:szCs w:val="22"/>
          <w:lang w:eastAsia="en-GB"/>
        </w:rPr>
        <w:fldChar w:fldCharType="separate"/>
      </w:r>
      <w:r w:rsidR="00642970">
        <w:rPr>
          <w:rFonts w:eastAsia="Times New Roman" w:cstheme="minorHAnsi"/>
          <w:noProof/>
          <w:sz w:val="22"/>
          <w:szCs w:val="22"/>
          <w:lang w:eastAsia="en-GB"/>
        </w:rPr>
        <w:t>(68,79)</w:t>
      </w:r>
      <w:r w:rsidR="005D569D">
        <w:rPr>
          <w:rFonts w:eastAsia="Times New Roman" w:cstheme="minorHAnsi"/>
          <w:sz w:val="22"/>
          <w:szCs w:val="22"/>
          <w:lang w:eastAsia="en-GB"/>
        </w:rPr>
        <w:fldChar w:fldCharType="end"/>
      </w:r>
      <w:r w:rsidR="005D569D">
        <w:rPr>
          <w:rFonts w:eastAsia="Times New Roman" w:cstheme="minorHAnsi"/>
          <w:sz w:val="22"/>
          <w:szCs w:val="22"/>
          <w:lang w:eastAsia="en-GB"/>
        </w:rPr>
        <w:t xml:space="preserve">, therefore clinical trials are worth considering in patients who are not achieving complete response. </w:t>
      </w:r>
    </w:p>
    <w:p w14:paraId="5B3A9CEE" w14:textId="77777777" w:rsidR="00257E1D" w:rsidRPr="00C00DD6" w:rsidRDefault="00257E1D" w:rsidP="003F494F">
      <w:pPr>
        <w:spacing w:line="360" w:lineRule="auto"/>
        <w:rPr>
          <w:rFonts w:cstheme="minorHAnsi"/>
          <w:b/>
          <w:bCs/>
          <w:sz w:val="22"/>
          <w:szCs w:val="22"/>
        </w:rPr>
      </w:pPr>
    </w:p>
    <w:p w14:paraId="1DCF4356" w14:textId="35D1C4A7" w:rsidR="00257E1D" w:rsidRPr="00C00DD6" w:rsidRDefault="001630D4" w:rsidP="003F494F">
      <w:pPr>
        <w:spacing w:line="360" w:lineRule="auto"/>
        <w:rPr>
          <w:rFonts w:cstheme="minorHAnsi"/>
          <w:b/>
          <w:bCs/>
          <w:sz w:val="22"/>
          <w:szCs w:val="22"/>
        </w:rPr>
      </w:pPr>
      <w:r>
        <w:rPr>
          <w:rFonts w:eastAsia="Arial" w:cstheme="minorHAnsi"/>
          <w:b/>
          <w:sz w:val="22"/>
          <w:szCs w:val="22"/>
          <w:u w:val="single"/>
          <w:lang w:val="en" w:eastAsia="en-GB"/>
        </w:rPr>
        <w:t xml:space="preserve">GN subtype 5: </w:t>
      </w:r>
      <w:r w:rsidRPr="00C00DD6">
        <w:rPr>
          <w:rFonts w:cstheme="minorHAnsi"/>
          <w:b/>
          <w:bCs/>
          <w:sz w:val="22"/>
          <w:szCs w:val="22"/>
          <w:u w:val="single"/>
        </w:rPr>
        <w:t>ANCA associated vasculitis</w:t>
      </w:r>
      <w:r w:rsidR="007E216E">
        <w:rPr>
          <w:rFonts w:cstheme="minorHAnsi"/>
          <w:b/>
          <w:bCs/>
          <w:sz w:val="22"/>
          <w:szCs w:val="22"/>
          <w:u w:val="single"/>
        </w:rPr>
        <w:t xml:space="preserve"> (AAV)</w:t>
      </w:r>
    </w:p>
    <w:p w14:paraId="7F01769B" w14:textId="77777777" w:rsidR="003D5CF4" w:rsidRPr="00C00DD6" w:rsidRDefault="003D5CF4" w:rsidP="003F494F">
      <w:pPr>
        <w:spacing w:line="360" w:lineRule="auto"/>
        <w:rPr>
          <w:rFonts w:cstheme="minorHAnsi"/>
          <w:b/>
          <w:bCs/>
          <w:sz w:val="22"/>
          <w:szCs w:val="22"/>
        </w:rPr>
      </w:pPr>
    </w:p>
    <w:p w14:paraId="26756B1E" w14:textId="64D6E7F9" w:rsidR="003D5CF4" w:rsidRDefault="001630D4" w:rsidP="003F494F">
      <w:pPr>
        <w:spacing w:line="360" w:lineRule="auto"/>
        <w:rPr>
          <w:rFonts w:cstheme="minorHAnsi"/>
          <w:b/>
          <w:bCs/>
          <w:sz w:val="22"/>
          <w:szCs w:val="22"/>
        </w:rPr>
      </w:pPr>
      <w:r w:rsidRPr="00C00DD6">
        <w:rPr>
          <w:rFonts w:cstheme="minorHAnsi"/>
          <w:b/>
          <w:bCs/>
          <w:sz w:val="22"/>
          <w:szCs w:val="22"/>
        </w:rPr>
        <w:t xml:space="preserve">Definitions </w:t>
      </w:r>
    </w:p>
    <w:p w14:paraId="6EBD31D6" w14:textId="7C2F7E72" w:rsidR="007E216E" w:rsidRPr="007E216E" w:rsidRDefault="001630D4" w:rsidP="003F494F">
      <w:pPr>
        <w:spacing w:before="240" w:after="240" w:line="360" w:lineRule="auto"/>
        <w:jc w:val="both"/>
        <w:rPr>
          <w:rFonts w:eastAsia="Arial" w:cstheme="minorHAnsi"/>
          <w:sz w:val="22"/>
          <w:szCs w:val="22"/>
          <w:lang w:val="en" w:eastAsia="en-GB"/>
        </w:rPr>
      </w:pPr>
      <w:r>
        <w:rPr>
          <w:rFonts w:eastAsia="Arial" w:cstheme="minorHAnsi"/>
          <w:sz w:val="22"/>
          <w:szCs w:val="22"/>
          <w:lang w:val="en" w:eastAsia="en-GB"/>
        </w:rPr>
        <w:t>To</w:t>
      </w:r>
      <w:r w:rsidRPr="00117750">
        <w:rPr>
          <w:rFonts w:eastAsia="Arial" w:cstheme="minorHAnsi"/>
          <w:sz w:val="22"/>
          <w:szCs w:val="22"/>
          <w:lang w:val="en" w:eastAsia="en-GB"/>
        </w:rPr>
        <w:t xml:space="preserve"> align </w:t>
      </w:r>
      <w:r>
        <w:rPr>
          <w:rFonts w:eastAsia="Arial" w:cstheme="minorHAnsi"/>
          <w:sz w:val="22"/>
          <w:szCs w:val="22"/>
          <w:lang w:val="en" w:eastAsia="en-GB"/>
        </w:rPr>
        <w:t>terminology</w:t>
      </w:r>
      <w:r w:rsidRPr="00117750">
        <w:rPr>
          <w:rFonts w:eastAsia="Arial" w:cstheme="minorHAnsi"/>
          <w:sz w:val="22"/>
          <w:szCs w:val="22"/>
          <w:lang w:val="en" w:eastAsia="en-GB"/>
        </w:rPr>
        <w:t>, we suggest that the following definitions for</w:t>
      </w:r>
      <w:r>
        <w:rPr>
          <w:rFonts w:eastAsia="Arial" w:cstheme="minorHAnsi"/>
          <w:sz w:val="22"/>
          <w:szCs w:val="22"/>
          <w:lang w:val="en" w:eastAsia="en-GB"/>
        </w:rPr>
        <w:t xml:space="preserve"> AAV </w:t>
      </w:r>
      <w:r w:rsidRPr="00117750">
        <w:rPr>
          <w:rFonts w:eastAsia="Arial" w:cstheme="minorHAnsi"/>
          <w:sz w:val="22"/>
          <w:szCs w:val="22"/>
          <w:lang w:val="en" w:eastAsia="en-GB"/>
        </w:rPr>
        <w:t xml:space="preserve">are </w:t>
      </w:r>
      <w:r>
        <w:rPr>
          <w:rFonts w:eastAsia="Arial" w:cstheme="minorHAnsi"/>
          <w:sz w:val="22"/>
          <w:szCs w:val="22"/>
          <w:lang w:val="en" w:eastAsia="en-GB"/>
        </w:rPr>
        <w:t>used.</w:t>
      </w:r>
      <w:r w:rsidRPr="00601B86">
        <w:rPr>
          <w:rFonts w:eastAsia="Arial" w:cstheme="minorHAnsi"/>
          <w:sz w:val="22"/>
          <w:szCs w:val="22"/>
          <w:lang w:val="en" w:eastAsia="en-GB"/>
        </w:rPr>
        <w:t xml:space="preserve"> </w:t>
      </w:r>
      <w:r w:rsidRPr="00117750">
        <w:rPr>
          <w:rFonts w:eastAsia="Arial" w:cstheme="minorHAnsi"/>
          <w:sz w:val="22"/>
          <w:szCs w:val="22"/>
          <w:lang w:val="en" w:eastAsia="en-GB"/>
        </w:rPr>
        <w:t xml:space="preserve">Definitions are taken from the </w:t>
      </w:r>
      <w:r>
        <w:rPr>
          <w:rFonts w:eastAsia="Arial" w:cstheme="minorHAnsi"/>
          <w:sz w:val="22"/>
          <w:szCs w:val="22"/>
          <w:lang w:val="en" w:eastAsia="en-GB"/>
        </w:rPr>
        <w:t>KDIGO</w:t>
      </w:r>
      <w:r w:rsidRPr="00117750">
        <w:rPr>
          <w:rFonts w:eastAsia="Arial" w:cstheme="minorHAnsi"/>
          <w:sz w:val="22"/>
          <w:szCs w:val="22"/>
          <w:lang w:val="en" w:eastAsia="en-GB"/>
        </w:rPr>
        <w:t xml:space="preserve"> guidelines</w:t>
      </w:r>
      <w:r>
        <w:rPr>
          <w:rFonts w:eastAsia="Arial" w:cstheme="minorHAnsi"/>
          <w:sz w:val="22"/>
          <w:szCs w:val="22"/>
          <w:lang w:val="en" w:eastAsia="en-GB"/>
        </w:rPr>
        <w:t xml:space="preserve"> </w:t>
      </w:r>
      <w:r w:rsidRPr="00117750">
        <w:rPr>
          <w:rFonts w:eastAsia="Arial" w:cstheme="minorHAnsi"/>
          <w:sz w:val="22"/>
          <w:szCs w:val="22"/>
          <w:lang w:val="en" w:eastAsia="en-GB"/>
        </w:rPr>
        <w:t xml:space="preserve">with minor modifications </w:t>
      </w:r>
      <w:r>
        <w:rPr>
          <w:rFonts w:eastAsia="Arial" w:cstheme="minorHAnsi"/>
          <w:sz w:val="22"/>
          <w:szCs w:val="22"/>
          <w:lang w:val="en" w:eastAsia="en-GB"/>
        </w:rPr>
        <w:t xml:space="preserve">by the GDG </w:t>
      </w:r>
      <w:r w:rsidRPr="00117750">
        <w:rPr>
          <w:rFonts w:eastAsia="Arial" w:cstheme="minorHAnsi"/>
          <w:sz w:val="22"/>
          <w:szCs w:val="22"/>
          <w:lang w:val="en" w:eastAsia="en-GB"/>
        </w:rPr>
        <w:t>for standard UK practice</w:t>
      </w:r>
      <w:r w:rsidR="00A13B72">
        <w:rPr>
          <w:rFonts w:eastAsia="Arial" w:cstheme="minorHAnsi"/>
          <w:sz w:val="22"/>
          <w:szCs w:val="22"/>
          <w:lang w:val="en" w:eastAsia="en-GB"/>
        </w:rPr>
        <w:t xml:space="preserve"> </w:t>
      </w:r>
      <w:r w:rsidR="00A13B72">
        <w:rPr>
          <w:rFonts w:eastAsia="Arial" w:cstheme="minorHAnsi"/>
          <w:sz w:val="22"/>
          <w:szCs w:val="22"/>
          <w:lang w:val="en" w:eastAsia="en-GB"/>
        </w:rPr>
        <w:fldChar w:fldCharType="begin"/>
      </w:r>
      <w:r w:rsidR="00642970">
        <w:rPr>
          <w:rFonts w:eastAsia="Arial" w:cstheme="minorHAnsi"/>
          <w:sz w:val="22"/>
          <w:szCs w:val="22"/>
          <w:lang w:val="en" w:eastAsia="en-GB"/>
        </w:rPr>
        <w:instrText xml:space="preserve"> ADDIN ZOTERO_ITEM CSL_CITATION {"citationID":"Z5G3oDKW","properties":{"formattedCitation":"(7)","plainCitation":"(7)","noteIndex":0},"citationItems":[{"id":16,"uris":["http://zotero.org/users/local/lvPLY4Gu/items/DTPHXXPQ"],"itemData":{"id":16,"type":"article-journal","container-title":"Kidney International","DOI":"10.1016/j.kint.2023.10.008","ISSN":"1523-1755","issue":"3S","journalAbbreviation":"Kidney Int","language":"eng","note":"PMID: 38388102","page":"S71-S116","source":"PubMed","title":"KDIGO 2024 Clinical Practice Guideline for the Management of Antineutrophil Cytoplasmic Antibody (ANCA)-Associated Vasculitis","volume":"105","author":[{"literal":"Kidney Disease: Improving Global Outcomes (KDIGO) ANCA Vasculitis Work Group"}],"issued":{"date-parts":[["2024",3]]}}}],"schema":"https://github.com/citation-style-language/schema/raw/master/csl-citation.json"} </w:instrText>
      </w:r>
      <w:r w:rsidR="00A13B72">
        <w:rPr>
          <w:rFonts w:eastAsia="Arial" w:cstheme="minorHAnsi"/>
          <w:sz w:val="22"/>
          <w:szCs w:val="22"/>
          <w:lang w:val="en" w:eastAsia="en-GB"/>
        </w:rPr>
        <w:fldChar w:fldCharType="separate"/>
      </w:r>
      <w:r w:rsidR="00642970">
        <w:rPr>
          <w:rFonts w:eastAsia="Arial" w:cstheme="minorHAnsi"/>
          <w:noProof/>
          <w:sz w:val="22"/>
          <w:szCs w:val="22"/>
          <w:lang w:val="en" w:eastAsia="en-GB"/>
        </w:rPr>
        <w:t>(7)</w:t>
      </w:r>
      <w:r w:rsidR="00A13B72">
        <w:rPr>
          <w:rFonts w:eastAsia="Arial" w:cstheme="minorHAnsi"/>
          <w:sz w:val="22"/>
          <w:szCs w:val="22"/>
          <w:lang w:val="en" w:eastAsia="en-GB"/>
        </w:rPr>
        <w:fldChar w:fldCharType="end"/>
      </w:r>
      <w:r w:rsidRPr="00117750">
        <w:rPr>
          <w:rFonts w:eastAsia="Arial" w:cstheme="minorHAnsi"/>
          <w:sz w:val="22"/>
          <w:szCs w:val="22"/>
          <w:lang w:val="en" w:eastAsia="en-GB"/>
        </w:rPr>
        <w:t xml:space="preserve">.  </w:t>
      </w:r>
    </w:p>
    <w:p w14:paraId="386629BC" w14:textId="77777777" w:rsidR="003C0309" w:rsidRPr="00C00DD6" w:rsidRDefault="003C0309" w:rsidP="003F494F">
      <w:pPr>
        <w:spacing w:line="360" w:lineRule="auto"/>
        <w:rPr>
          <w:rFonts w:cstheme="minorHAnsi"/>
          <w:b/>
          <w:bCs/>
          <w:sz w:val="22"/>
          <w:szCs w:val="22"/>
        </w:rPr>
      </w:pPr>
    </w:p>
    <w:tbl>
      <w:tblPr>
        <w:tblStyle w:val="TableGrid"/>
        <w:tblW w:w="10485" w:type="dxa"/>
        <w:tblLook w:val="04A0" w:firstRow="1" w:lastRow="0" w:firstColumn="1" w:lastColumn="0" w:noHBand="0" w:noVBand="1"/>
      </w:tblPr>
      <w:tblGrid>
        <w:gridCol w:w="846"/>
        <w:gridCol w:w="9639"/>
      </w:tblGrid>
      <w:tr w:rsidR="00837E18" w14:paraId="435D0760" w14:textId="77777777" w:rsidTr="00C00DD6">
        <w:tc>
          <w:tcPr>
            <w:tcW w:w="10485" w:type="dxa"/>
            <w:gridSpan w:val="2"/>
          </w:tcPr>
          <w:p w14:paraId="7BBAABC8" w14:textId="77777777" w:rsidR="003D5CF4" w:rsidRPr="00C00DD6" w:rsidRDefault="001630D4" w:rsidP="003F494F">
            <w:pPr>
              <w:spacing w:before="240" w:line="360" w:lineRule="auto"/>
              <w:rPr>
                <w:rFonts w:eastAsia="Arial" w:cstheme="minorHAnsi"/>
                <w:b/>
                <w:sz w:val="22"/>
                <w:szCs w:val="22"/>
                <w:lang w:val="en" w:eastAsia="en-GB"/>
              </w:rPr>
            </w:pPr>
            <w:r w:rsidRPr="00C00DD6">
              <w:rPr>
                <w:rFonts w:eastAsia="Arial" w:cstheme="minorHAnsi"/>
                <w:b/>
                <w:sz w:val="22"/>
                <w:szCs w:val="22"/>
                <w:lang w:val="en" w:eastAsia="en-GB"/>
              </w:rPr>
              <w:lastRenderedPageBreak/>
              <w:t xml:space="preserve">Diagnosis </w:t>
            </w:r>
          </w:p>
        </w:tc>
      </w:tr>
      <w:tr w:rsidR="00837E18" w14:paraId="74A8102D" w14:textId="77777777" w:rsidTr="00C00DD6">
        <w:tc>
          <w:tcPr>
            <w:tcW w:w="846" w:type="dxa"/>
          </w:tcPr>
          <w:p w14:paraId="62F0C11E" w14:textId="77777777" w:rsidR="003D5CF4" w:rsidRPr="00C00DD6" w:rsidRDefault="001630D4" w:rsidP="003F494F">
            <w:pPr>
              <w:spacing w:before="240" w:line="360" w:lineRule="auto"/>
              <w:jc w:val="center"/>
              <w:rPr>
                <w:rFonts w:eastAsia="Arial" w:cstheme="minorHAnsi"/>
                <w:sz w:val="22"/>
                <w:szCs w:val="22"/>
                <w:lang w:val="en" w:eastAsia="en-GB"/>
              </w:rPr>
            </w:pPr>
            <w:r w:rsidRPr="00C00DD6">
              <w:rPr>
                <w:rFonts w:eastAsia="Arial" w:cstheme="minorHAnsi"/>
                <w:sz w:val="22"/>
                <w:szCs w:val="22"/>
                <w:lang w:val="en" w:eastAsia="en-GB"/>
              </w:rPr>
              <w:t>a</w:t>
            </w:r>
          </w:p>
        </w:tc>
        <w:tc>
          <w:tcPr>
            <w:tcW w:w="9639" w:type="dxa"/>
          </w:tcPr>
          <w:p w14:paraId="492D9488" w14:textId="731A570F" w:rsidR="003D5CF4" w:rsidRPr="00C00DD6" w:rsidRDefault="001630D4" w:rsidP="003F494F">
            <w:pPr>
              <w:spacing w:before="240" w:line="360" w:lineRule="auto"/>
              <w:jc w:val="both"/>
              <w:rPr>
                <w:rFonts w:eastAsia="Arial" w:cstheme="minorHAnsi"/>
                <w:sz w:val="22"/>
                <w:szCs w:val="22"/>
                <w:lang w:val="en" w:eastAsia="en-GB"/>
              </w:rPr>
            </w:pPr>
            <w:r>
              <w:rPr>
                <w:rFonts w:eastAsiaTheme="minorEastAsia" w:cstheme="minorHAnsi"/>
                <w:color w:val="000000" w:themeColor="text1"/>
                <w:kern w:val="24"/>
                <w:sz w:val="22"/>
                <w:szCs w:val="22"/>
              </w:rPr>
              <w:t>A</w:t>
            </w:r>
            <w:r w:rsidRPr="00C00DD6">
              <w:rPr>
                <w:rFonts w:eastAsiaTheme="minorEastAsia" w:cstheme="minorHAnsi"/>
                <w:color w:val="000000" w:themeColor="text1"/>
                <w:kern w:val="24"/>
                <w:sz w:val="22"/>
                <w:szCs w:val="22"/>
              </w:rPr>
              <w:t xml:space="preserve"> diagnosis of AAV </w:t>
            </w:r>
            <w:r w:rsidRPr="00C00DD6">
              <w:rPr>
                <w:rFonts w:cstheme="minorHAnsi"/>
                <w:sz w:val="22"/>
                <w:szCs w:val="22"/>
              </w:rPr>
              <w:t>is made in the case of a clinical presentation compatible with small-vessel vasculitis in combination with positive myeloperoxidase (MPO)- or proteinase 3 (PR3)-ANCA serology</w:t>
            </w:r>
            <w:r w:rsidR="00AD454E">
              <w:rPr>
                <w:rFonts w:cstheme="minorHAnsi"/>
                <w:sz w:val="22"/>
                <w:szCs w:val="22"/>
              </w:rPr>
              <w:t xml:space="preserve">. Prompt, </w:t>
            </w:r>
            <w:proofErr w:type="spellStart"/>
            <w:r w:rsidR="00AD454E">
              <w:rPr>
                <w:rFonts w:cstheme="minorHAnsi"/>
                <w:sz w:val="22"/>
                <w:szCs w:val="22"/>
              </w:rPr>
              <w:t>intenstive</w:t>
            </w:r>
            <w:proofErr w:type="spellEnd"/>
            <w:r w:rsidR="00AD454E">
              <w:rPr>
                <w:rFonts w:cstheme="minorHAnsi"/>
                <w:sz w:val="22"/>
                <w:szCs w:val="22"/>
              </w:rPr>
              <w:t xml:space="preserve"> treatment is required in this condition therefore</w:t>
            </w:r>
            <w:r w:rsidRPr="00C00DD6">
              <w:rPr>
                <w:rFonts w:cstheme="minorHAnsi"/>
                <w:sz w:val="22"/>
                <w:szCs w:val="22"/>
              </w:rPr>
              <w:t xml:space="preserve"> waiting for a kidney biopsy to be performed or reported should not delay starting immunosuppressive therapy, especially in patients who are rapidly deteriorating</w:t>
            </w:r>
            <w:r w:rsidR="00AD454E">
              <w:rPr>
                <w:rFonts w:cstheme="minorHAnsi"/>
                <w:sz w:val="22"/>
                <w:szCs w:val="22"/>
              </w:rPr>
              <w:t>.</w:t>
            </w:r>
          </w:p>
        </w:tc>
      </w:tr>
      <w:tr w:rsidR="00837E18" w14:paraId="793D8265" w14:textId="77777777" w:rsidTr="00C00DD6">
        <w:tc>
          <w:tcPr>
            <w:tcW w:w="846" w:type="dxa"/>
          </w:tcPr>
          <w:p w14:paraId="3E8F0B78" w14:textId="48F0421C" w:rsidR="003D5CF4" w:rsidRPr="00C00DD6" w:rsidRDefault="003F494F" w:rsidP="003F494F">
            <w:pPr>
              <w:spacing w:before="240" w:line="360" w:lineRule="auto"/>
              <w:jc w:val="center"/>
              <w:rPr>
                <w:rFonts w:eastAsia="Arial" w:cstheme="minorHAnsi"/>
                <w:sz w:val="22"/>
                <w:szCs w:val="22"/>
                <w:lang w:val="en" w:eastAsia="en-GB"/>
              </w:rPr>
            </w:pPr>
            <w:r>
              <w:rPr>
                <w:rFonts w:eastAsia="Arial" w:cstheme="minorHAnsi"/>
                <w:sz w:val="22"/>
                <w:szCs w:val="22"/>
                <w:lang w:val="en" w:eastAsia="en-GB"/>
              </w:rPr>
              <w:t>b</w:t>
            </w:r>
          </w:p>
        </w:tc>
        <w:tc>
          <w:tcPr>
            <w:tcW w:w="9639" w:type="dxa"/>
          </w:tcPr>
          <w:p w14:paraId="10B7E0F3" w14:textId="548ADCAC" w:rsidR="003D5CF4" w:rsidRPr="00C00DD6" w:rsidRDefault="001630D4" w:rsidP="003F494F">
            <w:pPr>
              <w:spacing w:before="240" w:line="360" w:lineRule="auto"/>
              <w:jc w:val="both"/>
              <w:rPr>
                <w:rFonts w:eastAsia="Arial" w:cstheme="minorHAnsi"/>
                <w:sz w:val="22"/>
                <w:szCs w:val="22"/>
                <w:lang w:val="en" w:eastAsia="en-GB"/>
              </w:rPr>
            </w:pPr>
            <w:r w:rsidRPr="00C00DD6">
              <w:rPr>
                <w:rFonts w:cstheme="minorHAnsi"/>
                <w:sz w:val="22"/>
                <w:szCs w:val="22"/>
              </w:rPr>
              <w:t>The persistence of ANCA positivity, an increase in ANCA levels, or a change in ANCA from negative to positive may be predictive of future disease relapse and should be considered when making treatment decisions</w:t>
            </w:r>
            <w:r w:rsidR="003938D5">
              <w:rPr>
                <w:rFonts w:cstheme="minorHAnsi"/>
                <w:sz w:val="22"/>
                <w:szCs w:val="22"/>
              </w:rPr>
              <w:t xml:space="preserve">, however the dosing of </w:t>
            </w:r>
            <w:r w:rsidR="003938D5" w:rsidRPr="00C00DD6">
              <w:rPr>
                <w:rFonts w:cstheme="minorHAnsi"/>
                <w:color w:val="000000"/>
                <w:sz w:val="22"/>
                <w:szCs w:val="22"/>
              </w:rPr>
              <w:t xml:space="preserve">immunosuppressive therapy </w:t>
            </w:r>
            <w:r w:rsidR="003938D5">
              <w:rPr>
                <w:rFonts w:cstheme="minorHAnsi"/>
                <w:color w:val="000000"/>
                <w:sz w:val="22"/>
                <w:szCs w:val="22"/>
              </w:rPr>
              <w:t xml:space="preserve">should not be </w:t>
            </w:r>
            <w:r w:rsidR="003938D5" w:rsidRPr="00C00DD6">
              <w:rPr>
                <w:rFonts w:cstheme="minorHAnsi"/>
                <w:color w:val="000000"/>
                <w:sz w:val="22"/>
                <w:szCs w:val="22"/>
              </w:rPr>
              <w:t xml:space="preserve">based on ANCA </w:t>
            </w:r>
            <w:proofErr w:type="spellStart"/>
            <w:r w:rsidR="003938D5" w:rsidRPr="00C00DD6">
              <w:rPr>
                <w:rFonts w:cstheme="minorHAnsi"/>
                <w:color w:val="000000"/>
                <w:sz w:val="22"/>
                <w:szCs w:val="22"/>
              </w:rPr>
              <w:t>titer</w:t>
            </w:r>
            <w:proofErr w:type="spellEnd"/>
            <w:r w:rsidR="003938D5" w:rsidRPr="00C00DD6">
              <w:rPr>
                <w:rFonts w:cstheme="minorHAnsi"/>
                <w:color w:val="000000"/>
                <w:sz w:val="22"/>
                <w:szCs w:val="22"/>
              </w:rPr>
              <w:t xml:space="preserve"> results alone</w:t>
            </w:r>
            <w:r w:rsidR="00AD454E">
              <w:rPr>
                <w:rFonts w:cstheme="minorHAnsi"/>
                <w:color w:val="000000"/>
                <w:sz w:val="22"/>
                <w:szCs w:val="22"/>
              </w:rPr>
              <w:t>.</w:t>
            </w:r>
          </w:p>
        </w:tc>
      </w:tr>
    </w:tbl>
    <w:p w14:paraId="7E51B555" w14:textId="77777777" w:rsidR="003D5CF4" w:rsidRPr="00C00DD6" w:rsidRDefault="003D5CF4" w:rsidP="003F494F">
      <w:pPr>
        <w:spacing w:line="360" w:lineRule="auto"/>
        <w:rPr>
          <w:rFonts w:cstheme="minorHAnsi"/>
          <w:b/>
          <w:bCs/>
          <w:sz w:val="22"/>
          <w:szCs w:val="22"/>
        </w:rPr>
      </w:pPr>
    </w:p>
    <w:p w14:paraId="511A5EFB" w14:textId="617682CC" w:rsidR="003D5CF4" w:rsidRPr="00C00DD6" w:rsidRDefault="001630D4" w:rsidP="003F494F">
      <w:pPr>
        <w:spacing w:line="360" w:lineRule="auto"/>
        <w:rPr>
          <w:rFonts w:cstheme="minorHAnsi"/>
          <w:b/>
          <w:bCs/>
          <w:sz w:val="22"/>
          <w:szCs w:val="22"/>
          <w:lang w:val="en" w:eastAsia="en-GB"/>
        </w:rPr>
      </w:pPr>
      <w:r w:rsidRPr="00C00DD6">
        <w:rPr>
          <w:rFonts w:cstheme="minorHAnsi"/>
          <w:b/>
          <w:bCs/>
          <w:sz w:val="22"/>
          <w:szCs w:val="22"/>
          <w:lang w:val="en" w:eastAsia="en-GB"/>
        </w:rPr>
        <w:t xml:space="preserve">Management of ANCA associated vasculitis </w:t>
      </w:r>
    </w:p>
    <w:p w14:paraId="2905538D" w14:textId="77777777" w:rsidR="003D5CF4" w:rsidRPr="00C00DD6" w:rsidRDefault="003D5CF4" w:rsidP="003F494F">
      <w:pPr>
        <w:spacing w:line="360" w:lineRule="auto"/>
        <w:rPr>
          <w:rFonts w:cstheme="minorHAnsi"/>
          <w:b/>
          <w:bCs/>
          <w:sz w:val="22"/>
          <w:szCs w:val="22"/>
        </w:rPr>
      </w:pPr>
    </w:p>
    <w:tbl>
      <w:tblPr>
        <w:tblStyle w:val="TableGrid"/>
        <w:tblW w:w="10490" w:type="dxa"/>
        <w:tblInd w:w="-5" w:type="dxa"/>
        <w:tblLook w:val="04A0" w:firstRow="1" w:lastRow="0" w:firstColumn="1" w:lastColumn="0" w:noHBand="0" w:noVBand="1"/>
      </w:tblPr>
      <w:tblGrid>
        <w:gridCol w:w="965"/>
        <w:gridCol w:w="7682"/>
        <w:gridCol w:w="1843"/>
      </w:tblGrid>
      <w:tr w:rsidR="00837E18" w14:paraId="5B089A3C" w14:textId="77777777" w:rsidTr="00C00DD6">
        <w:tc>
          <w:tcPr>
            <w:tcW w:w="965" w:type="dxa"/>
          </w:tcPr>
          <w:p w14:paraId="2D2460EC" w14:textId="77777777" w:rsidR="003C0309" w:rsidRPr="007E216E" w:rsidRDefault="001630D4" w:rsidP="003F494F">
            <w:pPr>
              <w:spacing w:line="360" w:lineRule="auto"/>
              <w:rPr>
                <w:rFonts w:cstheme="minorHAnsi"/>
                <w:b/>
                <w:sz w:val="22"/>
                <w:szCs w:val="22"/>
              </w:rPr>
            </w:pPr>
            <w:r w:rsidRPr="007E216E">
              <w:rPr>
                <w:rFonts w:cstheme="minorHAnsi"/>
                <w:b/>
                <w:sz w:val="22"/>
                <w:szCs w:val="22"/>
              </w:rPr>
              <w:t>Number</w:t>
            </w:r>
          </w:p>
        </w:tc>
        <w:tc>
          <w:tcPr>
            <w:tcW w:w="7682" w:type="dxa"/>
          </w:tcPr>
          <w:p w14:paraId="67A6FC5F" w14:textId="77777777" w:rsidR="003C0309" w:rsidRPr="007E216E" w:rsidRDefault="001630D4" w:rsidP="003F494F">
            <w:pPr>
              <w:spacing w:line="360" w:lineRule="auto"/>
              <w:rPr>
                <w:rFonts w:cstheme="minorHAnsi"/>
                <w:b/>
                <w:sz w:val="22"/>
                <w:szCs w:val="22"/>
              </w:rPr>
            </w:pPr>
            <w:r w:rsidRPr="007E216E">
              <w:rPr>
                <w:rFonts w:cstheme="minorHAnsi"/>
                <w:b/>
                <w:sz w:val="22"/>
                <w:szCs w:val="22"/>
              </w:rPr>
              <w:t>RECOMMENTATION</w:t>
            </w:r>
          </w:p>
        </w:tc>
        <w:tc>
          <w:tcPr>
            <w:tcW w:w="1843" w:type="dxa"/>
          </w:tcPr>
          <w:p w14:paraId="0C2CC306" w14:textId="77777777" w:rsidR="003C0309" w:rsidRPr="007E216E" w:rsidRDefault="001630D4" w:rsidP="003F494F">
            <w:pPr>
              <w:spacing w:line="360" w:lineRule="auto"/>
              <w:rPr>
                <w:rFonts w:cstheme="minorHAnsi"/>
                <w:b/>
                <w:sz w:val="22"/>
                <w:szCs w:val="22"/>
              </w:rPr>
            </w:pPr>
            <w:r w:rsidRPr="007E216E">
              <w:rPr>
                <w:rFonts w:cstheme="minorHAnsi"/>
                <w:b/>
                <w:sz w:val="22"/>
                <w:szCs w:val="22"/>
              </w:rPr>
              <w:t xml:space="preserve">Grade </w:t>
            </w:r>
          </w:p>
        </w:tc>
      </w:tr>
      <w:tr w:rsidR="00837E18" w14:paraId="5001F639" w14:textId="77777777" w:rsidTr="00C00DD6">
        <w:tc>
          <w:tcPr>
            <w:tcW w:w="965" w:type="dxa"/>
          </w:tcPr>
          <w:p w14:paraId="5709AEBD" w14:textId="48FDD613" w:rsidR="003C0309" w:rsidRPr="007E216E" w:rsidRDefault="001630D4" w:rsidP="003F494F">
            <w:pPr>
              <w:spacing w:line="360" w:lineRule="auto"/>
              <w:rPr>
                <w:rFonts w:cstheme="minorHAnsi"/>
                <w:sz w:val="22"/>
                <w:szCs w:val="22"/>
              </w:rPr>
            </w:pPr>
            <w:r w:rsidRPr="007E216E">
              <w:rPr>
                <w:rFonts w:cstheme="minorHAnsi"/>
                <w:sz w:val="22"/>
                <w:szCs w:val="22"/>
              </w:rPr>
              <w:t>ANCA 5.1</w:t>
            </w:r>
          </w:p>
        </w:tc>
        <w:tc>
          <w:tcPr>
            <w:tcW w:w="7682" w:type="dxa"/>
          </w:tcPr>
          <w:p w14:paraId="631720E5" w14:textId="41C61416" w:rsidR="003C0309" w:rsidRPr="007E216E" w:rsidRDefault="001630D4" w:rsidP="003F494F">
            <w:pPr>
              <w:pStyle w:val="NormalWeb"/>
              <w:spacing w:line="360" w:lineRule="auto"/>
              <w:jc w:val="both"/>
              <w:rPr>
                <w:rFonts w:asciiTheme="minorHAnsi" w:hAnsiTheme="minorHAnsi" w:cstheme="minorHAnsi"/>
                <w:sz w:val="22"/>
                <w:szCs w:val="22"/>
              </w:rPr>
            </w:pPr>
            <w:r w:rsidRPr="007E216E">
              <w:rPr>
                <w:rFonts w:asciiTheme="minorHAnsi" w:hAnsiTheme="minorHAnsi" w:cstheme="minorHAnsi"/>
                <w:sz w:val="22"/>
                <w:szCs w:val="22"/>
                <w:u w:val="single"/>
              </w:rPr>
              <w:t>We recommend</w:t>
            </w:r>
            <w:r w:rsidRPr="007E216E">
              <w:rPr>
                <w:rFonts w:asciiTheme="minorHAnsi" w:hAnsiTheme="minorHAnsi" w:cstheme="minorHAnsi"/>
                <w:sz w:val="22"/>
                <w:szCs w:val="22"/>
              </w:rPr>
              <w:t xml:space="preserve"> that </w:t>
            </w:r>
            <w:r w:rsidR="00F54BBA">
              <w:rPr>
                <w:rFonts w:asciiTheme="minorHAnsi" w:hAnsiTheme="minorHAnsi" w:cstheme="minorHAnsi"/>
                <w:sz w:val="22"/>
                <w:szCs w:val="22"/>
              </w:rPr>
              <w:t xml:space="preserve">corticosteroids </w:t>
            </w:r>
            <w:r w:rsidRPr="007E216E">
              <w:rPr>
                <w:rFonts w:asciiTheme="minorHAnsi" w:hAnsiTheme="minorHAnsi" w:cstheme="minorHAnsi"/>
                <w:sz w:val="22"/>
                <w:szCs w:val="22"/>
              </w:rPr>
              <w:t xml:space="preserve">in combination with rituximab or cyclophosphamide </w:t>
            </w:r>
            <w:r w:rsidR="00AD454E">
              <w:rPr>
                <w:rFonts w:asciiTheme="minorHAnsi" w:hAnsiTheme="minorHAnsi" w:cstheme="minorHAnsi"/>
                <w:sz w:val="22"/>
                <w:szCs w:val="22"/>
              </w:rPr>
              <w:t>are</w:t>
            </w:r>
            <w:r w:rsidRPr="007E216E">
              <w:rPr>
                <w:rFonts w:asciiTheme="minorHAnsi" w:hAnsiTheme="minorHAnsi" w:cstheme="minorHAnsi"/>
                <w:sz w:val="22"/>
                <w:szCs w:val="22"/>
              </w:rPr>
              <w:t xml:space="preserve"> used as in</w:t>
            </w:r>
            <w:r w:rsidR="00792E28">
              <w:rPr>
                <w:rFonts w:asciiTheme="minorHAnsi" w:hAnsiTheme="minorHAnsi" w:cstheme="minorHAnsi"/>
                <w:sz w:val="22"/>
                <w:szCs w:val="22"/>
              </w:rPr>
              <w:t>duction</w:t>
            </w:r>
            <w:r w:rsidRPr="007E216E">
              <w:rPr>
                <w:rFonts w:asciiTheme="minorHAnsi" w:hAnsiTheme="minorHAnsi" w:cstheme="minorHAnsi"/>
                <w:sz w:val="22"/>
                <w:szCs w:val="22"/>
              </w:rPr>
              <w:t xml:space="preserve"> treatment of new-onset AAV. </w:t>
            </w:r>
          </w:p>
        </w:tc>
        <w:tc>
          <w:tcPr>
            <w:tcW w:w="1843" w:type="dxa"/>
          </w:tcPr>
          <w:p w14:paraId="0955E110" w14:textId="33B3FEB5" w:rsidR="003C0309" w:rsidRPr="007E216E" w:rsidRDefault="001630D4" w:rsidP="003F494F">
            <w:pPr>
              <w:spacing w:line="360" w:lineRule="auto"/>
              <w:jc w:val="center"/>
              <w:rPr>
                <w:rFonts w:cstheme="minorHAnsi"/>
                <w:b/>
                <w:sz w:val="22"/>
                <w:szCs w:val="22"/>
              </w:rPr>
            </w:pPr>
            <w:r w:rsidRPr="007E216E">
              <w:rPr>
                <w:rFonts w:cstheme="minorHAnsi"/>
                <w:b/>
                <w:sz w:val="22"/>
                <w:szCs w:val="22"/>
              </w:rPr>
              <w:t>1B</w:t>
            </w:r>
          </w:p>
        </w:tc>
      </w:tr>
      <w:tr w:rsidR="00837E18" w14:paraId="7245728D" w14:textId="77777777" w:rsidTr="00C00DD6">
        <w:tc>
          <w:tcPr>
            <w:tcW w:w="965" w:type="dxa"/>
          </w:tcPr>
          <w:p w14:paraId="093EE4EC" w14:textId="30FA0D63" w:rsidR="003D5CF4" w:rsidRPr="007E216E" w:rsidRDefault="001630D4" w:rsidP="003F494F">
            <w:pPr>
              <w:spacing w:line="360" w:lineRule="auto"/>
              <w:rPr>
                <w:rFonts w:cstheme="minorHAnsi"/>
                <w:sz w:val="22"/>
                <w:szCs w:val="22"/>
              </w:rPr>
            </w:pPr>
            <w:r w:rsidRPr="007E216E">
              <w:rPr>
                <w:rFonts w:cstheme="minorHAnsi"/>
                <w:sz w:val="22"/>
                <w:szCs w:val="22"/>
              </w:rPr>
              <w:t>ANCA 5.2</w:t>
            </w:r>
          </w:p>
        </w:tc>
        <w:tc>
          <w:tcPr>
            <w:tcW w:w="7682" w:type="dxa"/>
          </w:tcPr>
          <w:p w14:paraId="4CE0E7C2" w14:textId="33E53945" w:rsidR="003D5CF4" w:rsidRPr="007E216E" w:rsidRDefault="001630D4" w:rsidP="003F494F">
            <w:pPr>
              <w:pStyle w:val="NormalWeb"/>
              <w:spacing w:line="360" w:lineRule="auto"/>
              <w:jc w:val="both"/>
              <w:rPr>
                <w:rFonts w:asciiTheme="minorHAnsi" w:hAnsiTheme="minorHAnsi" w:cstheme="minorHAnsi"/>
                <w:sz w:val="22"/>
                <w:szCs w:val="22"/>
              </w:rPr>
            </w:pPr>
            <w:r w:rsidRPr="007E216E">
              <w:rPr>
                <w:rFonts w:asciiTheme="minorHAnsi" w:hAnsiTheme="minorHAnsi" w:cstheme="minorHAnsi"/>
                <w:color w:val="000000"/>
                <w:sz w:val="22"/>
                <w:szCs w:val="22"/>
                <w:u w:val="single"/>
              </w:rPr>
              <w:t xml:space="preserve">We </w:t>
            </w:r>
            <w:r w:rsidR="00792E28">
              <w:rPr>
                <w:rFonts w:asciiTheme="minorHAnsi" w:hAnsiTheme="minorHAnsi" w:cstheme="minorHAnsi"/>
                <w:color w:val="000000"/>
                <w:sz w:val="22"/>
                <w:szCs w:val="22"/>
                <w:u w:val="single"/>
              </w:rPr>
              <w:t>suggest</w:t>
            </w:r>
            <w:r w:rsidRPr="007E216E">
              <w:rPr>
                <w:rFonts w:asciiTheme="minorHAnsi" w:hAnsiTheme="minorHAnsi" w:cstheme="minorHAnsi"/>
                <w:color w:val="000000"/>
                <w:sz w:val="22"/>
                <w:szCs w:val="22"/>
              </w:rPr>
              <w:t xml:space="preserve"> not routinely using plasma exchange in patients with </w:t>
            </w:r>
            <w:r w:rsidRPr="007E216E">
              <w:rPr>
                <w:rFonts w:asciiTheme="minorHAnsi" w:hAnsiTheme="minorHAnsi" w:cstheme="minorHAnsi"/>
                <w:sz w:val="22"/>
                <w:szCs w:val="22"/>
              </w:rPr>
              <w:t>new-onset AAV</w:t>
            </w:r>
            <w:r w:rsidRPr="007E216E">
              <w:rPr>
                <w:rFonts w:asciiTheme="minorHAnsi" w:hAnsiTheme="minorHAnsi" w:cstheme="minorHAnsi"/>
                <w:color w:val="000000"/>
                <w:sz w:val="22"/>
                <w:szCs w:val="22"/>
              </w:rPr>
              <w:t xml:space="preserve"> with active glomerulonephritis</w:t>
            </w:r>
            <w:r w:rsidR="00792E28">
              <w:rPr>
                <w:rFonts w:asciiTheme="minorHAnsi" w:hAnsiTheme="minorHAnsi" w:cstheme="minorHAnsi"/>
                <w:color w:val="000000"/>
                <w:sz w:val="22"/>
                <w:szCs w:val="22"/>
              </w:rPr>
              <w:t xml:space="preserve"> however it could be considered in </w:t>
            </w:r>
            <w:r w:rsidR="00F54BBA">
              <w:rPr>
                <w:rFonts w:asciiTheme="minorHAnsi" w:hAnsiTheme="minorHAnsi" w:cstheme="minorHAnsi"/>
                <w:color w:val="000000"/>
                <w:sz w:val="22"/>
                <w:szCs w:val="22"/>
              </w:rPr>
              <w:t xml:space="preserve">rapidly progressive </w:t>
            </w:r>
            <w:r w:rsidR="00792E28" w:rsidRPr="007E216E">
              <w:rPr>
                <w:rFonts w:asciiTheme="minorHAnsi" w:hAnsiTheme="minorHAnsi" w:cstheme="minorHAnsi"/>
                <w:color w:val="1A1A1A"/>
                <w:sz w:val="22"/>
                <w:szCs w:val="22"/>
              </w:rPr>
              <w:t>organ or life threatening AAV</w:t>
            </w:r>
            <w:r w:rsidRPr="007E216E">
              <w:rPr>
                <w:rFonts w:asciiTheme="minorHAnsi" w:hAnsiTheme="minorHAnsi" w:cstheme="minorHAnsi"/>
                <w:color w:val="000000"/>
                <w:sz w:val="22"/>
                <w:szCs w:val="22"/>
              </w:rPr>
              <w:t>.</w:t>
            </w:r>
          </w:p>
        </w:tc>
        <w:tc>
          <w:tcPr>
            <w:tcW w:w="1843" w:type="dxa"/>
          </w:tcPr>
          <w:p w14:paraId="6B27D5E4" w14:textId="0E1670D5" w:rsidR="003D5CF4" w:rsidRPr="007E216E" w:rsidRDefault="001630D4" w:rsidP="003F494F">
            <w:pPr>
              <w:spacing w:line="360" w:lineRule="auto"/>
              <w:jc w:val="center"/>
              <w:rPr>
                <w:rFonts w:cstheme="minorHAnsi"/>
                <w:b/>
                <w:sz w:val="22"/>
                <w:szCs w:val="22"/>
              </w:rPr>
            </w:pPr>
            <w:r w:rsidRPr="007E216E">
              <w:rPr>
                <w:rFonts w:cstheme="minorHAnsi"/>
                <w:b/>
                <w:sz w:val="22"/>
                <w:szCs w:val="22"/>
              </w:rPr>
              <w:t>1B</w:t>
            </w:r>
          </w:p>
        </w:tc>
      </w:tr>
      <w:tr w:rsidR="00837E18" w14:paraId="1C5E2B9A" w14:textId="77777777" w:rsidTr="00C00DD6">
        <w:tc>
          <w:tcPr>
            <w:tcW w:w="965" w:type="dxa"/>
          </w:tcPr>
          <w:p w14:paraId="7336B884" w14:textId="53F62EF0" w:rsidR="003D5CF4" w:rsidRPr="007E216E" w:rsidRDefault="001630D4" w:rsidP="003F494F">
            <w:pPr>
              <w:spacing w:line="360" w:lineRule="auto"/>
              <w:rPr>
                <w:rFonts w:cstheme="minorHAnsi"/>
                <w:sz w:val="22"/>
                <w:szCs w:val="22"/>
              </w:rPr>
            </w:pPr>
            <w:r w:rsidRPr="007E216E">
              <w:rPr>
                <w:rFonts w:cstheme="minorHAnsi"/>
                <w:sz w:val="22"/>
                <w:szCs w:val="22"/>
              </w:rPr>
              <w:t>ANCA 5.3</w:t>
            </w:r>
          </w:p>
        </w:tc>
        <w:tc>
          <w:tcPr>
            <w:tcW w:w="7682" w:type="dxa"/>
          </w:tcPr>
          <w:p w14:paraId="1551918C" w14:textId="00A9E5FC" w:rsidR="003D5CF4" w:rsidRPr="007E216E" w:rsidRDefault="001630D4" w:rsidP="003F494F">
            <w:pPr>
              <w:pStyle w:val="NormalWeb"/>
              <w:spacing w:line="360" w:lineRule="auto"/>
              <w:jc w:val="both"/>
              <w:rPr>
                <w:rFonts w:asciiTheme="minorHAnsi" w:hAnsiTheme="minorHAnsi" w:cstheme="minorHAnsi"/>
                <w:color w:val="1A1A1A"/>
                <w:sz w:val="22"/>
                <w:szCs w:val="22"/>
              </w:rPr>
            </w:pPr>
            <w:r w:rsidRPr="007E216E">
              <w:rPr>
                <w:rFonts w:asciiTheme="minorHAnsi" w:hAnsiTheme="minorHAnsi" w:cstheme="minorHAnsi"/>
                <w:color w:val="1A1A1A"/>
                <w:sz w:val="22"/>
                <w:szCs w:val="22"/>
                <w:u w:val="single"/>
              </w:rPr>
              <w:t>We suggest</w:t>
            </w:r>
            <w:r w:rsidRPr="007E216E">
              <w:rPr>
                <w:rFonts w:asciiTheme="minorHAnsi" w:hAnsiTheme="minorHAnsi" w:cstheme="minorHAnsi"/>
                <w:color w:val="1A1A1A"/>
                <w:sz w:val="22"/>
                <w:szCs w:val="22"/>
              </w:rPr>
              <w:t xml:space="preserve"> considering the use of</w:t>
            </w:r>
            <w:r w:rsidR="00792E28">
              <w:rPr>
                <w:rFonts w:asciiTheme="minorHAnsi" w:hAnsiTheme="minorHAnsi" w:cstheme="minorHAnsi"/>
                <w:color w:val="1A1A1A"/>
                <w:sz w:val="22"/>
                <w:szCs w:val="22"/>
              </w:rPr>
              <w:t xml:space="preserve"> </w:t>
            </w:r>
            <w:proofErr w:type="spellStart"/>
            <w:r w:rsidR="00792E28">
              <w:rPr>
                <w:rFonts w:asciiTheme="minorHAnsi" w:hAnsiTheme="minorHAnsi" w:cstheme="minorHAnsi"/>
                <w:color w:val="1A1A1A"/>
                <w:sz w:val="22"/>
                <w:szCs w:val="22"/>
              </w:rPr>
              <w:t>avacopan</w:t>
            </w:r>
            <w:proofErr w:type="spellEnd"/>
            <w:r w:rsidR="00792E28">
              <w:rPr>
                <w:rFonts w:asciiTheme="minorHAnsi" w:hAnsiTheme="minorHAnsi" w:cstheme="minorHAnsi"/>
                <w:color w:val="1A1A1A"/>
                <w:sz w:val="22"/>
                <w:szCs w:val="22"/>
              </w:rPr>
              <w:t xml:space="preserve"> in children who are post pubertal with AAV to support induction treatment alongside rituximab or cyclophosphamide as a method to minimise steroid use in accordance with nationally approved requirements. </w:t>
            </w:r>
            <w:r w:rsidRPr="007E216E">
              <w:rPr>
                <w:rFonts w:asciiTheme="minorHAnsi" w:hAnsiTheme="minorHAnsi" w:cstheme="minorHAnsi"/>
                <w:color w:val="1A1A1A"/>
                <w:sz w:val="22"/>
                <w:szCs w:val="22"/>
              </w:rPr>
              <w:t xml:space="preserve"> </w:t>
            </w:r>
          </w:p>
        </w:tc>
        <w:tc>
          <w:tcPr>
            <w:tcW w:w="1843" w:type="dxa"/>
          </w:tcPr>
          <w:p w14:paraId="7549696B" w14:textId="34038D03" w:rsidR="003D5CF4" w:rsidRPr="007E216E" w:rsidRDefault="001630D4" w:rsidP="003F494F">
            <w:pPr>
              <w:spacing w:line="360" w:lineRule="auto"/>
              <w:jc w:val="center"/>
              <w:rPr>
                <w:rFonts w:cstheme="minorHAnsi"/>
                <w:b/>
                <w:sz w:val="22"/>
                <w:szCs w:val="22"/>
              </w:rPr>
            </w:pPr>
            <w:r w:rsidRPr="007E216E">
              <w:rPr>
                <w:rFonts w:cstheme="minorHAnsi"/>
                <w:b/>
                <w:sz w:val="22"/>
                <w:szCs w:val="22"/>
              </w:rPr>
              <w:t>2D</w:t>
            </w:r>
          </w:p>
        </w:tc>
      </w:tr>
      <w:tr w:rsidR="00837E18" w14:paraId="6967A1DD" w14:textId="77777777" w:rsidTr="00C00DD6">
        <w:tc>
          <w:tcPr>
            <w:tcW w:w="965" w:type="dxa"/>
          </w:tcPr>
          <w:p w14:paraId="36DD93EF" w14:textId="394966A1" w:rsidR="003D5CF4" w:rsidRPr="007E216E" w:rsidRDefault="001630D4" w:rsidP="003F494F">
            <w:pPr>
              <w:spacing w:line="360" w:lineRule="auto"/>
              <w:rPr>
                <w:rFonts w:cstheme="minorHAnsi"/>
                <w:sz w:val="22"/>
                <w:szCs w:val="22"/>
              </w:rPr>
            </w:pPr>
            <w:r w:rsidRPr="007E216E">
              <w:rPr>
                <w:rFonts w:cstheme="minorHAnsi"/>
                <w:sz w:val="22"/>
                <w:szCs w:val="22"/>
              </w:rPr>
              <w:t>ANCA 5.4</w:t>
            </w:r>
          </w:p>
        </w:tc>
        <w:tc>
          <w:tcPr>
            <w:tcW w:w="7682" w:type="dxa"/>
          </w:tcPr>
          <w:p w14:paraId="6D80FA0F" w14:textId="7BD2D844" w:rsidR="003D5CF4" w:rsidRPr="007E216E" w:rsidRDefault="001630D4" w:rsidP="003F494F">
            <w:pPr>
              <w:pStyle w:val="NormalWeb"/>
              <w:spacing w:line="360" w:lineRule="auto"/>
              <w:jc w:val="both"/>
              <w:rPr>
                <w:rFonts w:asciiTheme="minorHAnsi" w:hAnsiTheme="minorHAnsi" w:cstheme="minorHAnsi"/>
                <w:color w:val="000000"/>
                <w:sz w:val="22"/>
                <w:szCs w:val="22"/>
              </w:rPr>
            </w:pPr>
            <w:r w:rsidRPr="007E216E">
              <w:rPr>
                <w:rFonts w:asciiTheme="minorHAnsi" w:hAnsiTheme="minorHAnsi" w:cstheme="minorHAnsi"/>
                <w:color w:val="000000"/>
                <w:sz w:val="22"/>
                <w:szCs w:val="22"/>
                <w:u w:val="single"/>
              </w:rPr>
              <w:t>We recommend</w:t>
            </w:r>
            <w:r w:rsidRPr="007E216E">
              <w:rPr>
                <w:rFonts w:asciiTheme="minorHAnsi" w:hAnsiTheme="minorHAnsi" w:cstheme="minorHAnsi"/>
                <w:color w:val="000000"/>
                <w:sz w:val="22"/>
                <w:szCs w:val="22"/>
              </w:rPr>
              <w:t xml:space="preserve"> the use of </w:t>
            </w:r>
            <w:r w:rsidR="00F54BBA">
              <w:rPr>
                <w:rFonts w:asciiTheme="minorHAnsi" w:hAnsiTheme="minorHAnsi" w:cstheme="minorHAnsi"/>
                <w:color w:val="000000"/>
                <w:sz w:val="22"/>
                <w:szCs w:val="22"/>
              </w:rPr>
              <w:t>6-monthly</w:t>
            </w:r>
            <w:r w:rsidR="00F54BBA" w:rsidRPr="007E216E">
              <w:rPr>
                <w:rFonts w:asciiTheme="minorHAnsi" w:hAnsiTheme="minorHAnsi" w:cstheme="minorHAnsi"/>
                <w:color w:val="000000"/>
                <w:sz w:val="22"/>
                <w:szCs w:val="22"/>
              </w:rPr>
              <w:t xml:space="preserve"> </w:t>
            </w:r>
            <w:r w:rsidRPr="007E216E">
              <w:rPr>
                <w:rFonts w:asciiTheme="minorHAnsi" w:hAnsiTheme="minorHAnsi" w:cstheme="minorHAnsi"/>
                <w:color w:val="000000"/>
                <w:sz w:val="22"/>
                <w:szCs w:val="22"/>
              </w:rPr>
              <w:t xml:space="preserve">rituximab treatment as maintenance in CYP whose disease has entered remission. </w:t>
            </w:r>
          </w:p>
        </w:tc>
        <w:tc>
          <w:tcPr>
            <w:tcW w:w="1843" w:type="dxa"/>
          </w:tcPr>
          <w:p w14:paraId="0806012C" w14:textId="115C34CE" w:rsidR="003D5CF4" w:rsidRPr="007E216E" w:rsidRDefault="001630D4" w:rsidP="003F494F">
            <w:pPr>
              <w:spacing w:line="360" w:lineRule="auto"/>
              <w:jc w:val="center"/>
              <w:rPr>
                <w:rFonts w:cstheme="minorHAnsi"/>
                <w:b/>
                <w:sz w:val="22"/>
                <w:szCs w:val="22"/>
              </w:rPr>
            </w:pPr>
            <w:r w:rsidRPr="007E216E">
              <w:rPr>
                <w:rFonts w:cstheme="minorHAnsi"/>
                <w:b/>
                <w:sz w:val="22"/>
                <w:szCs w:val="22"/>
              </w:rPr>
              <w:t>1B</w:t>
            </w:r>
          </w:p>
        </w:tc>
      </w:tr>
      <w:tr w:rsidR="00837E18" w14:paraId="08DD81E6" w14:textId="77777777" w:rsidTr="00C00DD6">
        <w:tc>
          <w:tcPr>
            <w:tcW w:w="965" w:type="dxa"/>
          </w:tcPr>
          <w:p w14:paraId="6573D53E" w14:textId="0338549E" w:rsidR="003D5CF4" w:rsidRPr="007E216E" w:rsidRDefault="001630D4" w:rsidP="003F494F">
            <w:pPr>
              <w:spacing w:line="360" w:lineRule="auto"/>
              <w:rPr>
                <w:rFonts w:cstheme="minorHAnsi"/>
                <w:sz w:val="22"/>
                <w:szCs w:val="22"/>
              </w:rPr>
            </w:pPr>
            <w:r w:rsidRPr="007E216E">
              <w:rPr>
                <w:rFonts w:cstheme="minorHAnsi"/>
                <w:sz w:val="22"/>
                <w:szCs w:val="22"/>
              </w:rPr>
              <w:t>ANCA 5.5</w:t>
            </w:r>
          </w:p>
        </w:tc>
        <w:tc>
          <w:tcPr>
            <w:tcW w:w="7682" w:type="dxa"/>
          </w:tcPr>
          <w:p w14:paraId="27C8A642" w14:textId="62BF9E7D" w:rsidR="003D5CF4" w:rsidRPr="007E216E" w:rsidRDefault="001630D4" w:rsidP="003F494F">
            <w:pPr>
              <w:pStyle w:val="NormalWeb"/>
              <w:spacing w:line="360" w:lineRule="auto"/>
              <w:jc w:val="both"/>
              <w:rPr>
                <w:rFonts w:asciiTheme="minorHAnsi" w:hAnsiTheme="minorHAnsi" w:cstheme="minorHAnsi"/>
                <w:color w:val="000000"/>
                <w:sz w:val="22"/>
                <w:szCs w:val="22"/>
              </w:rPr>
            </w:pPr>
            <w:r w:rsidRPr="007E216E">
              <w:rPr>
                <w:rFonts w:asciiTheme="minorHAnsi" w:hAnsiTheme="minorHAnsi" w:cstheme="minorHAnsi"/>
                <w:color w:val="000000"/>
                <w:sz w:val="22"/>
                <w:szCs w:val="22"/>
                <w:u w:val="single"/>
              </w:rPr>
              <w:t>We suggest</w:t>
            </w:r>
            <w:r w:rsidRPr="007E216E">
              <w:rPr>
                <w:rFonts w:asciiTheme="minorHAnsi" w:hAnsiTheme="minorHAnsi" w:cstheme="minorHAnsi"/>
                <w:color w:val="000000"/>
                <w:sz w:val="22"/>
                <w:szCs w:val="22"/>
              </w:rPr>
              <w:t xml:space="preserve"> the use of </w:t>
            </w:r>
            <w:r w:rsidR="00F54BBA">
              <w:rPr>
                <w:rFonts w:asciiTheme="minorHAnsi" w:hAnsiTheme="minorHAnsi" w:cstheme="minorHAnsi"/>
                <w:color w:val="000000"/>
                <w:sz w:val="22"/>
                <w:szCs w:val="22"/>
              </w:rPr>
              <w:t>MMF</w:t>
            </w:r>
            <w:r w:rsidRPr="007E216E">
              <w:rPr>
                <w:rFonts w:asciiTheme="minorHAnsi" w:hAnsiTheme="minorHAnsi" w:cstheme="minorHAnsi"/>
                <w:color w:val="000000"/>
                <w:sz w:val="22"/>
                <w:szCs w:val="22"/>
              </w:rPr>
              <w:t xml:space="preserve"> as an alternative maintenance treatment if rituximab is not suitable. </w:t>
            </w:r>
          </w:p>
        </w:tc>
        <w:tc>
          <w:tcPr>
            <w:tcW w:w="1843" w:type="dxa"/>
          </w:tcPr>
          <w:p w14:paraId="579EF9AF" w14:textId="70DD72AE" w:rsidR="003D5CF4" w:rsidRPr="007E216E" w:rsidRDefault="001630D4" w:rsidP="003F494F">
            <w:pPr>
              <w:spacing w:line="360" w:lineRule="auto"/>
              <w:jc w:val="center"/>
              <w:rPr>
                <w:rFonts w:cstheme="minorHAnsi"/>
                <w:b/>
                <w:sz w:val="22"/>
                <w:szCs w:val="22"/>
              </w:rPr>
            </w:pPr>
            <w:r w:rsidRPr="007E216E">
              <w:rPr>
                <w:rFonts w:cstheme="minorHAnsi"/>
                <w:b/>
                <w:sz w:val="22"/>
                <w:szCs w:val="22"/>
              </w:rPr>
              <w:t>2B</w:t>
            </w:r>
          </w:p>
        </w:tc>
      </w:tr>
      <w:tr w:rsidR="00837E18" w14:paraId="4F06D83A" w14:textId="77777777" w:rsidTr="00C00DD6">
        <w:tc>
          <w:tcPr>
            <w:tcW w:w="965" w:type="dxa"/>
          </w:tcPr>
          <w:p w14:paraId="00C63087" w14:textId="285144E9" w:rsidR="003D5CF4" w:rsidRPr="007E216E" w:rsidRDefault="001630D4" w:rsidP="003F494F">
            <w:pPr>
              <w:spacing w:line="360" w:lineRule="auto"/>
              <w:rPr>
                <w:rFonts w:cstheme="minorHAnsi"/>
                <w:sz w:val="22"/>
                <w:szCs w:val="22"/>
              </w:rPr>
            </w:pPr>
            <w:r w:rsidRPr="007E216E">
              <w:rPr>
                <w:rFonts w:cstheme="minorHAnsi"/>
                <w:sz w:val="22"/>
                <w:szCs w:val="22"/>
              </w:rPr>
              <w:t>ANCA 5.8</w:t>
            </w:r>
          </w:p>
        </w:tc>
        <w:tc>
          <w:tcPr>
            <w:tcW w:w="7682" w:type="dxa"/>
          </w:tcPr>
          <w:p w14:paraId="4E4055FA" w14:textId="554B1A99" w:rsidR="003D5CF4" w:rsidRPr="007E216E" w:rsidRDefault="001630D4" w:rsidP="003F494F">
            <w:pPr>
              <w:pStyle w:val="NormalWeb"/>
              <w:spacing w:line="360" w:lineRule="auto"/>
              <w:rPr>
                <w:rFonts w:asciiTheme="minorHAnsi" w:hAnsiTheme="minorHAnsi" w:cstheme="minorHAnsi"/>
                <w:color w:val="000000"/>
                <w:sz w:val="22"/>
                <w:szCs w:val="22"/>
              </w:rPr>
            </w:pPr>
            <w:r w:rsidRPr="007E216E">
              <w:rPr>
                <w:rFonts w:asciiTheme="minorHAnsi" w:hAnsiTheme="minorHAnsi" w:cstheme="minorHAnsi"/>
                <w:color w:val="000000"/>
                <w:sz w:val="22"/>
                <w:szCs w:val="22"/>
                <w:u w:val="single"/>
              </w:rPr>
              <w:t>We recommend</w:t>
            </w:r>
            <w:r w:rsidRPr="007E216E">
              <w:rPr>
                <w:rFonts w:asciiTheme="minorHAnsi" w:hAnsiTheme="minorHAnsi" w:cstheme="minorHAnsi"/>
                <w:color w:val="000000"/>
                <w:sz w:val="22"/>
                <w:szCs w:val="22"/>
              </w:rPr>
              <w:t xml:space="preserve"> that relapses in AAV are treated with rituximab if they are not already receiving this treatment</w:t>
            </w:r>
          </w:p>
        </w:tc>
        <w:tc>
          <w:tcPr>
            <w:tcW w:w="1843" w:type="dxa"/>
          </w:tcPr>
          <w:p w14:paraId="152F34BC" w14:textId="242634D4" w:rsidR="003D5CF4" w:rsidRPr="007E216E" w:rsidRDefault="001630D4" w:rsidP="003F494F">
            <w:pPr>
              <w:spacing w:line="360" w:lineRule="auto"/>
              <w:jc w:val="center"/>
              <w:rPr>
                <w:rFonts w:cstheme="minorHAnsi"/>
                <w:b/>
                <w:sz w:val="22"/>
                <w:szCs w:val="22"/>
              </w:rPr>
            </w:pPr>
            <w:r w:rsidRPr="007E216E">
              <w:rPr>
                <w:rFonts w:cstheme="minorHAnsi"/>
                <w:b/>
                <w:sz w:val="22"/>
                <w:szCs w:val="22"/>
              </w:rPr>
              <w:t>1C</w:t>
            </w:r>
          </w:p>
        </w:tc>
      </w:tr>
      <w:tr w:rsidR="00837E18" w14:paraId="3384B8D4" w14:textId="77777777" w:rsidTr="00C00DD6">
        <w:tc>
          <w:tcPr>
            <w:tcW w:w="965" w:type="dxa"/>
          </w:tcPr>
          <w:p w14:paraId="365A04BE" w14:textId="23481C10" w:rsidR="003D5CF4" w:rsidRPr="007E216E" w:rsidRDefault="001630D4" w:rsidP="003F494F">
            <w:pPr>
              <w:spacing w:line="360" w:lineRule="auto"/>
              <w:rPr>
                <w:rFonts w:cstheme="minorHAnsi"/>
                <w:sz w:val="22"/>
                <w:szCs w:val="22"/>
              </w:rPr>
            </w:pPr>
            <w:r w:rsidRPr="007E216E">
              <w:rPr>
                <w:rFonts w:cstheme="minorHAnsi"/>
                <w:sz w:val="22"/>
                <w:szCs w:val="22"/>
              </w:rPr>
              <w:t>ANCA 5.11</w:t>
            </w:r>
          </w:p>
        </w:tc>
        <w:tc>
          <w:tcPr>
            <w:tcW w:w="7682" w:type="dxa"/>
          </w:tcPr>
          <w:p w14:paraId="3674C1C5" w14:textId="17AACB42" w:rsidR="003D5CF4" w:rsidRPr="007E216E" w:rsidRDefault="001630D4" w:rsidP="003F494F">
            <w:pPr>
              <w:pStyle w:val="NormalWeb"/>
              <w:spacing w:line="360" w:lineRule="auto"/>
              <w:rPr>
                <w:rFonts w:asciiTheme="minorHAnsi" w:hAnsiTheme="minorHAnsi" w:cstheme="minorHAnsi"/>
                <w:color w:val="000000"/>
                <w:sz w:val="22"/>
                <w:szCs w:val="22"/>
              </w:rPr>
            </w:pPr>
            <w:r w:rsidRPr="007E216E">
              <w:rPr>
                <w:rFonts w:asciiTheme="minorHAnsi" w:hAnsiTheme="minorHAnsi" w:cstheme="minorHAnsi"/>
                <w:sz w:val="22"/>
                <w:szCs w:val="22"/>
                <w:u w:val="single"/>
              </w:rPr>
              <w:t>We suggest</w:t>
            </w:r>
            <w:r w:rsidRPr="007E216E">
              <w:rPr>
                <w:rFonts w:asciiTheme="minorHAnsi" w:hAnsiTheme="minorHAnsi" w:cstheme="minorHAnsi"/>
                <w:sz w:val="22"/>
                <w:szCs w:val="22"/>
              </w:rPr>
              <w:t xml:space="preserve"> considering discontinuation of immunosuppressive therapy if there has been no response in 3 months in patients who remain on dialysis and who do not have any extrarenal manifestations of disease that require treatment.</w:t>
            </w:r>
          </w:p>
        </w:tc>
        <w:tc>
          <w:tcPr>
            <w:tcW w:w="1843" w:type="dxa"/>
          </w:tcPr>
          <w:p w14:paraId="383A66C1" w14:textId="72DFE1D4" w:rsidR="003D5CF4" w:rsidRPr="007E216E" w:rsidRDefault="001630D4" w:rsidP="003F494F">
            <w:pPr>
              <w:spacing w:line="360" w:lineRule="auto"/>
              <w:jc w:val="center"/>
              <w:rPr>
                <w:rFonts w:cstheme="minorHAnsi"/>
                <w:b/>
                <w:sz w:val="22"/>
                <w:szCs w:val="22"/>
              </w:rPr>
            </w:pPr>
            <w:r w:rsidRPr="007E216E">
              <w:rPr>
                <w:rFonts w:cstheme="minorHAnsi"/>
                <w:b/>
                <w:sz w:val="22"/>
                <w:szCs w:val="22"/>
              </w:rPr>
              <w:t>2C</w:t>
            </w:r>
          </w:p>
        </w:tc>
      </w:tr>
      <w:tr w:rsidR="00837E18" w14:paraId="1208E502" w14:textId="77777777" w:rsidTr="00C00DD6">
        <w:tc>
          <w:tcPr>
            <w:tcW w:w="965" w:type="dxa"/>
          </w:tcPr>
          <w:p w14:paraId="3FD843B2" w14:textId="71F420CB" w:rsidR="003D5CF4" w:rsidRPr="007E216E" w:rsidRDefault="001630D4" w:rsidP="003F494F">
            <w:pPr>
              <w:spacing w:line="360" w:lineRule="auto"/>
              <w:rPr>
                <w:rFonts w:cstheme="minorHAnsi"/>
                <w:sz w:val="22"/>
                <w:szCs w:val="22"/>
              </w:rPr>
            </w:pPr>
            <w:r w:rsidRPr="007E216E">
              <w:rPr>
                <w:rFonts w:cstheme="minorHAnsi"/>
                <w:sz w:val="22"/>
                <w:szCs w:val="22"/>
              </w:rPr>
              <w:lastRenderedPageBreak/>
              <w:t>ANCA 5.12</w:t>
            </w:r>
          </w:p>
        </w:tc>
        <w:tc>
          <w:tcPr>
            <w:tcW w:w="7682" w:type="dxa"/>
          </w:tcPr>
          <w:p w14:paraId="66A9E525" w14:textId="72E32955" w:rsidR="003D5CF4" w:rsidRPr="007E216E" w:rsidRDefault="001630D4" w:rsidP="003F494F">
            <w:pPr>
              <w:pStyle w:val="NormalWeb"/>
              <w:spacing w:line="360" w:lineRule="auto"/>
              <w:rPr>
                <w:rFonts w:asciiTheme="minorHAnsi" w:hAnsiTheme="minorHAnsi" w:cstheme="minorHAnsi"/>
                <w:color w:val="000000"/>
                <w:sz w:val="22"/>
                <w:szCs w:val="22"/>
              </w:rPr>
            </w:pPr>
            <w:r w:rsidRPr="007E216E">
              <w:rPr>
                <w:rFonts w:asciiTheme="minorHAnsi" w:hAnsiTheme="minorHAnsi" w:cstheme="minorHAnsi"/>
                <w:sz w:val="22"/>
                <w:szCs w:val="22"/>
                <w:u w:val="single"/>
              </w:rPr>
              <w:t>We suggest</w:t>
            </w:r>
            <w:r w:rsidRPr="007E216E">
              <w:rPr>
                <w:rFonts w:asciiTheme="minorHAnsi" w:hAnsiTheme="minorHAnsi" w:cstheme="minorHAnsi"/>
                <w:sz w:val="22"/>
                <w:szCs w:val="22"/>
              </w:rPr>
              <w:t xml:space="preserve"> using plasma exchange for patients who present with an overlap syndrome of ANCA-associated vasculitis and anti- glomerular basement membrane (GBM).</w:t>
            </w:r>
          </w:p>
        </w:tc>
        <w:tc>
          <w:tcPr>
            <w:tcW w:w="1843" w:type="dxa"/>
          </w:tcPr>
          <w:p w14:paraId="1EC8A259" w14:textId="0F7CFADD" w:rsidR="003D5CF4" w:rsidRPr="007E216E" w:rsidRDefault="001630D4" w:rsidP="003F494F">
            <w:pPr>
              <w:spacing w:line="360" w:lineRule="auto"/>
              <w:jc w:val="center"/>
              <w:rPr>
                <w:rFonts w:cstheme="minorHAnsi"/>
                <w:b/>
                <w:sz w:val="22"/>
                <w:szCs w:val="22"/>
              </w:rPr>
            </w:pPr>
            <w:r w:rsidRPr="007E216E">
              <w:rPr>
                <w:rFonts w:cstheme="minorHAnsi"/>
                <w:b/>
                <w:sz w:val="22"/>
                <w:szCs w:val="22"/>
              </w:rPr>
              <w:t>2D</w:t>
            </w:r>
          </w:p>
        </w:tc>
      </w:tr>
      <w:tr w:rsidR="00837E18" w14:paraId="2F849D61" w14:textId="77777777" w:rsidTr="00C00DD6">
        <w:tc>
          <w:tcPr>
            <w:tcW w:w="965" w:type="dxa"/>
          </w:tcPr>
          <w:p w14:paraId="48EB7A03" w14:textId="5051740C" w:rsidR="003C0309" w:rsidRPr="007E216E" w:rsidRDefault="001630D4" w:rsidP="003F494F">
            <w:pPr>
              <w:spacing w:line="360" w:lineRule="auto"/>
              <w:rPr>
                <w:rFonts w:cstheme="minorHAnsi"/>
                <w:sz w:val="22"/>
                <w:szCs w:val="22"/>
              </w:rPr>
            </w:pPr>
            <w:r w:rsidRPr="007E216E">
              <w:rPr>
                <w:rFonts w:cstheme="minorHAnsi"/>
                <w:sz w:val="22"/>
                <w:szCs w:val="22"/>
              </w:rPr>
              <w:t>ANCA 5.13</w:t>
            </w:r>
          </w:p>
        </w:tc>
        <w:tc>
          <w:tcPr>
            <w:tcW w:w="7682" w:type="dxa"/>
          </w:tcPr>
          <w:p w14:paraId="05C69EB8" w14:textId="57359E0E" w:rsidR="003C0309" w:rsidRPr="007E216E" w:rsidRDefault="001630D4" w:rsidP="003F494F">
            <w:pPr>
              <w:pStyle w:val="NormalWeb"/>
              <w:spacing w:line="360" w:lineRule="auto"/>
              <w:rPr>
                <w:rFonts w:asciiTheme="minorHAnsi" w:hAnsiTheme="minorHAnsi" w:cstheme="minorHAnsi"/>
                <w:sz w:val="22"/>
                <w:szCs w:val="22"/>
              </w:rPr>
            </w:pPr>
            <w:r w:rsidRPr="007E216E">
              <w:rPr>
                <w:rFonts w:asciiTheme="minorHAnsi" w:hAnsiTheme="minorHAnsi" w:cstheme="minorHAnsi"/>
                <w:sz w:val="22"/>
                <w:szCs w:val="22"/>
                <w:u w:val="single"/>
              </w:rPr>
              <w:t>We recommend</w:t>
            </w:r>
            <w:r w:rsidRPr="007E216E">
              <w:rPr>
                <w:rFonts w:asciiTheme="minorHAnsi" w:hAnsiTheme="minorHAnsi" w:cstheme="minorHAnsi"/>
                <w:sz w:val="22"/>
                <w:szCs w:val="22"/>
              </w:rPr>
              <w:t xml:space="preserve"> the optimal duration of treatment is between 18 months and 4 years after induction of remission.</w:t>
            </w:r>
          </w:p>
        </w:tc>
        <w:tc>
          <w:tcPr>
            <w:tcW w:w="1843" w:type="dxa"/>
          </w:tcPr>
          <w:p w14:paraId="2FC3A1E8" w14:textId="05F77FD1" w:rsidR="003C0309" w:rsidRPr="007E216E" w:rsidRDefault="001630D4" w:rsidP="003F494F">
            <w:pPr>
              <w:spacing w:line="360" w:lineRule="auto"/>
              <w:jc w:val="center"/>
              <w:rPr>
                <w:rFonts w:cstheme="minorHAnsi"/>
                <w:b/>
                <w:sz w:val="22"/>
                <w:szCs w:val="22"/>
              </w:rPr>
            </w:pPr>
            <w:r w:rsidRPr="007E216E">
              <w:rPr>
                <w:rFonts w:cstheme="minorHAnsi"/>
                <w:b/>
                <w:sz w:val="22"/>
                <w:szCs w:val="22"/>
              </w:rPr>
              <w:t>2C</w:t>
            </w:r>
          </w:p>
        </w:tc>
      </w:tr>
      <w:tr w:rsidR="00837E18" w14:paraId="137941CD" w14:textId="77777777" w:rsidTr="00C00DD6">
        <w:tc>
          <w:tcPr>
            <w:tcW w:w="965" w:type="dxa"/>
          </w:tcPr>
          <w:p w14:paraId="25D51123" w14:textId="00CD20A9" w:rsidR="007E216E" w:rsidRPr="007E216E" w:rsidRDefault="001630D4" w:rsidP="003F494F">
            <w:pPr>
              <w:tabs>
                <w:tab w:val="left" w:pos="634"/>
              </w:tabs>
              <w:spacing w:line="360" w:lineRule="auto"/>
              <w:rPr>
                <w:rFonts w:cstheme="minorHAnsi"/>
                <w:sz w:val="22"/>
                <w:szCs w:val="22"/>
              </w:rPr>
            </w:pPr>
            <w:r>
              <w:rPr>
                <w:rFonts w:cstheme="minorHAnsi"/>
                <w:sz w:val="22"/>
                <w:szCs w:val="22"/>
              </w:rPr>
              <w:t>ANCA 5.15</w:t>
            </w:r>
          </w:p>
        </w:tc>
        <w:tc>
          <w:tcPr>
            <w:tcW w:w="7682" w:type="dxa"/>
          </w:tcPr>
          <w:p w14:paraId="79FF3D15" w14:textId="2DDE0055" w:rsidR="007E216E" w:rsidRPr="007E216E" w:rsidRDefault="001630D4" w:rsidP="003F494F">
            <w:pPr>
              <w:spacing w:line="360" w:lineRule="auto"/>
              <w:rPr>
                <w:rFonts w:cstheme="minorHAnsi"/>
                <w:color w:val="000000"/>
                <w:sz w:val="22"/>
                <w:szCs w:val="22"/>
                <w:u w:val="single"/>
              </w:rPr>
            </w:pPr>
            <w:r w:rsidRPr="00764801">
              <w:rPr>
                <w:rFonts w:eastAsiaTheme="minorEastAsia" w:cstheme="minorHAnsi"/>
                <w:color w:val="000000" w:themeColor="text1"/>
                <w:kern w:val="24"/>
                <w:sz w:val="22"/>
                <w:szCs w:val="22"/>
                <w:u w:val="single"/>
                <w:lang w:eastAsia="en-GB"/>
              </w:rPr>
              <w:t>We suggest</w:t>
            </w:r>
            <w:r w:rsidRPr="00764801">
              <w:rPr>
                <w:rFonts w:eastAsiaTheme="minorEastAsia" w:cstheme="minorHAnsi"/>
                <w:color w:val="000000" w:themeColor="text1"/>
                <w:kern w:val="24"/>
                <w:sz w:val="22"/>
                <w:szCs w:val="22"/>
                <w:lang w:eastAsia="en-GB"/>
              </w:rPr>
              <w:t xml:space="preserve"> consideration of recruitment to clinical trials, off-label treatments available for adults, or the compassionate use of agents under evaluation, in children who have failed to demonstrate any improvement and continue to have active disease.</w:t>
            </w:r>
          </w:p>
        </w:tc>
        <w:tc>
          <w:tcPr>
            <w:tcW w:w="1843" w:type="dxa"/>
          </w:tcPr>
          <w:p w14:paraId="4FD758DF" w14:textId="0E1AAFFE" w:rsidR="007E216E" w:rsidRPr="007E216E" w:rsidRDefault="001630D4" w:rsidP="003F494F">
            <w:pPr>
              <w:spacing w:line="360" w:lineRule="auto"/>
              <w:jc w:val="center"/>
              <w:rPr>
                <w:rFonts w:cstheme="minorHAnsi"/>
                <w:b/>
                <w:sz w:val="22"/>
                <w:szCs w:val="22"/>
              </w:rPr>
            </w:pPr>
            <w:r>
              <w:rPr>
                <w:rFonts w:cstheme="minorHAnsi"/>
                <w:b/>
                <w:sz w:val="22"/>
                <w:szCs w:val="22"/>
              </w:rPr>
              <w:t>2D</w:t>
            </w:r>
          </w:p>
        </w:tc>
      </w:tr>
    </w:tbl>
    <w:p w14:paraId="1954DF04" w14:textId="6F9D13F7" w:rsidR="003C0309" w:rsidRPr="00C00DD6" w:rsidRDefault="003C0309" w:rsidP="003F494F">
      <w:pPr>
        <w:spacing w:line="360" w:lineRule="auto"/>
        <w:rPr>
          <w:rFonts w:cstheme="minorHAnsi"/>
          <w:b/>
          <w:bCs/>
          <w:sz w:val="22"/>
          <w:szCs w:val="22"/>
        </w:rPr>
      </w:pPr>
    </w:p>
    <w:p w14:paraId="5E946607" w14:textId="65F13956" w:rsidR="003D5CF4" w:rsidRPr="00747099" w:rsidRDefault="001630D4" w:rsidP="003F494F">
      <w:pPr>
        <w:spacing w:line="360" w:lineRule="auto"/>
        <w:rPr>
          <w:rFonts w:eastAsia="Times New Roman" w:cstheme="minorHAnsi"/>
          <w:b/>
          <w:bCs/>
          <w:sz w:val="22"/>
          <w:szCs w:val="22"/>
          <w:lang w:eastAsia="en-GB"/>
        </w:rPr>
      </w:pPr>
      <w:r w:rsidRPr="00747099">
        <w:rPr>
          <w:rFonts w:eastAsia="Times New Roman" w:cstheme="minorHAnsi"/>
          <w:b/>
          <w:bCs/>
          <w:sz w:val="22"/>
          <w:szCs w:val="22"/>
          <w:lang w:eastAsia="en-GB"/>
        </w:rPr>
        <w:t xml:space="preserve">Rationale </w:t>
      </w:r>
    </w:p>
    <w:p w14:paraId="7B16232D" w14:textId="5FD2CE0C" w:rsidR="00792E28" w:rsidRDefault="001630D4" w:rsidP="003F494F">
      <w:pPr>
        <w:spacing w:line="360" w:lineRule="auto"/>
        <w:jc w:val="both"/>
        <w:rPr>
          <w:rFonts w:cstheme="minorHAnsi"/>
          <w:color w:val="1A1A1A"/>
          <w:sz w:val="22"/>
          <w:szCs w:val="22"/>
        </w:rPr>
      </w:pPr>
      <w:r>
        <w:rPr>
          <w:rFonts w:cstheme="minorHAnsi"/>
          <w:color w:val="1A1A1A"/>
          <w:sz w:val="22"/>
          <w:szCs w:val="22"/>
        </w:rPr>
        <w:t xml:space="preserve">AAV can deteriorate quickly with rapid progression of sclerotic histological changes </w:t>
      </w:r>
      <w:r w:rsidR="00DF275A">
        <w:rPr>
          <w:rFonts w:cstheme="minorHAnsi"/>
          <w:color w:val="1A1A1A"/>
          <w:sz w:val="22"/>
          <w:szCs w:val="22"/>
        </w:rPr>
        <w:t xml:space="preserve">over days </w:t>
      </w:r>
      <w:r>
        <w:rPr>
          <w:rFonts w:cstheme="minorHAnsi"/>
          <w:color w:val="1A1A1A"/>
          <w:sz w:val="22"/>
          <w:szCs w:val="22"/>
        </w:rPr>
        <w:fldChar w:fldCharType="begin"/>
      </w:r>
      <w:r w:rsidR="00642970">
        <w:rPr>
          <w:rFonts w:cstheme="minorHAnsi"/>
          <w:color w:val="1A1A1A"/>
          <w:sz w:val="22"/>
          <w:szCs w:val="22"/>
        </w:rPr>
        <w:instrText xml:space="preserve"> ADDIN ZOTERO_ITEM CSL_CITATION {"citationID":"BFr6jHuK","properties":{"formattedCitation":"(87,88,91,98)","plainCitation":"(87,88,91,98)","noteIndex":0},"citationItems":[{"id":182,"uris":["http://zotero.org/users/local/lvPLY4Gu/items/GNUJW37Y"],"itemData":{"id":182,"type":"article-journal","abstract":"BACKGROUND AND OBJECTIVES: ANCA-associated vasculitis is extremely rare in children. We report the clinicopathologic features, long-term outcomes, and prognostic factors of a large pediatric cohort of patients with ANCA-associated kidney vasculitis.\nDESIGN, SETTING, PARTICIPANTS, &amp; MEASUREMENTS: This retrospective study included 85 consecutive patients with kidney biopsy specimen-proven ANCA-associated vasculitis from tertiary referral centers in Italy and Canada. Kidney biopsy specimens were categorized as focal, crescentic, sclerotic, or mixed, according to the Berden classification. The prognostic significance of baseline clinical, laboratory, and histologic findings was analyzed with respect to kidney failure or CKD stage 3-5/kidney failure.\nRESULTS: A total of 53 patients had microscopic polyangiitis (62%), and 32 had granulomatosis with polyangiitis (38%). Rapidly progressive GN was the most frequent presentation (39%); a third of the patients also had nephrotic-range proteinuria. Kidney biopsy specimens were classified as focal in 21% of the patients, crescentic in 51%, sclerotic in 15%, and mixed in 13%. Remission-induction therapies included cyclophosphamide in 78% of patients. A total of 25 patients (29%) reached kidney failure. The median (interquartile range) time to kidney failure or last follow-up was 35 (6-89) months in the whole cohort, and 73 (24-109) months among the patients who did not reach this outcome. Patients whose biopsy specimens showed sclerotic histology had significantly shorter kidney survival (hazard ratio, 11.80; 95% confidence interval, 2.49 to 55.99) and survival free of CKD stage 3-5 (hazard ratio, 8.88; 95% confidence interval, 2.43 to 32.48), as compared with those with focal/mixed histology. Baseline eGFR, low serum albumin, hypertension, central nervous system complications, and sclerotic histology, which reflected severe kidney involvement, were associated with both kidney failure and CKD stage 3-5/kidney failure at unadjusted analysis; no independent prognostic factors emerged at multivariable analysis.\nCONCLUSIONS: Children with ANCA-associated kidney vasculitis often have aggressive presentation; a third of such children progress to kidney failure and this usually occurs early during follow-up. A severe clinical presentation is associated with the development of CKD or kidney failure.","container-title":"Clinical journal of the American Society of Nephrology: CJASN","DOI":"10.2215/CJN.19181220","ISSN":"1555-905X","issue":"7","journalAbbreviation":"Clin J Am Soc Nephrol","language":"eng","note":"PMID: 34039568\nPMCID: PMC8425616","page":"1043-1051","source":"PubMed","title":"Prognostic Factors and Long-Term Outcome with ANCA-Associated Kidney Vasculitis in Childhood","volume":"16","author":[{"family":"Calatroni","given":"Marta"},{"family":"Consonni","given":"Filippo"},{"family":"Allinovi","given":"Marco"},{"family":"Bettiol","given":"Alessandra"},{"family":"Jawa","given":"Natasha"},{"family":"Fiasella","given":"Susanna"},{"family":"Curi","given":"Dritan"},{"family":"Abu Rumeileh","given":"Sarah"},{"family":"Tomei","given":"Leonardo"},{"family":"Fortunato","given":"Laura"},{"family":"Gelain","given":"Elena"},{"family":"Gianfreda","given":"Davide"},{"family":"Oliva","given":"Elena"},{"family":"Jeannin","given":"Guido"},{"family":"Salviani","given":"Chiara"},{"family":"Emmi","given":"Giacomo"},{"family":"Bodria","given":"Monica"},{"family":"Sinico","given":"Renato A."},{"family":"Moroni","given":"Gabriella"},{"family":"Ramirez","given":"Giuseppe A."},{"family":"Bozzolo","given":"Enrica"},{"family":"Tombetti","given":"Enrico"},{"family":"Monti","given":"Sara"},{"family":"Bracaglia","given":"Claudia"},{"family":"Marucci","given":"Giulia"},{"family":"Pastore","given":"Serena"},{"family":"Esposito","given":"Pasquale"},{"family":"Catanoso","given":"Maria G."},{"family":"Crapella","given":"Barbara"},{"family":"Montini","given":"Giovanni"},{"family":"Roperto","given":"Rosa"},{"family":"Materassi","given":"Marco"},{"family":"Rossi","given":"Giovanni M."},{"family":"Badalamenti","given":"Salvatore"},{"family":"Yeung","given":"Rae S. M."},{"family":"Romagnani","given":"Paola"},{"family":"Ghiggeri","given":"Gian M."},{"family":"Noone","given":"Damien"},{"family":"Vaglio","given":"Augusto"}],"issued":{"date-parts":[["2021",7]]}}},{"id":184,"uris":["http://zotero.org/users/local/lvPLY4Gu/items/FQ9MDHVV"],"itemData":{"id":184,"type":"article-journal","abstract":"BACKGROUND: Anti-neutrophil cytoplasmic antibody (ANCA)-associated vasculitis and glomerulonephritis is uncommon in children. We sought to characterize the histological and clinical features of the disease and report on risk factors for adverse outcomes in a pediatric cohort.\nMETHODS: Retrospective single-center cohort of all pediatric (&lt; 20 years) patients diagnosed with ANCA-associated glomerulonephritis (AAGN) by kidney biopsy between 2002 and 2022 at Johns Hopkins University. Histological and clinical features were extracted from the medical record. Clinical, laboratory, and histological findings were analyzed to determine the association with kidney failure (KF) and/or death.\nRESULTS: A total of 17 patients were identified (GPA n = 7, MPA = 10) with a median age of 15 years (IQR 12-17) at presentation, a slight female predominance (59%), with seven patients reaching the composite outcome of death (n = 1) or kidney failure (n = 6). There was no difference in presenting clinical symptoms or extra-renal manifestations between the two groups. Univariable Cox regression identified several factors associated with an increased hazard of endpoint including the degree of global or segmental sclerosis, interstitial fibrosis and tubular atrophy (IFTA), C3 and C1q staining, presence of subendothelial deposits, and proteinuria. Multivariable regression was not performed due to the small sample size. We saw a trend towards increased utilization of plasma exchange and a decrease in cyclophosphamide utilization in the more recent era. There was no association between treatment modality and outcome.\nCONCLUSIONS: Pediatric AAGN is a rare disease associated with significant morbidity. We identified glomerulosclerosis and IFTA on histology, and proteinuria on initial presentation as risk factors for KF/death.","container-title":"Pediatric Nephrology (Berlin, Germany)","DOI":"10.1007/s00467-024-06406-5","ISSN":"1432-198X","issue":"10","journalAbbreviation":"Pediatr Nephrol","language":"eng","note":"PMID: 38780769\nPMCID: PMC11349454","page":"2947-2957","source":"PubMed","title":"Clinicopathological characteristics of pediatric ANCA-associated glomerulonephritis","volume":"39","author":[{"family":"Charnaya","given":"Olga"},{"family":"Kruglyakova","given":"Jacqueline"},{"family":"Jacob","given":"Binil"},{"family":"Arend","given":"Lois J."}],"issued":{"date-parts":[["2024",10]]}}},{"id":191,"uris":["http://zotero.org/users/local/lvPLY4Gu/items/WCUTSH7C"],"itemData":{"id":191,"type":"article-journal","abstract":"OBJECTIVE: There are few reports on the treatment of antineutrophil cytoplasmic antibody-associated vasculitis (AAV) in children. This study characterizes the use of cyclophosphamide, rituximab, and plasma exchange in children hospitalized with AAV in the US.\nMETHODS: We conducted a retrospective cohort study of children hospitalized with AAV from 2004-2014 utilizing an administrative and billing database from 47 tertiary care pediatric hospitals. All patients had an International Classification of Diseases, Ninth Revision, Clinical Modification discharge code of 446.4 and ≥1 charge for glucocorticoids. Treatment receipt was determined using billing data. Mixed-effects logistic regression was used to evaluate factors associated with the likelihood of receipt of each of the 3 treatments.\nRESULTS: During the 11-year study period there were 1,290 admissions for 393 children. The median age at index admission was 14.6 years, and 61% were female. Dialysis or mechanical ventilation was required by 16% and 17% of the children, respectively. The median length of stay was 9 days. The percentages of children receiving cyclophosphamide, rituximab, or both were 57%, 21%, and 10%, respectively, and 22% received plasma exchange. Mechanical ventilation was associated with the receipt of cyclophosphamide and plasma exchange, but not rituximab. There was an increasing trend in the use of rituximab over time during the study period (P &lt; 0.05), and a decreasing trend in the use of cyclophosphamide (P &lt; 0.05). Treatment use varied significantly between hospitals, especially for plasma exchange.\nCONCLUSION: The treatment of children with severe AAV is shifting from cyclophosphamide to rituximab, and their need for dialysis, mechanical ventilation, and prolonged hospitalization remains common. Use of plasma exchange is highly variable.","container-title":"Arthritis Care &amp; Research","DOI":"10.1002/acr.23142","ISSN":"2151-4658","issue":"9","journalAbbreviation":"Arthritis Care Res (Hoboken)","language":"eng","note":"PMID: 27813340\nPMCID: PMC5415438","page":"1377-1383","source":"PubMed","title":"Variation in the Treatment of Children Hospitalized With Antineutrophil Cytoplasmic Antibody-Associated Vasculitis in the US","volume":"69","author":[{"family":"James","given":"Karen E."},{"family":"Xiao","given":"Rui"},{"family":"Merkel","given":"Peter A."},{"family":"Weiss","given":"Pamela F."}],"issued":{"date-parts":[["2017",9]]}}},{"id":208,"uris":["http://zotero.org/users/local/lvPLY4Gu/items/XVN7RLEQ"],"itemData":{"id":208,"type":"article-journal","abstract":"INTRODUCTION: Antineutrophil cytoplasmic antibody (ANCA)-associated vasculitis (AAV) is relatively rare in children. This article aimed to analyze clinical and renal histology findings and different responses to induction treatment associated with the long-term renal outcomes in children with AAV in a single center.\nMETHODS: All pediatric patients with AAV admitted to Tongji Hospital from January 2002 to January 2021 were included in the study. The demographic, clinical, pathological, laboratory, and treatment data and outcomes were collected and analyzed to identify predictors associated with response to induction treatment and progression to end-stage renal disease (ESRD).\nRESULTS: In total, 48 children with AAV were included in this cohort; 81.25% of them were women, and 91.7% were microscopic polyangiitis (MPA). Kidney involvement was found in 45 patients (93.75%). The most common histopathological subtype was crescentic form in this cohort according to Berden's classification. In total, 34 patients (70.8%) showed eGFR &lt;60 ml/min/1.73 m2 at the time of diagnosis. Complete and partial remission was achieved in 8 patients (16.7%) and 19 patients (39.6%), respectively, following 6-month induction treatment. Half of the patients eventually progressed to ESRD at a mean time of (13.04 ± 15.83) months after diagnosis. The independent predictors of nonremission following induction treatment and progression to ESRD were baseline eGFR &lt;60 ml/min/1.73 m2 and hypertension at diagnosis. Renal survival significantly decreased over time in patients with renal sclerotic subtypes or those with nonremission following induction treatment by Kaplan-Meier curve estimation.\nCONCLUSIONS: Our study demonstrates that women, MPA, and crescentic subtypes are predominant in pediatric AAV in China. Initial renal failure (eGFR &lt;60 ml/min/1.73 m2), hypertension, sclerotic pathological subtype, and nonremission following induction treatment are predictive of long-term renal outcomes.","container-title":"Frontiers in Immunology","DOI":"10.3389/fimmu.2022.857813","ISSN":"1664-3224","journalAbbreviation":"Front Immunol","language":"eng","note":"PMID: 35493514\nPMCID: PMC9047757","page":"857813","source":"PubMed","title":"Clinical and Renal Histology Findings and Different Responses to Induction Treatment Affecting the Long-Term Renal Outcomes of Children With ANCA-Associated Vasculitis: a Single-Center Cohort Analysis","title-short":"Clinical and Renal Histology Findings and Different Responses to Induction Treatment Affecting the Long-Term Renal Outcomes of Children With ANCA-Associated Vasculitis","volume":"13","author":[{"family":"Yang","given":"Jing"},{"family":"Yang","given":"Yuan"},{"family":"Xu","given":"Yongli"},{"family":"Zhou","given":"Lanqi"},{"family":"Zhou","given":"Luowen"},{"family":"Yin","given":"Xiaoling"},{"family":"Pu","given":"Jinyun"},{"family":"Yang","given":"Fengjie"},{"family":"Liu","given":"Yaping"},{"family":"He","given":"Yonghua"},{"family":"Chen","given":"Yaxian"},{"family":"Yuan","given":"Huiqing"},{"family":"Qiu","given":"Liru"},{"family":"Zhang","given":"Yu"},{"family":"Chen","given":"Yu"},{"family":"Liu","given":"Tonglin"},{"family":"Tang","given":"Jinhui"},{"family":"Zhou","given":"Jianhua"}],"issued":{"date-parts":[["2022"]]}}}],"schema":"https://github.com/citation-style-language/schema/raw/master/csl-citation.json"} </w:instrText>
      </w:r>
      <w:r>
        <w:rPr>
          <w:rFonts w:cstheme="minorHAnsi"/>
          <w:color w:val="1A1A1A"/>
          <w:sz w:val="22"/>
          <w:szCs w:val="22"/>
        </w:rPr>
        <w:fldChar w:fldCharType="separate"/>
      </w:r>
      <w:r w:rsidR="00642970">
        <w:rPr>
          <w:rFonts w:cstheme="minorHAnsi"/>
          <w:noProof/>
          <w:color w:val="1A1A1A"/>
          <w:sz w:val="22"/>
          <w:szCs w:val="22"/>
        </w:rPr>
        <w:t>(87,88,91,98)</w:t>
      </w:r>
      <w:r>
        <w:rPr>
          <w:rFonts w:cstheme="minorHAnsi"/>
          <w:color w:val="1A1A1A"/>
          <w:sz w:val="22"/>
          <w:szCs w:val="22"/>
        </w:rPr>
        <w:fldChar w:fldCharType="end"/>
      </w:r>
      <w:r>
        <w:rPr>
          <w:rFonts w:cstheme="minorHAnsi"/>
          <w:color w:val="1A1A1A"/>
          <w:sz w:val="22"/>
          <w:szCs w:val="22"/>
        </w:rPr>
        <w:t xml:space="preserve">, and </w:t>
      </w:r>
      <w:r w:rsidR="00DF275A">
        <w:rPr>
          <w:rFonts w:cstheme="minorHAnsi"/>
          <w:color w:val="1A1A1A"/>
          <w:sz w:val="22"/>
          <w:szCs w:val="22"/>
        </w:rPr>
        <w:t xml:space="preserve">it </w:t>
      </w:r>
      <w:r>
        <w:rPr>
          <w:rFonts w:cstheme="minorHAnsi"/>
          <w:color w:val="1A1A1A"/>
          <w:sz w:val="22"/>
          <w:szCs w:val="22"/>
        </w:rPr>
        <w:t>therefore needs prompt, intensive treatment at the time of diagnosis</w:t>
      </w:r>
      <w:r w:rsidR="00DF275A">
        <w:rPr>
          <w:rFonts w:cstheme="minorHAnsi"/>
          <w:color w:val="1A1A1A"/>
          <w:sz w:val="22"/>
          <w:szCs w:val="22"/>
        </w:rPr>
        <w:t xml:space="preserve"> </w:t>
      </w:r>
      <w:r w:rsidR="00DF275A">
        <w:rPr>
          <w:rFonts w:cstheme="minorHAnsi"/>
          <w:color w:val="1A1A1A"/>
          <w:sz w:val="22"/>
          <w:szCs w:val="22"/>
        </w:rPr>
        <w:fldChar w:fldCharType="begin"/>
      </w:r>
      <w:r w:rsidR="00642970">
        <w:rPr>
          <w:rFonts w:cstheme="minorHAnsi"/>
          <w:color w:val="1A1A1A"/>
          <w:sz w:val="22"/>
          <w:szCs w:val="22"/>
        </w:rPr>
        <w:instrText xml:space="preserve"> ADDIN ZOTERO_ITEM CSL_CITATION {"citationID":"Gwl3uPop","properties":{"formattedCitation":"(93)","plainCitation":"(93)","noteIndex":0},"citationItems":[{"id":196,"uris":["http://zotero.org/users/local/lvPLY4Gu/items/KW2AEVBH"],"itemData":{"id":196,"type":"article-journal","abstract":"Data on anti-neutrophil cytoplasmic antibody-associated vasculitis (AAV) are limited in children. This study is to determine the clinical features and outcomes of childhood-onset AAV. A retrospective study was performed on patients who were diagnosed with AAV before 18 years old in Xiangya Hospital. Their medical records were analyzed by retrospective review. Sixteen patients were diagnosed with AAV before 18 years old in the past 9 years, with an average age of 13.3 ± 3.3 years and 13 of them were female. There were 15 patients with microscopic polyangiitis (MPA) and 1 with Wegener's granulomatosis. The interval between onset of disease and diagnosis of AAV was 2 (1.5-3) months. Most patients (15/16, 93.8%) had multi-organ involvement, and all patients had renal involvement with 7 (43.8%) patients requiring dialysis at presentation. Eleven patients underwent a renal biopsy, of which mixed class and sclerotic class were the most two common histological types. All patients received immunosuppressive therapy for induction therapy including intravenous administrations of methylprednisolone (MP) pulse therapy for 8 patients. 8 patients (50%) achieved remission after induction therapy. After a median follow-up of 46.3 ± 36.1 months, nine (56.3%) patients progressed to end-stage renal disease (ESRD) and 5 (31.3%) patients died. Childhood-onset AAV showed similar clinical and pathological features compared to those of adults, except that it usually occurs in girls. The most commonly involved organ was the kidney, and it had a high risk of progression to ESRD. Early diagnosis and initiation of appropriate immunomodulatory therapy would be important to improve outcomes.","container-title":"Clinical and Experimental Medicine","DOI":"10.1007/s10238-021-00762-4","ISSN":"1591-9528","issue":"3","journalAbbreviation":"Clin Exp Med","language":"eng","note":"PMID: 34550486","page":"447-453","source":"PubMed","title":"Clinical features and outcomes of anti-neutrophil cytoplasmic autoantibody-associated vasculitis in Chinese childhood-onset patients","volume":"22","author":[{"family":"Meng","given":"Ting"},{"family":"Shen","given":"Chanjuan"},{"family":"Tang","given":"Rong"},{"family":"Lin","given":"Wei"},{"family":"Ooi","given":"Joshua D."},{"family":"Eggenhuizen","given":"Peter J."},{"family":"Zhou","given":"Ya-Ou"},{"family":"Chen","given":"Jinbiao"},{"family":"He","given":"Fang"},{"family":"Xiao","given":"Zhou"},{"family":"Ao","given":"Xiang"},{"family":"Peng","given":"Weisheng"},{"family":"Nie","given":"Wannian"},{"family":"Zhou","given":"Qiaoling"},{"family":"Xiao","given":"Ping"},{"family":"Zhong","given":"Yong"},{"family":"Xiao","given":"Xiangcheng"}],"issued":{"date-parts":[["2022",8]]}}}],"schema":"https://github.com/citation-style-language/schema/raw/master/csl-citation.json"} </w:instrText>
      </w:r>
      <w:r w:rsidR="00DF275A">
        <w:rPr>
          <w:rFonts w:cstheme="minorHAnsi"/>
          <w:color w:val="1A1A1A"/>
          <w:sz w:val="22"/>
          <w:szCs w:val="22"/>
        </w:rPr>
        <w:fldChar w:fldCharType="separate"/>
      </w:r>
      <w:r w:rsidR="00642970">
        <w:rPr>
          <w:rFonts w:cstheme="minorHAnsi"/>
          <w:noProof/>
          <w:color w:val="1A1A1A"/>
          <w:sz w:val="22"/>
          <w:szCs w:val="22"/>
        </w:rPr>
        <w:t>(93)</w:t>
      </w:r>
      <w:r w:rsidR="00DF275A">
        <w:rPr>
          <w:rFonts w:cstheme="minorHAnsi"/>
          <w:color w:val="1A1A1A"/>
          <w:sz w:val="22"/>
          <w:szCs w:val="22"/>
        </w:rPr>
        <w:fldChar w:fldCharType="end"/>
      </w:r>
      <w:r>
        <w:rPr>
          <w:rFonts w:cstheme="minorHAnsi"/>
          <w:color w:val="1A1A1A"/>
          <w:sz w:val="22"/>
          <w:szCs w:val="22"/>
        </w:rPr>
        <w:t xml:space="preserve">. </w:t>
      </w:r>
      <w:r w:rsidR="00DF275A">
        <w:rPr>
          <w:rFonts w:cstheme="minorHAnsi"/>
          <w:color w:val="1A1A1A"/>
          <w:sz w:val="22"/>
          <w:szCs w:val="22"/>
        </w:rPr>
        <w:t xml:space="preserve">Previously there was variability in the immunosuppressive treatments used </w:t>
      </w:r>
      <w:r w:rsidR="00DF275A">
        <w:rPr>
          <w:rFonts w:cstheme="minorHAnsi"/>
          <w:color w:val="1A1A1A"/>
          <w:sz w:val="22"/>
          <w:szCs w:val="22"/>
        </w:rPr>
        <w:fldChar w:fldCharType="begin"/>
      </w:r>
      <w:r w:rsidR="00642970">
        <w:rPr>
          <w:rFonts w:cstheme="minorHAnsi"/>
          <w:color w:val="1A1A1A"/>
          <w:sz w:val="22"/>
          <w:szCs w:val="22"/>
        </w:rPr>
        <w:instrText xml:space="preserve"> ADDIN ZOTERO_ITEM CSL_CITATION {"citationID":"3yVzkblF","properties":{"formattedCitation":"(94)","plainCitation":"(94)","noteIndex":0},"citationItems":[{"id":198,"uris":["http://zotero.org/users/local/lvPLY4Gu/items/BKJIE4TB"],"itemData":{"id":198,"type":"article-journal","abstract":"OBJECTIVE: To characterize the early disease course in childhood-onset antineutrophil cytoplasmic antibody (ANCA)-associated vasculitis (AAV) and the 12-month outcomes in children with AAV.\nMETHODS: Eligible subjects were children entered into the Pediatric Vasculitis Initiative study who were diagnosed before their eighteenth birthday as having granulomatosis with polyangiitis (Wegener's), microscopic polyangiitis, eosinophilic granulomatosis with polyangiitis (Churg-Strauss), or ANCA-positive pauci-immune glomerulonephritis. The primary outcome measure was achievement of disease remission (Pediatric Vasculitis Activity Score [PVAS] of 0) at 12 months with a corticosteroid dosage of &lt;0.2 mg/kg/day. Secondary outcome measures included the rates of inactive disease (PVAS of 0, with any corticosteroid dosage) and rates of improvement at postinduction (4-6 months after diagnosis) and at 12 months, presence of damage at 12 months (measured by a modified Pediatric Vasculitis Damage Index [PVDI]; score 0 = no damage, score 1 = one damage item present), and relapse rates at 12 months.\nRESULTS: In total, 105 children with AAV were included in the study. The median age at diagnosis was 13.8 years (interquartile range 10.9-15.8 years). Among the study cohort, 42% of patients achieved remission at 12 months, 49% had inactive disease at postinduction (4-6 months), and 61% had inactive disease at 12 months. The majority of patients improved, even if they did not achieve inactive disease. An improvement in the PVAS score of at least 50% from time of diagnosis to postinduction was seen in 92% of patients. Minor relapses occurred in 12 (24%) of 51 patients after inactive disease had been achieved postinduction. The median PVDI damage score at 12 months was 1 (range 0-6), and 63% of patients had ≥1 PVDI damage item scored as present at 12 months.\nCONCLUSION: This is the largest study to date to assess disease outcomes in pediatric AAV. Although the study showed that a significant proportion of patients did not achieve remission, the majority of patients responded to treatment. Unfortunately, more than one-half of this patient cohort experienced damage to various organ systems early in their disease course.","container-title":"Arthritis &amp; Rheumatology (Hoboken, N.J.)","DOI":"10.1002/art.40112","ISSN":"2326-5205","issue":"7","journalAbbreviation":"Arthritis Rheumatol","language":"eng","note":"PMID: 28371513","page":"1470-1479","source":"PubMed","title":"Early Outcomes in Children With Antineutrophil Cytoplasmic Antibody-Associated Vasculitis","volume":"69","author":[{"family":"Morishita","given":"Kimberly A."},{"family":"Moorthy","given":"Lakshmi N."},{"family":"Lubieniecka","given":"Joanna M."},{"family":"Twilt","given":"Marinka"},{"family":"Yeung","given":"Rae S. M."},{"family":"Toth","given":"Mary B."},{"family":"Shenoi","given":"Susan"},{"family":"Ristic","given":"Goran"},{"family":"Nielsen","given":"Susan M."},{"family":"Luqmani","given":"Raashid A."},{"family":"Li","given":"Suzanne C."},{"family":"Lee","given":"Tzielan"},{"family":"Lawson","given":"Erica F."},{"family":"Kostik","given":"Mikhail M."},{"family":"Klein-Gitelman","given":"Marisa"},{"family":"Huber","given":"Adam M."},{"family":"Hersh","given":"Aimee O."},{"family":"Foell","given":"Dirk"},{"family":"Elder","given":"Melissa E."},{"family":"Eberhard","given":"Barbara A."},{"family":"Dancey","given":"Paul"},{"family":"Charuvanij","given":"Sirirat"},{"family":"Benseler","given":"Susanne M."},{"family":"Cabral","given":"David A."},{"literal":"ARChiVe Investigators Network within the PedVas Initiative"}],"issued":{"date-parts":[["2017",7]]}}}],"schema":"https://github.com/citation-style-language/schema/raw/master/csl-citation.json"} </w:instrText>
      </w:r>
      <w:r w:rsidR="00DF275A">
        <w:rPr>
          <w:rFonts w:cstheme="minorHAnsi"/>
          <w:color w:val="1A1A1A"/>
          <w:sz w:val="22"/>
          <w:szCs w:val="22"/>
        </w:rPr>
        <w:fldChar w:fldCharType="separate"/>
      </w:r>
      <w:r w:rsidR="00642970">
        <w:rPr>
          <w:rFonts w:cstheme="minorHAnsi"/>
          <w:noProof/>
          <w:color w:val="1A1A1A"/>
          <w:sz w:val="22"/>
          <w:szCs w:val="22"/>
        </w:rPr>
        <w:t>(94)</w:t>
      </w:r>
      <w:r w:rsidR="00DF275A">
        <w:rPr>
          <w:rFonts w:cstheme="minorHAnsi"/>
          <w:color w:val="1A1A1A"/>
          <w:sz w:val="22"/>
          <w:szCs w:val="22"/>
        </w:rPr>
        <w:fldChar w:fldCharType="end"/>
      </w:r>
      <w:r w:rsidR="00DF275A">
        <w:rPr>
          <w:rFonts w:cstheme="minorHAnsi"/>
          <w:color w:val="1A1A1A"/>
          <w:sz w:val="22"/>
          <w:szCs w:val="22"/>
        </w:rPr>
        <w:t>, however recent i</w:t>
      </w:r>
      <w:r w:rsidR="00747099">
        <w:rPr>
          <w:rFonts w:cstheme="minorHAnsi"/>
          <w:color w:val="1A1A1A"/>
          <w:sz w:val="22"/>
          <w:szCs w:val="22"/>
        </w:rPr>
        <w:t>nduction treatment with</w:t>
      </w:r>
      <w:r w:rsidR="00DF275A">
        <w:rPr>
          <w:rFonts w:cstheme="minorHAnsi"/>
          <w:color w:val="1A1A1A"/>
          <w:sz w:val="22"/>
          <w:szCs w:val="22"/>
        </w:rPr>
        <w:t xml:space="preserve"> either</w:t>
      </w:r>
      <w:r w:rsidR="00747099">
        <w:rPr>
          <w:rFonts w:cstheme="minorHAnsi"/>
          <w:color w:val="1A1A1A"/>
          <w:sz w:val="22"/>
          <w:szCs w:val="22"/>
        </w:rPr>
        <w:t xml:space="preserve"> rituximab or cyclophosphamide </w:t>
      </w:r>
      <w:r w:rsidR="00DF275A">
        <w:rPr>
          <w:rFonts w:cstheme="minorHAnsi"/>
          <w:color w:val="1A1A1A"/>
          <w:sz w:val="22"/>
          <w:szCs w:val="22"/>
        </w:rPr>
        <w:t>together with corticosteroids has been advocated in guidelines</w:t>
      </w:r>
      <w:r w:rsidR="004C3586">
        <w:rPr>
          <w:rFonts w:cstheme="minorHAnsi"/>
          <w:color w:val="1A1A1A"/>
          <w:sz w:val="22"/>
          <w:szCs w:val="22"/>
        </w:rPr>
        <w:t>, and reflected in cohort data,</w:t>
      </w:r>
      <w:r w:rsidR="00DF275A">
        <w:rPr>
          <w:rFonts w:cstheme="minorHAnsi"/>
          <w:color w:val="1A1A1A"/>
          <w:sz w:val="22"/>
          <w:szCs w:val="22"/>
        </w:rPr>
        <w:t xml:space="preserve"> due to evidence showing </w:t>
      </w:r>
      <w:r w:rsidR="00747099">
        <w:rPr>
          <w:rFonts w:cstheme="minorHAnsi"/>
          <w:color w:val="1A1A1A"/>
          <w:sz w:val="22"/>
          <w:szCs w:val="22"/>
        </w:rPr>
        <w:t>equivocal outcomes</w:t>
      </w:r>
      <w:r>
        <w:rPr>
          <w:rFonts w:cstheme="minorHAnsi"/>
          <w:color w:val="1A1A1A"/>
          <w:sz w:val="22"/>
          <w:szCs w:val="22"/>
        </w:rPr>
        <w:t xml:space="preserve"> </w:t>
      </w:r>
      <w:r>
        <w:rPr>
          <w:rFonts w:cstheme="minorHAnsi"/>
          <w:color w:val="1A1A1A"/>
          <w:sz w:val="22"/>
          <w:szCs w:val="22"/>
        </w:rPr>
        <w:fldChar w:fldCharType="begin"/>
      </w:r>
      <w:r w:rsidR="00642970">
        <w:rPr>
          <w:rFonts w:cstheme="minorHAnsi"/>
          <w:color w:val="1A1A1A"/>
          <w:sz w:val="22"/>
          <w:szCs w:val="22"/>
        </w:rPr>
        <w:instrText xml:space="preserve"> ADDIN ZOTERO_ITEM CSL_CITATION {"citationID":"5vSOWG9P","properties":{"formattedCitation":"(8,86,95,97)","plainCitation":"(8,86,95,97)","noteIndex":0},"citationItems":[{"id":19,"uris":["http://zotero.org/users/local/lvPLY4Gu/items/MH3UPFQJ"],"itemData":{"id":19,"type":"article-journal","abstract":"OBJECTIVE: To provide evidence-based recommendations and expert guidance for the management of antineutrophil cytoplasmic antibody-associated vasculitis (AAV), including granulomatosis with polyangiitis (GPA), microscopic polyangiitis (MPA), and eosinophilic granulomatosis with polyangiitis (EGPA).\nMETHODS: Clinical questions regarding the treatment and management of AAV were developed in the population, intervention, comparator, and outcome (PICO) format (47 for GPA/MPA, 34 for EGPA). Systematic literature reviews were conducted for each PICO question. The Grading of Recommendations Assessment, Development and Evaluation methodology was used to assess the quality of evidence and formulate recommendations. Each recommendation required ≥70% consensus among the Voting Panel.\nRESULTS: We present 26 recommendations and 5 ungraded position statements for GPA/MPA, and 15 recommendations and 5 ungraded position statements for EGPA. This guideline provides recommendations for remission induction and maintenance therapy as well as adjunctive treatment strategies in GPA, MPA, and EGPA. These recommendations include the use of rituximab for remission induction and maintenance in severe GPA and MPA and the use of mepolizumab in nonsevere EGPA. All recommendations are conditional due in part to the lack of multiple randomized controlled trials and/or low-quality evidence supporting the recommendations.\nCONCLUSION: This guideline presents the first recommendations endorsed by the American College of Rheumatology and the Vasculitis Foundation for the management of AAV and provides guidance to health care professionals on how to treat these diseases.","container-title":"Arthritis &amp; Rheumatology (Hoboken, N.J.)","DOI":"10.1002/art.41773","ISSN":"2326-5205","issue":"8","journalAbbreviation":"Arthritis Rheumatol","language":"eng","note":"PMID: 34235894","page":"1366-1383","source":"PubMed","title":"2021 American College of Rheumatology/Vasculitis Foundation Guideline for the Management of Antineutrophil Cytoplasmic Antibody-Associated Vasculitis","volume":"73","author":[{"family":"Chung","given":"Sharon A."},{"family":"Langford","given":"Carol A."},{"family":"Maz","given":"Mehrdad"},{"family":"Abril","given":"Andy"},{"family":"Gorelik","given":"Mark"},{"family":"Guyatt","given":"Gordon"},{"family":"Archer","given":"Amy M."},{"family":"Conn","given":"Doyt L."},{"family":"Full","given":"Kathy A."},{"family":"Grayson","given":"Peter C."},{"family":"Ibarra","given":"Maria F."},{"family":"Imundo","given":"Lisa F."},{"family":"Kim","given":"Susan"},{"family":"Merkel","given":"Peter A."},{"family":"Rhee","given":"Rennie L."},{"family":"Seo","given":"Philip"},{"family":"Stone","given":"John H."},{"family":"Sule","given":"Sangeeta"},{"family":"Sundel","given":"Robert P."},{"family":"Vitobaldi","given":"Omar I."},{"family":"Warner","given":"Ann"},{"family":"Byram","given":"Kevin"},{"family":"Dua","given":"Anisha B."},{"family":"Husainat","given":"Nedaa"},{"family":"James","given":"Karen E."},{"family":"Kalot","given":"Mohamad A."},{"family":"Lin","given":"Yih Chang"},{"family":"Springer","given":"Jason M."},{"family":"Turgunbaev","given":"Marat"},{"family":"Villa-Forte","given":"Alexandra"},{"family":"Turner","given":"Amy S."},{"family":"Mustafa","given":"Reem A."}],"issued":{"date-parts":[["2021",8]]}}},{"id":180,"uris":["http://zotero.org/users/local/lvPLY4Gu/items/KQEXYZ89"],"itemData":{"id":180,"type":"article-journal","abstract":"BACKGROUND: Microscopic polyangiitis (MPA) is one of the most common forms of antineutrophil cytoplasm autoantibodies (ANCA)-associated vasculitis in children. Cyclophospamide and glucocorticoid-based treatment protocols are still considered gold standard in managing this multi-system disorder. But treatment-related toxicity is a major cause of chronic morbidity and early mortality in MPA. Hence, the search for an effective and safe alternative immunosuppressant is essential.\nMETHODS: A retrospective analysis of baseline clinico-pathological presentation and treatment-outcome was performed among 11 paediatric MPA patients. All of whom were treated with a pre-specified cyclophosphamide free, rituximab- and mycophenolate mofetil (MMF)-based management protocol as per centre practice.\nRESULTS: We describe the clinical course of 11 children with MPA over a median follow-up period of 20.9 months. Both patient survival and renal survival at 1 year follow-up were 100%. In spite of the varying degree of renal involvement at presentation, kidney function was recovered in all patients with a median estimated glomerular filtration rate (eGFR) of 79.5 mL/min/1.73 m(2). At last follow-up, 91% (10/11) of patients were in complete remission and one (9%) child continued partial remission state. There was no treatment failure. In total, 73% (8/11) of patients were off steroids at last follow-up and 82% (9/11) of patients never relapsed during follow-up period.\nCONCLUSIONS: Efficacy and medium-term safety of rituximab- and MMF-based protocol in managing children with MPA was evident in this study.","container-title":"Nephrology, Dialysis, Transplantation: Official Publication of the European Dialysis and Transplant Association - European Renal Association","DOI":"10.1093/ndt/gfv016","ISSN":"1460-2385","journalAbbreviation":"Nephrol Dial Transplant","language":"eng","note":"PMID: 25758433","page":"i113-118","source":"PubMed","title":"Favourable renal survival in paediatric microscopic polyangiitis: efficacy of a novel treatment algorithm","title-short":"Favourable renal survival in paediatric microscopic polyangiitis","volume":"30 Suppl 1","author":[{"family":"Basu","given":"Biswanath"},{"family":"Mahapatra","given":"T. K. S."},{"family":"Mondal","given":"Nirmal"}],"issued":{"date-parts":[["2015",4]]}}},{"id":200,"uris":["http://zotero.org/users/local/lvPLY4Gu/items/6SBQJZ8M"],"itemData":{"id":200,"type":"article-journal","abstract":"OBJECTIVE: There is no standardized approach to the treatment of pediatric antineutrophil cytoplasmic antibody-associated vasculitis (AAV). Because of the rarity of pediatric AAV, randomized trials have not been feasible. The present study of the Childhood Arthritis and Rheumatology Research Alliance (CARRA) was undertaken to establish consensus treatment plans (CTPs) for severe pediatric AAV to enable the future study of comparative effectiveness and safety.\nMETHODS: A workgroup of CARRA members (rheumatologists and nephrologists) formed the AAV Workgroup. This group performed a literature review on existing evidence-based treatments and guidelines for the management of AAV. They determined that the target population for CTP development was patients &lt;18 years of age with new-onset granulomatosis with polyangiitis (GPA), microscopic polyangiitis, or renal-limited AAV (eosinophilic GPA was excluded), with presentation confined to those with severe disease (i.e., organ- or life-threatening). Face-to-face consensus conferences employed nominal group techniques to identify treatment strategies for remission induction and remission maintenance, data elements to be systematically collected, and outcomes to be measured over time.\nRESULTS: The pediatric AAV Workgroup developed 2 CTPs for each of the remission induction and remission maintenance of severe AAV. A glucocorticoid-weaning regimen for induction and maintenance, a core data set, and outcome measures were also defined. A random sample of CARRA membership voted acceptance of the CTPs for remission induction and remission maintenance, with a 94% (75 of 80) and 98% (78 of 80) approval rate, respectively.\nCONCLUSION: Consensus methodology established standardized CTPs for treating severe pediatric AAV. These CTPs were in principle accepted by CARRA-wide membership for the evaluation of pragmatic comparative effectiveness in a long-term registry.","container-title":"Arthritis Care &amp; Research","DOI":"10.1002/acr.24590","ISSN":"2151-4658","issue":"9","journalAbbreviation":"Arthritis Care Res (Hoboken)","language":"eng","note":"PMID: 33675161","page":"1550-1558","source":"PubMed","title":"Consensus Treatment Plans for Severe Pediatric Antineutrophil Cytoplasmic Antibody-Associated Vasculitis","volume":"74","author":[{"family":"Morishita","given":"Kimberly A."},{"family":"Wagner-Weiner","given":"Linda"},{"family":"Yen","given":"Eric Y."},{"family":"Sivaraman","given":"Vidya"},{"family":"James","given":"Karen E."},{"family":"Gerstbacher","given":"Dana"},{"family":"Szymanski","given":"Ann M."},{"family":"O'Neil","given":"Kathleen M."},{"family":"Cabral","given":"David A."},{"literal":"Childhood Arthritis and Rheumatology Research Alliance (CARRA) Antineutrophil Cytoplasmic Antibody-Associated Vasculitis Workgroup"}],"issued":{"date-parts":[["2022",9]]}}},{"id":205,"uris":["http://zotero.org/users/local/lvPLY4Gu/items/UB2P7N3K"],"itemData":{"id":205,"type":"article-journal","abstract":"BACKGROUND: Childhood-onset ANCA-associated vasculitides (AAV) are characterized by necrotizing inflammation and include granulomatosis with polyangiitis (GPA), microscopic polyangiitis (MPA), and eosinophilic granulomatosis with polyangiitis (EGPA). Pediatric data is scare and there have been no prior studies examining the characteristics of pediatric AAV in Central California.\nMETHODS: This retrospective study comprised AAV patients ≤18 years of age, diagnosed between 2010 and 2021, in Central California. We analyzed initial presentation including demographics, clinical, laboratory characteristics, treatment, and initial outcomes.\nRESULTS: Of 21 patients with AAV, 12 were categorized as MPA and 9 with GPA. Median age at diagnosis was 13.7 years in MPA cohort and 14 years in GPA. MPA cohort were majority females (92% versus 44%). 57% of the cohort were racial/ethnic minority including Hispanics (n = 9), Asians (n = 2), multiracial (n = 1) and 43% were white (n = 9). MPA patients were more frequently Hispanic (67%), meanwhile GPA patients were frequently white (78%). Median duration of symptoms prior to diagnosis was 14 days in MPA cohort and 21 days in GPA cohort. Renal involvement was frequent (100% in MPA and 78% in GPA). GPA cohort had frequent ear, nose and throat (ENT) involvement (89%). All patients were ANCA positive. All Hispanic patients were MPO positive, meanwhile 89% of white patients were PR3 positive. MPA cohort tended towards more severe disease with 67% requiring ICU admission and 50% requiring dialysis. Two deaths were reported in MPA cohort, related to Aspergillus pneumonia and pulmonary hemorrhage. In MPA cohort, 42% received cyclophosphamide in combination with steroids and 42% received rituximab in combination with steroids. GPA patients received cyclophosphamide, either with steroids alone (78%) or in combination with steroids and rituximab (22%).\nCONCLUSIONS: Microscopic polyangiitis was the most frequent AAV subtype with female preponderance, shorter duration of symptoms at onset and higher proportion of racial/ ethnic minority patients. Hispanic children demonstrated frequent MPO positivity. Trends towards higher rates of ICU requirement and need for dialysis upon initial presentation was noted in MPA. Patients with MPA received rituximab more frequently. Future prospective studies are needed to understand differences in presentation and outcomes in childhood onset AAV between diverse racial-ethnic groups.","container-title":"Pediatric Rheumatology Online Journal","DOI":"10.1186/s12969-023-00853-4","ISSN":"1546-0096","issue":"1","journalAbbreviation":"Pediatr Rheumatol Online J","language":"eng","note":"PMID: 37400890\nPMCID: PMC10316598","page":"66","source":"PubMed","title":"Childhood-Onset ANCA- Associated Vasculitis: single center experience from Central California","title-short":"Childhood-Onset ANCA- Associated Vasculitis","volume":"21","author":[{"family":"Singh","given":"Deepika"},{"family":"Sukumaran","given":"Sukesh"}],"issued":{"date-parts":[["2023",7,3]]}}}],"schema":"https://github.com/citation-style-language/schema/raw/master/csl-citation.json"} </w:instrText>
      </w:r>
      <w:r>
        <w:rPr>
          <w:rFonts w:cstheme="minorHAnsi"/>
          <w:color w:val="1A1A1A"/>
          <w:sz w:val="22"/>
          <w:szCs w:val="22"/>
        </w:rPr>
        <w:fldChar w:fldCharType="separate"/>
      </w:r>
      <w:r w:rsidR="00642970">
        <w:rPr>
          <w:rFonts w:cstheme="minorHAnsi"/>
          <w:noProof/>
          <w:color w:val="1A1A1A"/>
          <w:sz w:val="22"/>
          <w:szCs w:val="22"/>
        </w:rPr>
        <w:t>(8,86,95,97)</w:t>
      </w:r>
      <w:r>
        <w:rPr>
          <w:rFonts w:cstheme="minorHAnsi"/>
          <w:color w:val="1A1A1A"/>
          <w:sz w:val="22"/>
          <w:szCs w:val="22"/>
        </w:rPr>
        <w:fldChar w:fldCharType="end"/>
      </w:r>
      <w:r w:rsidR="00747099">
        <w:rPr>
          <w:rFonts w:cstheme="minorHAnsi"/>
          <w:color w:val="1A1A1A"/>
          <w:sz w:val="22"/>
          <w:szCs w:val="22"/>
        </w:rPr>
        <w:t xml:space="preserve">. Rituximab may have a preferred side effect profile. </w:t>
      </w:r>
      <w:r>
        <w:rPr>
          <w:rFonts w:cstheme="minorHAnsi"/>
          <w:color w:val="1A1A1A"/>
          <w:sz w:val="22"/>
          <w:szCs w:val="22"/>
        </w:rPr>
        <w:t xml:space="preserve">Plasma exchange is still in widespread use </w:t>
      </w:r>
      <w:r>
        <w:rPr>
          <w:rFonts w:cstheme="minorHAnsi"/>
          <w:color w:val="1A1A1A"/>
          <w:sz w:val="22"/>
          <w:szCs w:val="22"/>
        </w:rPr>
        <w:fldChar w:fldCharType="begin"/>
      </w:r>
      <w:r w:rsidR="00642970">
        <w:rPr>
          <w:rFonts w:cstheme="minorHAnsi"/>
          <w:color w:val="1A1A1A"/>
          <w:sz w:val="22"/>
          <w:szCs w:val="22"/>
        </w:rPr>
        <w:instrText xml:space="preserve"> ADDIN ZOTERO_ITEM CSL_CITATION {"citationID":"ZVOAZYO7","properties":{"formattedCitation":"(88,91,92,96)","plainCitation":"(88,91,92,96)","noteIndex":0},"citationItems":[{"id":184,"uris":["http://zotero.org/users/local/lvPLY4Gu/items/FQ9MDHVV"],"itemData":{"id":184,"type":"article-journal","abstract":"BACKGROUND: Anti-neutrophil cytoplasmic antibody (ANCA)-associated vasculitis and glomerulonephritis is uncommon in children. We sought to characterize the histological and clinical features of the disease and report on risk factors for adverse outcomes in a pediatric cohort.\nMETHODS: Retrospective single-center cohort of all pediatric (&lt; 20 years) patients diagnosed with ANCA-associated glomerulonephritis (AAGN) by kidney biopsy between 2002 and 2022 at Johns Hopkins University. Histological and clinical features were extracted from the medical record. Clinical, laboratory, and histological findings were analyzed to determine the association with kidney failure (KF) and/or death.\nRESULTS: A total of 17 patients were identified (GPA n = 7, MPA = 10) with a median age of 15 years (IQR 12-17) at presentation, a slight female predominance (59%), with seven patients reaching the composite outcome of death (n = 1) or kidney failure (n = 6). There was no difference in presenting clinical symptoms or extra-renal manifestations between the two groups. Univariable Cox regression identified several factors associated with an increased hazard of endpoint including the degree of global or segmental sclerosis, interstitial fibrosis and tubular atrophy (IFTA), C3 and C1q staining, presence of subendothelial deposits, and proteinuria. Multivariable regression was not performed due to the small sample size. We saw a trend towards increased utilization of plasma exchange and a decrease in cyclophosphamide utilization in the more recent era. There was no association between treatment modality and outcome.\nCONCLUSIONS: Pediatric AAGN is a rare disease associated with significant morbidity. We identified glomerulosclerosis and IFTA on histology, and proteinuria on initial presentation as risk factors for KF/death.","container-title":"Pediatric Nephrology (Berlin, Germany)","DOI":"10.1007/s00467-024-06406-5","ISSN":"1432-198X","issue":"10","journalAbbreviation":"Pediatr Nephrol","language":"eng","note":"PMID: 38780769\nPMCID: PMC11349454","page":"2947-2957","source":"PubMed","title":"Clinicopathological characteristics of pediatric ANCA-associated glomerulonephritis","volume":"39","author":[{"family":"Charnaya","given":"Olga"},{"family":"Kruglyakova","given":"Jacqueline"},{"family":"Jacob","given":"Binil"},{"family":"Arend","given":"Lois J."}],"issued":{"date-parts":[["2024",10]]}}},{"id":191,"uris":["http://zotero.org/users/local/lvPLY4Gu/items/WCUTSH7C"],"itemData":{"id":191,"type":"article-journal","abstract":"OBJECTIVE: There are few reports on the treatment of antineutrophil cytoplasmic antibody-associated vasculitis (AAV) in children. This study characterizes the use of cyclophosphamide, rituximab, and plasma exchange in children hospitalized with AAV in the US.\nMETHODS: We conducted a retrospective cohort study of children hospitalized with AAV from 2004-2014 utilizing an administrative and billing database from 47 tertiary care pediatric hospitals. All patients had an International Classification of Diseases, Ninth Revision, Clinical Modification discharge code of 446.4 and ≥1 charge for glucocorticoids. Treatment receipt was determined using billing data. Mixed-effects logistic regression was used to evaluate factors associated with the likelihood of receipt of each of the 3 treatments.\nRESULTS: During the 11-year study period there were 1,290 admissions for 393 children. The median age at index admission was 14.6 years, and 61% were female. Dialysis or mechanical ventilation was required by 16% and 17% of the children, respectively. The median length of stay was 9 days. The percentages of children receiving cyclophosphamide, rituximab, or both were 57%, 21%, and 10%, respectively, and 22% received plasma exchange. Mechanical ventilation was associated with the receipt of cyclophosphamide and plasma exchange, but not rituximab. There was an increasing trend in the use of rituximab over time during the study period (P &lt; 0.05), and a decreasing trend in the use of cyclophosphamide (P &lt; 0.05). Treatment use varied significantly between hospitals, especially for plasma exchange.\nCONCLUSION: The treatment of children with severe AAV is shifting from cyclophosphamide to rituximab, and their need for dialysis, mechanical ventilation, and prolonged hospitalization remains common. Use of plasma exchange is highly variable.","container-title":"Arthritis Care &amp; Research","DOI":"10.1002/acr.23142","ISSN":"2151-4658","issue":"9","journalAbbreviation":"Arthritis Care Res (Hoboken)","language":"eng","note":"PMID: 27813340\nPMCID: PMC5415438","page":"1377-1383","source":"PubMed","title":"Variation in the Treatment of Children Hospitalized With Antineutrophil Cytoplasmic Antibody-Associated Vasculitis in the US","volume":"69","author":[{"family":"James","given":"Karen E."},{"family":"Xiao","given":"Rui"},{"family":"Merkel","given":"Peter A."},{"family":"Weiss","given":"Pamela F."}],"issued":{"date-parts":[["2017",9]]}}},{"id":194,"uris":["http://zotero.org/users/local/lvPLY4Gu/items/WSKFMELV"],"itemData":{"id":194,"type":"article-journal","abstract":"BACKGROUND: Pediatric ANCA vasculitis is a rare group of diseases with a scarcity of data in children. Annual incidence appeared to increase in the last several years, placing higher interest in the clinical and therapeutical outcomes of the disorder. Also, the growing use of rituximab questions the latest outcomes in these diseases. We therefore conducted a retrospective study to better understand the current characteristics, management, and the latest outcomes of the disorder.\nMETHODS: We conducted a 9-year retrospective study of 46 children in 14 different centers across France to describe their clinical and laboratory presentations, therapeutic regimens, and kidney outcome.\nRESULTS: P-ANCA appeared to be a potential marker for higher relapse risk. Compared to adults, we found that ear-nose-throat presentations were frequent (45.7%) and more severe. Despite an evolution in the treatment management, kidney outcome remained poor with a substantial proportion of chronic kidney disease (54.8% at 1 year). Mortality stays low with 3 patients (6.5%) deceased at the end of our study.\nCONCLUSION: Clinical presentation was as previously described and time to diagnosis remains long. P-ANCA is a statistically significant marker for increased relapse risk. We observed a modification in the treatment regimens over the past several years with a growing use of rituximab and a decreasing use of cyclophosphamide. Despite these changes, kidney outcome remains poor and prospective studies should be conducted to assess the most appropriate therapeutic modality for each patient. A higher resolution version of the Graphical abstract is available as Supplementary information.","container-title":"Pediatric Nephrology (Berlin, Germany)","DOI":"10.1007/s00467-022-05855-0","ISSN":"1432-198X","issue":"8","journalAbbreviation":"Pediatr Nephrol","language":"eng","note":"PMID: 36622443","page":"2649-2658","source":"PubMed","title":"Pediatric ANCA vasculitis: clinical presentation, treatment, and outcomes in a French retrospective study","title-short":"Pediatric ANCA vasculitis","volume":"38","author":[{"family":"Mahi","given":"Sarah-Louisa"},{"family":"Bahram","given":"Siamak"},{"family":"Harambat","given":"Jérôme"},{"family":"Allard","given":"Lise"},{"family":"Merlin","given":"Etienne"},{"family":"Belot","given":"Alexandre"},{"family":"Ranchin","given":"Bruno"},{"family":"Tenenbaum","given":"Julie"},{"family":"Magnavacca","given":"Marie"},{"family":"Haumesser","given":"Lucile"},{"family":"Allain-Launay","given":"Emma"},{"family":"Pietrement","given":"Christine"},{"family":"Flodrops","given":"Hugues"},{"family":"Ruin","given":"Mahe"},{"family":"Dossier","given":"Claire"},{"family":"Decramer","given":"Stéphane"},{"family":"Ballot-Schmitt","given":"Claire"},{"family":"Boyer","given":"Olivia Gillion"},{"family":"Seugé","given":"Laure"},{"family":"Ulinski","given":"Tim"},{"family":"Zaloszyc","given":"Ariane"}],"issued":{"date-parts":[["2023",8]]}}},{"id":202,"uris":["http://zotero.org/users/local/lvPLY4Gu/items/5Z9SREI6"],"itemData":{"id":202,"type":"article-journal","abstract":"BACKGROUND: Data on anti-neutrophil cytoplasmic antibody (ANCA)-associated vasculitis are scarce in children. The current study is aimed at describing the clinical features and outcomes of childhood-onset ANCA-associated vasculitis (AAV).\nMETHODS: We conducted a retrospective French multicentre study involving patients in whom AAV was diagnosed before the age of 18 years. Inclusion criteria were (i) granulomatosis with polyangiitis (GPA) or microscopic polyangiitis (MPA) according to classification criteria of the European League Against Rheumatism/Paediatric Rheumatology European Society, and (ii) ANCA positivity. Patient and renal survival were analysed.\nRESULTS: Among 66 children included, 80% were female, 42% had GPA and 58% MPA including renal-limited vasculitis, 67% were pANCA+ and 33% cANCA+. The mean incidence of reported cases increased to 0.45 per million children/year in the period 2006-10. Median age at diagnosis was 11.5 years, and median time to diagnosis was 1 month. Initial symptoms included fever and fatigue (79%), skin lesions (41%), arthritis (42%), pulmonary (45%) and renal involvement (88%). Clinical features were similar between GPA and MPA with the exception of upper airway impairment (28%) specific of GPA. Ninety percent of the patients achieved remission after induction treatment. After a median follow-up of 5.2 years, 4 patients (6%) died, corresponding to a mortality rate of 1.2 per 100 person-years, and 22 patients (34%) developed end-stage renal disease (ESRD). Renal survival was 74, 70 and 59% at 1, 5 and 10 years, respectively. In a multivariable Cox regression model, baseline glomerular filtration rate, ethnic origin, histopathological classification and era of treatment were associated with the occurrence of ESRD. Relapse-free survival was 57% at 5 years and 34% at 10 years of follow-up. Patient and renal outcome did not significantly differ between GPA and MPA.\nCONCLUSION: Childhood-onset AAV is a rare disease characterized by female predominance, delayed diagnosis, frequent renal impairment and a high remission rate. Baseline GFR and new histopathological classification system are strong predictors of ESRD. Renal survival in childhood AAV has improved over time.","container-title":"Nephrology, Dialysis, Transplantation: Official Publication of the European Dialysis and Transplant Association - European Renal Association","DOI":"10.1093/ndt/gfv011","ISSN":"1460-2385","journalAbbreviation":"Nephrol Dial Transplant","language":"eng","note":"PMID: 25676121","page":"i104-112","source":"PubMed","title":"Clinical characteristics and outcomes of childhood-onset ANCA-associated vasculitis: a French nationwide study","title-short":"Clinical characteristics and outcomes of childhood-onset ANCA-associated vasculitis","volume":"30 Suppl 1","author":[{"family":"Sacri","given":"Anne-Sylvia"},{"family":"Chambaraud","given":"Tristan"},{"family":"Ranchin","given":"Bruno"},{"family":"Florkin","given":"Benoît"},{"family":"Sée","given":"Hélène"},{"family":"Decramer","given":"Stéphane"},{"family":"Flodrops","given":"Hugues"},{"family":"Ulinski","given":"Tim"},{"family":"Allain-Launay","given":"Emma"},{"family":"Boyer","given":"Olivia"},{"family":"Dunand","given":"Olivier"},{"family":"Fischbach","given":"Michel"},{"family":"Hachulla","given":"Eric"},{"family":"Pietrement","given":"Christine"},{"family":"Le Pogamp","given":"Patrick"},{"family":"Stephan","given":"Jean-Louis"},{"family":"Belot","given":"Alexandre"},{"family":"Nivet","given":"Hubert"},{"family":"Nobili","given":"François"},{"family":"Guillevin","given":"Loic"},{"family":"Quartier","given":"Pierre"},{"family":"Deschênes","given":"Georges"},{"family":"Salomon","given":"Rémi"},{"family":"Essig","given":"Marie"},{"family":"Harambat","given":"Jérôme"}],"issued":{"date-parts":[["2015",4]]}}}],"schema":"https://github.com/citation-style-language/schema/raw/master/csl-citation.json"} </w:instrText>
      </w:r>
      <w:r>
        <w:rPr>
          <w:rFonts w:cstheme="minorHAnsi"/>
          <w:color w:val="1A1A1A"/>
          <w:sz w:val="22"/>
          <w:szCs w:val="22"/>
        </w:rPr>
        <w:fldChar w:fldCharType="separate"/>
      </w:r>
      <w:r w:rsidR="00642970">
        <w:rPr>
          <w:rFonts w:cstheme="minorHAnsi"/>
          <w:noProof/>
          <w:color w:val="1A1A1A"/>
          <w:sz w:val="22"/>
          <w:szCs w:val="22"/>
        </w:rPr>
        <w:t>(88,91,92,96)</w:t>
      </w:r>
      <w:r>
        <w:rPr>
          <w:rFonts w:cstheme="minorHAnsi"/>
          <w:color w:val="1A1A1A"/>
          <w:sz w:val="22"/>
          <w:szCs w:val="22"/>
        </w:rPr>
        <w:fldChar w:fldCharType="end"/>
      </w:r>
      <w:r>
        <w:rPr>
          <w:rFonts w:cstheme="minorHAnsi"/>
          <w:color w:val="1A1A1A"/>
          <w:sz w:val="22"/>
          <w:szCs w:val="22"/>
        </w:rPr>
        <w:t xml:space="preserve">, despite the evidence supporting benefit being very limited and trials in adult patients demonstrating </w:t>
      </w:r>
      <w:r w:rsidR="00AD454E">
        <w:rPr>
          <w:rFonts w:cstheme="minorHAnsi"/>
          <w:color w:val="1A1A1A"/>
          <w:sz w:val="22"/>
          <w:szCs w:val="22"/>
        </w:rPr>
        <w:t>uncertain</w:t>
      </w:r>
      <w:r>
        <w:rPr>
          <w:rFonts w:cstheme="minorHAnsi"/>
          <w:color w:val="1A1A1A"/>
          <w:sz w:val="22"/>
          <w:szCs w:val="22"/>
        </w:rPr>
        <w:t xml:space="preserve"> effect</w:t>
      </w:r>
      <w:r w:rsidR="00AD454E">
        <w:rPr>
          <w:rFonts w:cstheme="minorHAnsi"/>
          <w:color w:val="1A1A1A"/>
          <w:sz w:val="22"/>
          <w:szCs w:val="22"/>
        </w:rPr>
        <w:t>s</w:t>
      </w:r>
      <w:r>
        <w:rPr>
          <w:rFonts w:cstheme="minorHAnsi"/>
          <w:color w:val="1A1A1A"/>
          <w:sz w:val="22"/>
          <w:szCs w:val="22"/>
        </w:rPr>
        <w:t xml:space="preserve"> </w:t>
      </w:r>
      <w:r>
        <w:rPr>
          <w:rFonts w:cstheme="minorHAnsi"/>
          <w:color w:val="1A1A1A"/>
          <w:sz w:val="22"/>
          <w:szCs w:val="22"/>
        </w:rPr>
        <w:fldChar w:fldCharType="begin"/>
      </w:r>
      <w:r w:rsidR="00642970">
        <w:rPr>
          <w:rFonts w:cstheme="minorHAnsi"/>
          <w:color w:val="1A1A1A"/>
          <w:sz w:val="22"/>
          <w:szCs w:val="22"/>
        </w:rPr>
        <w:instrText xml:space="preserve"> ADDIN ZOTERO_ITEM CSL_CITATION {"citationID":"QtFjT7Jf","properties":{"formattedCitation":"(150)","plainCitation":"(150)","noteIndex":0},"citationItems":[{"id":361,"uris":["http://zotero.org/users/local/lvPLY4Gu/items/KRKVP29D"],"itemData":{"id":361,"type":"article-journal","abstract":"BACKGROUND: More effective and safer treatments are needed for antineutrophil cytoplasmic antibody (ANCA)-associated vasculitis.\nMETHODS: We conducted a randomized trial with a 2-by-2 factorial design to evaluate the use of plasma exchange and two regimens of oral glucocorticoids in patients with severe ANCA-associated vasculitis (defined by an estimated glomerular filtration rate of &lt;50 ml per minute per 1.73 m2 of body-surface area or diffuse pulmonary hemorrhage). Patients were randomly assigned to undergo plasma exchange (seven plasma exchanges within 14 days after randomization) or no plasma exchange (control group). Patients were also randomly assigned to follow either a standard-dose regimen or a reduced-dose regimen of oral glucocorticoids. Patients were followed for up to 7 years for the primary composite outcome of death from any cause or end-stage kidney disease (ESKD).\nRESULTS: Death from any cause or ESKD occurred in 100 of 352 patients (28.4%) in the plasma-exchange group and in 109 of 352 patients (31.0%) in the control group (hazard ratio, 0.86; 95% confidence interval [CI], 0.65 to 1.13; P = 0.27). The results were similar in subgroup analyses and in analyses of secondary outcomes. We also assessed the noninferiority of a reduced-dose regimen of glucocorticoids to a standard-dose regimen, using a noninferiority margin of 11 percentage points. Death from any cause or ESKD occurred in 92 of 330 patients (27.9%) in the reduced-dose group and in 83 of 325 patients (25.5%) in the standard-dose group (absolute risk difference, 2.3 percentage points; 90% CI, -3.4 to 8.0), which met the criterion for noninferiority. Serious infections at 1 year were less common in the reduced-dose group than in the standard-dose group (incidence rate ratio, 0.69; 95% CI, 0.52 to 0.93), but other secondary outcomes were similar in the two groups.\nCONCLUSIONS: Among patients with severe ANCA-associated vasculitis, the use of plasma exchange did not reduce the incidence of death or ESKD. A reduced-dose regimen of glucocorticoids was noninferior to a standard-dose regimen with respect to death or ESKD. (Funded by the U.K. National Institute for Health Research and others; PEXIVAS Current Controlled Trials number, ISRCTN07757494; ClinicalTrials.gov number, NCT00987389.).","container-title":"The New England Journal of Medicine","DOI":"10.1056/NEJMoa1803537","ISSN":"1533-4406","issue":"7","journalAbbreviation":"N Engl J Med","language":"eng","note":"PMID: 32053298\nPMCID: PMC7325726","page":"622-631","source":"PubMed","title":"Plasma Exchange and Glucocorticoids in Severe ANCA-Associated Vasculitis","volume":"382","author":[{"family":"Walsh","given":"Michael"},{"family":"Merkel","given":"Peter A."},{"family":"Peh","given":"Chen-Au"},{"family":"Szpirt","given":"Wladimir M."},{"family":"Puéchal","given":"Xavier"},{"family":"Fujimoto","given":"Shouichi"},{"family":"Hawley","given":"Carmel M."},{"family":"Khalidi","given":"Nader"},{"family":"Floßmann","given":"Oliver"},{"family":"Wald","given":"Ron"},{"family":"Girard","given":"Louis P."},{"family":"Levin","given":"Adeera"},{"family":"Gregorini","given":"Gina"},{"family":"Harper","given":"Lorraine"},{"family":"Clark","given":"William F."},{"family":"Pagnoux","given":"Christian"},{"family":"Specks","given":"Ulrich"},{"family":"Smyth","given":"Lucy"},{"family":"Tesar","given":"Vladimir"},{"family":"Ito-Ihara","given":"Toshiko"},{"family":"Zoysa","given":"Janak Rashme","non-dropping-particle":"de"},{"family":"Szczeklik","given":"Wojciech"},{"family":"Flores-Suárez","given":"Luis Felipe"},{"family":"Carette","given":"Simon"},{"family":"Guillevin","given":"Loïc"},{"family":"Pusey","given":"Charles D."},{"family":"Casian","given":"Alina L."},{"family":"Brezina","given":"Biljana"},{"family":"Mazzetti","given":"Andrea"},{"family":"McAlear","given":"Carol A."},{"family":"Broadhurst","given":"Elizabeth"},{"family":"Reidlinger","given":"Donna"},{"family":"Mehta","given":"Samir"},{"family":"Ives","given":"Natalie"},{"family":"Jayne","given":"David R. W."},{"literal":"PEXIVAS Investigators"}],"issued":{"date-parts":[["2020",2,13]]}}}],"schema":"https://github.com/citation-style-language/schema/raw/master/csl-citation.json"} </w:instrText>
      </w:r>
      <w:r>
        <w:rPr>
          <w:rFonts w:cstheme="minorHAnsi"/>
          <w:color w:val="1A1A1A"/>
          <w:sz w:val="22"/>
          <w:szCs w:val="22"/>
        </w:rPr>
        <w:fldChar w:fldCharType="separate"/>
      </w:r>
      <w:r w:rsidR="00642970">
        <w:rPr>
          <w:rFonts w:cstheme="minorHAnsi"/>
          <w:noProof/>
          <w:color w:val="1A1A1A"/>
          <w:sz w:val="22"/>
          <w:szCs w:val="22"/>
        </w:rPr>
        <w:t>(150)</w:t>
      </w:r>
      <w:r>
        <w:rPr>
          <w:rFonts w:cstheme="minorHAnsi"/>
          <w:color w:val="1A1A1A"/>
          <w:sz w:val="22"/>
          <w:szCs w:val="22"/>
        </w:rPr>
        <w:fldChar w:fldCharType="end"/>
      </w:r>
      <w:r>
        <w:rPr>
          <w:rFonts w:cstheme="minorHAnsi"/>
          <w:color w:val="1A1A1A"/>
          <w:sz w:val="22"/>
          <w:szCs w:val="22"/>
        </w:rPr>
        <w:t xml:space="preserve">. </w:t>
      </w:r>
      <w:r w:rsidR="00F54BBA">
        <w:rPr>
          <w:rFonts w:cstheme="minorHAnsi"/>
          <w:color w:val="1A1A1A"/>
          <w:sz w:val="22"/>
          <w:szCs w:val="22"/>
        </w:rPr>
        <w:t xml:space="preserve">Meta-analysis has suggested that adults with AAV are managed with plasma exchange if the creatinine is &gt;300 mmol/L. </w:t>
      </w:r>
      <w:r w:rsidR="00DF275A">
        <w:rPr>
          <w:rFonts w:cstheme="minorHAnsi"/>
          <w:color w:val="1A1A1A"/>
          <w:sz w:val="22"/>
          <w:szCs w:val="22"/>
        </w:rPr>
        <w:t xml:space="preserve">Steroid toxicity remains a concern in this condition </w:t>
      </w:r>
      <w:r w:rsidR="00DF275A">
        <w:rPr>
          <w:rFonts w:cstheme="minorHAnsi"/>
          <w:color w:val="1A1A1A"/>
          <w:sz w:val="22"/>
          <w:szCs w:val="22"/>
        </w:rPr>
        <w:fldChar w:fldCharType="begin"/>
      </w:r>
      <w:r w:rsidR="00642970">
        <w:rPr>
          <w:rFonts w:cstheme="minorHAnsi"/>
          <w:color w:val="1A1A1A"/>
          <w:sz w:val="22"/>
          <w:szCs w:val="22"/>
        </w:rPr>
        <w:instrText xml:space="preserve"> ADDIN ZOTERO_ITEM CSL_CITATION {"citationID":"hQgJ8Nk7","properties":{"formattedCitation":"(89,92)","plainCitation":"(89,92)","noteIndex":0},"citationItems":[{"id":186,"uris":["http://zotero.org/users/local/lvPLY4Gu/items/DR8I6YJP"],"itemData":{"id":186,"type":"article-journal","abstract":"OBJECTIVES: High-dose glucocorticoids for remission-induction of ANCA-associated vasculitis are recommended and commonly used in adults, but recent studies suggest lower glucocorticoid doses can reduce toxicity without reducing efficacy. No paediatric-specific data exists to inform optimal glucocorticoid dosing in paediatric ANCA-associated vasculitis (pAAV). Our objectives were to describe glucocorticoid use in pAAV-related renal disease, and to explore associations between glucocorticoid dose, baseline patient characteristics and 12-month outcomes.\nMETHODS: Youth &lt;18 years with pAAV, biopsy-confirmed pauci-immune glomerulonephritis and 12-month follow-up data were included from an international paediatric vasculitis registry. Presenting features and 12-month outcomes (eGFR, glucocorticoid-related adverse effects), were compared between patients receiving no, low-moderate (≤90mg/kg) and high (&gt;90mg/kg) cumulative intravenous methylprednisolone (IVMP), and low (&lt;0.5mg/kg/day prednisone equivalent), moderate (0.5-1.5mg/kg/day) and high (&gt;1.5mg/kg/day) starting doses of oral glucocorticoids.\nRESULTS: Among 131 patients (101 granulomatosis with polyangiitis, 30 microscopic polyangiitis), 27 (21%) received no IVMP, 64 (49%) low-moderate and 29 (22%) high-dose IVMP, while 9 (7%) received low, 75 (57%) moderate and 47 (36%) high initial doses of oral glucocorticoids. Renal failure at diagnosis (p=0.022) and plasmapheresis use (p=0.0001) were associated with high-dose IVMP. Rates of glucocorticoid-related adverse effects ranged from 15-31% across dose levels, and glucocorticoid dosing did not associate with 12-month outcomes.\nCONCLUSIONS: Glucocorticoid dosing for pAAV-related renal disease was highly variable, and rates of adverse effects were high across all dosing groups. A significant proportion of patients received oral glucocorticoid or IVMP doses that were discordant with current adult guidelines. Higher glucocorticoid doses did not associate with improved outcomes.","container-title":"Clinical and Experimental Rheumatology","DOI":"10.55563/clinexprheumatol/iol4k2","ISSN":"0392-856X","issue":"4","journalAbbreviation":"Clin Exp Rheumatol","language":"eng","note":"PMID: 35383555","page":"841-848","source":"PubMed","title":"Wide variation in glucocorticoid dosing in paediatric ANCA-associated vasculitis with renal disease: a paediatric vasculitis initiative study","title-short":"Wide variation in glucocorticoid dosing in paediatric ANCA-associated vasculitis with renal disease","volume":"40","author":[{"family":"Chen","given":"Audrea"},{"family":"Mammen","given":"Cherry"},{"family":"Guzman","given":"Jaime"},{"family":"Al-Abadi","given":"Eslam"},{"family":"Benseler","given":"Susanne M."},{"family":"Berard","given":"Roberta A."},{"family":"Gerstbacher","given":"Dana"},{"family":"Heshin-Bekenstein","given":"Merav"},{"family":"Kim","given":"Susan"},{"family":"Klein-Gitelman","given":"Marisa"},{"family":"Chavan","given":"Pallavi Pimpale"},{"family":"James","given":"Karen E."},{"family":"Martin","given":"Neil"},{"family":"McErlane","given":"Flora"},{"family":"Myrup","given":"Charlotte"},{"family":"Noone","given":"Damien G."},{"family":"Raghuram","given":"Jyothi"},{"family":"Shenoi","given":"Susan"},{"family":"Sivaraman","given":"Vidya"},{"family":"Tanner","given":"Tamara"},{"family":"Yeung","given":"Rae S. M."},{"family":"Cabral","given":"David A."},{"family":"Morishita","given":"Kimberly A."},{"literal":"for ARChiVe Investigators within the PedVas Initiative"}],"issued":{"date-parts":[["2022",5]]}}},{"id":194,"uris":["http://zotero.org/users/local/lvPLY4Gu/items/WSKFMELV"],"itemData":{"id":194,"type":"article-journal","abstract":"BACKGROUND: Pediatric ANCA vasculitis is a rare group of diseases with a scarcity of data in children. Annual incidence appeared to increase in the last several years, placing higher interest in the clinical and therapeutical outcomes of the disorder. Also, the growing use of rituximab questions the latest outcomes in these diseases. We therefore conducted a retrospective study to better understand the current characteristics, management, and the latest outcomes of the disorder.\nMETHODS: We conducted a 9-year retrospective study of 46 children in 14 different centers across France to describe their clinical and laboratory presentations, therapeutic regimens, and kidney outcome.\nRESULTS: P-ANCA appeared to be a potential marker for higher relapse risk. Compared to adults, we found that ear-nose-throat presentations were frequent (45.7%) and more severe. Despite an evolution in the treatment management, kidney outcome remained poor with a substantial proportion of chronic kidney disease (54.8% at 1 year). Mortality stays low with 3 patients (6.5%) deceased at the end of our study.\nCONCLUSION: Clinical presentation was as previously described and time to diagnosis remains long. P-ANCA is a statistically significant marker for increased relapse risk. We observed a modification in the treatment regimens over the past several years with a growing use of rituximab and a decreasing use of cyclophosphamide. Despite these changes, kidney outcome remains poor and prospective studies should be conducted to assess the most appropriate therapeutic modality for each patient. A higher resolution version of the Graphical abstract is available as Supplementary information.","container-title":"Pediatric Nephrology (Berlin, Germany)","DOI":"10.1007/s00467-022-05855-0","ISSN":"1432-198X","issue":"8","journalAbbreviation":"Pediatr Nephrol","language":"eng","note":"PMID: 36622443","page":"2649-2658","source":"PubMed","title":"Pediatric ANCA vasculitis: clinical presentation, treatment, and outcomes in a French retrospective study","title-short":"Pediatric ANCA vasculitis","volume":"38","author":[{"family":"Mahi","given":"Sarah-Louisa"},{"family":"Bahram","given":"Siamak"},{"family":"Harambat","given":"Jérôme"},{"family":"Allard","given":"Lise"},{"family":"Merlin","given":"Etienne"},{"family":"Belot","given":"Alexandre"},{"family":"Ranchin","given":"Bruno"},{"family":"Tenenbaum","given":"Julie"},{"family":"Magnavacca","given":"Marie"},{"family":"Haumesser","given":"Lucile"},{"family":"Allain-Launay","given":"Emma"},{"family":"Pietrement","given":"Christine"},{"family":"Flodrops","given":"Hugues"},{"family":"Ruin","given":"Mahe"},{"family":"Dossier","given":"Claire"},{"family":"Decramer","given":"Stéphane"},{"family":"Ballot-Schmitt","given":"Claire"},{"family":"Boyer","given":"Olivia Gillion"},{"family":"Seugé","given":"Laure"},{"family":"Ulinski","given":"Tim"},{"family":"Zaloszyc","given":"Ariane"}],"issued":{"date-parts":[["2023",8]]}}}],"schema":"https://github.com/citation-style-language/schema/raw/master/csl-citation.json"} </w:instrText>
      </w:r>
      <w:r w:rsidR="00DF275A">
        <w:rPr>
          <w:rFonts w:cstheme="minorHAnsi"/>
          <w:color w:val="1A1A1A"/>
          <w:sz w:val="22"/>
          <w:szCs w:val="22"/>
        </w:rPr>
        <w:fldChar w:fldCharType="separate"/>
      </w:r>
      <w:r w:rsidR="00642970">
        <w:rPr>
          <w:rFonts w:cstheme="minorHAnsi"/>
          <w:noProof/>
          <w:color w:val="1A1A1A"/>
          <w:sz w:val="22"/>
          <w:szCs w:val="22"/>
        </w:rPr>
        <w:t>(89,92)</w:t>
      </w:r>
      <w:r w:rsidR="00DF275A">
        <w:rPr>
          <w:rFonts w:cstheme="minorHAnsi"/>
          <w:color w:val="1A1A1A"/>
          <w:sz w:val="22"/>
          <w:szCs w:val="22"/>
        </w:rPr>
        <w:fldChar w:fldCharType="end"/>
      </w:r>
      <w:r w:rsidR="00DF275A">
        <w:rPr>
          <w:rFonts w:cstheme="minorHAnsi"/>
          <w:color w:val="1A1A1A"/>
          <w:sz w:val="22"/>
          <w:szCs w:val="22"/>
        </w:rPr>
        <w:t xml:space="preserve"> and </w:t>
      </w:r>
      <w:proofErr w:type="spellStart"/>
      <w:r w:rsidR="00DF275A">
        <w:rPr>
          <w:rFonts w:cstheme="minorHAnsi"/>
          <w:color w:val="1A1A1A"/>
          <w:sz w:val="22"/>
          <w:szCs w:val="22"/>
        </w:rPr>
        <w:t>avacopan</w:t>
      </w:r>
      <w:proofErr w:type="spellEnd"/>
      <w:r w:rsidR="00DF275A">
        <w:rPr>
          <w:rFonts w:cstheme="minorHAnsi"/>
          <w:color w:val="1A1A1A"/>
          <w:sz w:val="22"/>
          <w:szCs w:val="22"/>
        </w:rPr>
        <w:t xml:space="preserve"> has been shown to act as a steroid sparing agent. </w:t>
      </w:r>
      <w:r>
        <w:rPr>
          <w:rFonts w:cstheme="minorHAnsi"/>
          <w:color w:val="1A1A1A"/>
          <w:sz w:val="22"/>
          <w:szCs w:val="22"/>
        </w:rPr>
        <w:t xml:space="preserve">Access to </w:t>
      </w:r>
      <w:proofErr w:type="spellStart"/>
      <w:r>
        <w:rPr>
          <w:rFonts w:cstheme="minorHAnsi"/>
          <w:color w:val="1A1A1A"/>
          <w:sz w:val="22"/>
          <w:szCs w:val="22"/>
        </w:rPr>
        <w:t>avacopan</w:t>
      </w:r>
      <w:proofErr w:type="spellEnd"/>
      <w:r>
        <w:rPr>
          <w:rFonts w:cstheme="minorHAnsi"/>
          <w:color w:val="1A1A1A"/>
          <w:sz w:val="22"/>
          <w:szCs w:val="22"/>
        </w:rPr>
        <w:t xml:space="preserve"> is available</w:t>
      </w:r>
      <w:r w:rsidR="00747099">
        <w:rPr>
          <w:rFonts w:cstheme="minorHAnsi"/>
          <w:color w:val="1A1A1A"/>
          <w:sz w:val="22"/>
          <w:szCs w:val="22"/>
        </w:rPr>
        <w:t xml:space="preserve"> in the NHS</w:t>
      </w:r>
      <w:r>
        <w:rPr>
          <w:rFonts w:cstheme="minorHAnsi"/>
          <w:color w:val="1A1A1A"/>
          <w:sz w:val="22"/>
          <w:szCs w:val="22"/>
        </w:rPr>
        <w:t xml:space="preserve"> for </w:t>
      </w:r>
      <w:r w:rsidR="00747099">
        <w:rPr>
          <w:rFonts w:cstheme="minorHAnsi"/>
          <w:color w:val="1A1A1A"/>
          <w:sz w:val="22"/>
          <w:szCs w:val="22"/>
        </w:rPr>
        <w:t xml:space="preserve">post pubertal </w:t>
      </w:r>
      <w:r>
        <w:rPr>
          <w:rFonts w:cstheme="minorHAnsi"/>
          <w:color w:val="1A1A1A"/>
          <w:sz w:val="22"/>
          <w:szCs w:val="22"/>
        </w:rPr>
        <w:t xml:space="preserve">children </w:t>
      </w:r>
      <w:r w:rsidR="00747099">
        <w:rPr>
          <w:rFonts w:cstheme="minorHAnsi"/>
          <w:color w:val="1A1A1A"/>
          <w:sz w:val="22"/>
          <w:szCs w:val="22"/>
        </w:rPr>
        <w:t xml:space="preserve">who have a diagnosis of granulomatosis with polyangiitis (GPA) or microscopic polyangiitis (MPA) and meets specific criteria that includes discussion in an MDT that must include 2 consultants including a paediatric expert in the field and a paediatric pharmacist and according to trust policy regarding the use of unlicensed medicines. </w:t>
      </w:r>
    </w:p>
    <w:p w14:paraId="54E3F494" w14:textId="77777777" w:rsidR="00DF275A" w:rsidRDefault="00DF275A" w:rsidP="003F494F">
      <w:pPr>
        <w:spacing w:line="360" w:lineRule="auto"/>
        <w:jc w:val="both"/>
        <w:rPr>
          <w:rFonts w:cstheme="minorHAnsi"/>
          <w:color w:val="1A1A1A"/>
          <w:sz w:val="22"/>
          <w:szCs w:val="22"/>
        </w:rPr>
      </w:pPr>
    </w:p>
    <w:p w14:paraId="2B9B21BA" w14:textId="7CA2F241" w:rsidR="00DF275A" w:rsidRDefault="001630D4" w:rsidP="003F494F">
      <w:pPr>
        <w:spacing w:line="360" w:lineRule="auto"/>
        <w:jc w:val="both"/>
        <w:rPr>
          <w:rFonts w:cstheme="minorHAnsi"/>
          <w:color w:val="1A1A1A"/>
          <w:sz w:val="22"/>
          <w:szCs w:val="22"/>
        </w:rPr>
      </w:pPr>
      <w:r>
        <w:rPr>
          <w:rFonts w:cstheme="minorHAnsi"/>
          <w:color w:val="1A1A1A"/>
          <w:sz w:val="22"/>
          <w:szCs w:val="22"/>
        </w:rPr>
        <w:t>Longer term</w:t>
      </w:r>
      <w:r w:rsidR="00AD454E">
        <w:rPr>
          <w:rFonts w:cstheme="minorHAnsi"/>
          <w:color w:val="1A1A1A"/>
          <w:sz w:val="22"/>
          <w:szCs w:val="22"/>
        </w:rPr>
        <w:t>,</w:t>
      </w:r>
      <w:r>
        <w:rPr>
          <w:rFonts w:cstheme="minorHAnsi"/>
          <w:color w:val="1A1A1A"/>
          <w:sz w:val="22"/>
          <w:szCs w:val="22"/>
        </w:rPr>
        <w:t xml:space="preserve"> the disease demonstrates frequent relapses with high cumulative morbidity secondary to </w:t>
      </w:r>
      <w:r w:rsidR="00123A96">
        <w:rPr>
          <w:rFonts w:cstheme="minorHAnsi"/>
          <w:color w:val="1A1A1A"/>
          <w:sz w:val="22"/>
          <w:szCs w:val="22"/>
        </w:rPr>
        <w:t xml:space="preserve">infection and </w:t>
      </w:r>
      <w:r>
        <w:rPr>
          <w:rFonts w:cstheme="minorHAnsi"/>
          <w:color w:val="1A1A1A"/>
          <w:sz w:val="22"/>
          <w:szCs w:val="22"/>
        </w:rPr>
        <w:t xml:space="preserve">disease, therefore </w:t>
      </w:r>
      <w:r w:rsidR="00123A96">
        <w:rPr>
          <w:rFonts w:cstheme="minorHAnsi"/>
          <w:color w:val="1A1A1A"/>
          <w:sz w:val="22"/>
          <w:szCs w:val="22"/>
        </w:rPr>
        <w:t xml:space="preserve">regular review of </w:t>
      </w:r>
      <w:r>
        <w:rPr>
          <w:rFonts w:cstheme="minorHAnsi"/>
          <w:color w:val="1A1A1A"/>
          <w:sz w:val="22"/>
          <w:szCs w:val="22"/>
        </w:rPr>
        <w:t xml:space="preserve">maintenance treatment is important and timed dosing of B cell depletion </w:t>
      </w:r>
      <w:r w:rsidR="00123A96">
        <w:rPr>
          <w:rFonts w:cstheme="minorHAnsi"/>
          <w:color w:val="1A1A1A"/>
          <w:sz w:val="22"/>
          <w:szCs w:val="22"/>
        </w:rPr>
        <w:t xml:space="preserve">alone </w:t>
      </w:r>
      <w:r>
        <w:rPr>
          <w:rFonts w:cstheme="minorHAnsi"/>
          <w:color w:val="1A1A1A"/>
          <w:sz w:val="22"/>
          <w:szCs w:val="22"/>
        </w:rPr>
        <w:t xml:space="preserve">is advocated within guidelines </w:t>
      </w:r>
      <w:r w:rsidR="00123A96">
        <w:rPr>
          <w:rFonts w:cstheme="minorHAnsi"/>
          <w:color w:val="1A1A1A"/>
          <w:sz w:val="22"/>
          <w:szCs w:val="22"/>
        </w:rPr>
        <w:t xml:space="preserve">in patients who have achieved adequate response </w:t>
      </w:r>
      <w:r>
        <w:rPr>
          <w:rFonts w:cstheme="minorHAnsi"/>
          <w:color w:val="1A1A1A"/>
          <w:sz w:val="22"/>
          <w:szCs w:val="22"/>
        </w:rPr>
        <w:fldChar w:fldCharType="begin"/>
      </w:r>
      <w:r w:rsidR="00642970">
        <w:rPr>
          <w:rFonts w:cstheme="minorHAnsi"/>
          <w:color w:val="1A1A1A"/>
          <w:sz w:val="22"/>
          <w:szCs w:val="22"/>
        </w:rPr>
        <w:instrText xml:space="preserve"> ADDIN ZOTERO_ITEM CSL_CITATION {"citationID":"gCvtCJ3R","properties":{"formattedCitation":"(7)","plainCitation":"(7)","noteIndex":0},"citationItems":[{"id":16,"uris":["http://zotero.org/users/local/lvPLY4Gu/items/DTPHXXPQ"],"itemData":{"id":16,"type":"article-journal","container-title":"Kidney International","DOI":"10.1016/j.kint.2023.10.008","ISSN":"1523-1755","issue":"3S","journalAbbreviation":"Kidney Int","language":"eng","note":"PMID: 38388102","page":"S71-S116","source":"PubMed","title":"KDIGO 2024 Clinical Practice Guideline for the Management of Antineutrophil Cytoplasmic Antibody (ANCA)-Associated Vasculitis","volume":"105","author":[{"literal":"Kidney Disease: Improving Global Outcomes (KDIGO) ANCA Vasculitis Work Group"}],"issued":{"date-parts":[["2024",3]]}}}],"schema":"https://github.com/citation-style-language/schema/raw/master/csl-citation.json"} </w:instrText>
      </w:r>
      <w:r>
        <w:rPr>
          <w:rFonts w:cstheme="minorHAnsi"/>
          <w:color w:val="1A1A1A"/>
          <w:sz w:val="22"/>
          <w:szCs w:val="22"/>
        </w:rPr>
        <w:fldChar w:fldCharType="separate"/>
      </w:r>
      <w:r w:rsidR="00642970">
        <w:rPr>
          <w:rFonts w:cstheme="minorHAnsi"/>
          <w:noProof/>
          <w:color w:val="1A1A1A"/>
          <w:sz w:val="22"/>
          <w:szCs w:val="22"/>
        </w:rPr>
        <w:t>(7)</w:t>
      </w:r>
      <w:r>
        <w:rPr>
          <w:rFonts w:cstheme="minorHAnsi"/>
          <w:color w:val="1A1A1A"/>
          <w:sz w:val="22"/>
          <w:szCs w:val="22"/>
        </w:rPr>
        <w:fldChar w:fldCharType="end"/>
      </w:r>
      <w:r>
        <w:rPr>
          <w:rFonts w:cstheme="minorHAnsi"/>
          <w:color w:val="1A1A1A"/>
          <w:sz w:val="22"/>
          <w:szCs w:val="22"/>
        </w:rPr>
        <w:t xml:space="preserve">. </w:t>
      </w:r>
      <w:r w:rsidR="004C3586">
        <w:rPr>
          <w:rFonts w:cstheme="minorHAnsi"/>
          <w:color w:val="1A1A1A"/>
          <w:sz w:val="22"/>
          <w:szCs w:val="22"/>
        </w:rPr>
        <w:t xml:space="preserve">For the subtype eosinophilic granulomatosis with polyangiitis, kidney involvement is </w:t>
      </w:r>
      <w:r w:rsidR="00123A96">
        <w:rPr>
          <w:rFonts w:cstheme="minorHAnsi"/>
          <w:color w:val="1A1A1A"/>
          <w:sz w:val="22"/>
          <w:szCs w:val="22"/>
        </w:rPr>
        <w:t xml:space="preserve">extremely </w:t>
      </w:r>
      <w:r w:rsidR="004C3586">
        <w:rPr>
          <w:rFonts w:cstheme="minorHAnsi"/>
          <w:color w:val="1A1A1A"/>
          <w:sz w:val="22"/>
          <w:szCs w:val="22"/>
        </w:rPr>
        <w:t>rare and there</w:t>
      </w:r>
      <w:r w:rsidR="00123A96">
        <w:rPr>
          <w:rFonts w:cstheme="minorHAnsi"/>
          <w:color w:val="1A1A1A"/>
          <w:sz w:val="22"/>
          <w:szCs w:val="22"/>
        </w:rPr>
        <w:t>fore considered outside the scope of this guideline</w:t>
      </w:r>
      <w:r w:rsidR="004C3586">
        <w:rPr>
          <w:rFonts w:cstheme="minorHAnsi"/>
          <w:color w:val="1A1A1A"/>
          <w:sz w:val="22"/>
          <w:szCs w:val="22"/>
        </w:rPr>
        <w:t xml:space="preserve"> </w:t>
      </w:r>
      <w:r w:rsidR="004C3586">
        <w:rPr>
          <w:rFonts w:cstheme="minorHAnsi"/>
          <w:color w:val="1A1A1A"/>
          <w:sz w:val="22"/>
          <w:szCs w:val="22"/>
        </w:rPr>
        <w:fldChar w:fldCharType="begin"/>
      </w:r>
      <w:r w:rsidR="00642970">
        <w:rPr>
          <w:rFonts w:cstheme="minorHAnsi"/>
          <w:color w:val="1A1A1A"/>
          <w:sz w:val="22"/>
          <w:szCs w:val="22"/>
        </w:rPr>
        <w:instrText xml:space="preserve"> ADDIN ZOTERO_ITEM CSL_CITATION {"citationID":"AGBq3Fqy","properties":{"formattedCitation":"(151)","plainCitation":"(151)","noteIndex":0},"citationItems":[{"id":364,"uris":["http://zotero.org/users/local/lvPLY4Gu/items/XVGCWTYJ"],"itemData":{"id":364,"type":"article-journal","abstract":"Eosinophilic granulomatosis with polyangiitis (EGPA) is a rare anti-neutrophil cytoplasmic antibody (ANCA)-associated vasculitis, characterized by asthma, eosinophilia and granulomatous or vasculitic involvement of several organs. The diagnosis and management of EGPA are often challenging and require an integrated, multidisciplinary approach. Current practice relies on recommendations and guidelines addressing the management of ANCA-associated vasculitis and not specifically developed for EGPA. Here, we present evidence-based, cross-discipline guidelines for the diagnosis and management of EGPA that reflect the substantial advances that have been made in the past few years in understanding the pathogenesis, clinical subphenotypes and differential diagnosis of the disease, as well as the availability of new treatment options. Developed by a panel of European experts on the basis of literature reviews and, where appropriate, expert opinion, the 16 statements and five overarching principles cover the diagnosis and staging, treatment, outcome and follow-up of EGPA. These recommendations are primarily intended to be used by healthcare professionals, pharmaceutical industries and drug regulatory authorities, to guide clinical practice and decision-making in EGPA. These guidelines are not intended to limit access to medications by healthcare agencies, nor to impose a fixed order on medication use.","container-title":"Nature Reviews. Rheumatology","DOI":"10.1038/s41584-023-00958-w","ISSN":"1759-4804","issue":"6","journalAbbreviation":"Nat Rev Rheumatol","language":"eng","note":"PMID: 37161084","page":"378-393","source":"PubMed","title":"Evidence-Based Guideline for the diagnosis and management of eosinophilic granulomatosis with polyangiitis","volume":"19","author":[{"family":"Emmi","given":"Giacomo"},{"family":"Bettiol","given":"Alessandra"},{"family":"Gelain","given":"Elena"},{"family":"Bajema","given":"Ingeborg M."},{"family":"Berti","given":"Alvise"},{"family":"Burns","given":"Stella"},{"family":"Cid","given":"Maria C."},{"family":"Cohen Tervaert","given":"Jan W."},{"family":"Cottin","given":"Vincent"},{"family":"Durante","given":"Eugenia"},{"family":"Holle","given":"Julia U."},{"family":"Mahr","given":"Alfred D."},{"family":"Del Pero","given":"Marcos Martinez"},{"family":"Marvisi","given":"Chiara"},{"family":"Mills","given":"John"},{"family":"Moiseev","given":"Sergey"},{"family":"Moosig","given":"Frank"},{"family":"Mukhtyar","given":"Chetan"},{"family":"Neumann","given":"Thomas"},{"family":"Olivotto","given":"Iacopo"},{"family":"Salvarani","given":"Carlo"},{"family":"Seeliger","given":"Benjamin"},{"family":"Sinico","given":"Renato A."},{"family":"Taillé","given":"Camille"},{"family":"Terrier","given":"Benjamin"},{"family":"Venhoff","given":"Nils"},{"family":"Bertsias","given":"George"},{"family":"Guillevin","given":"Loïc"},{"family":"Jayne","given":"David R. W."},{"family":"Vaglio","given":"Augusto"}],"issued":{"date-parts":[["2023",6]]}}}],"schema":"https://github.com/citation-style-language/schema/raw/master/csl-citation.json"} </w:instrText>
      </w:r>
      <w:r w:rsidR="004C3586">
        <w:rPr>
          <w:rFonts w:cstheme="minorHAnsi"/>
          <w:color w:val="1A1A1A"/>
          <w:sz w:val="22"/>
          <w:szCs w:val="22"/>
        </w:rPr>
        <w:fldChar w:fldCharType="separate"/>
      </w:r>
      <w:r w:rsidR="00642970">
        <w:rPr>
          <w:rFonts w:cstheme="minorHAnsi"/>
          <w:noProof/>
          <w:color w:val="1A1A1A"/>
          <w:sz w:val="22"/>
          <w:szCs w:val="22"/>
        </w:rPr>
        <w:t>(151)</w:t>
      </w:r>
      <w:r w:rsidR="004C3586">
        <w:rPr>
          <w:rFonts w:cstheme="minorHAnsi"/>
          <w:color w:val="1A1A1A"/>
          <w:sz w:val="22"/>
          <w:szCs w:val="22"/>
        </w:rPr>
        <w:fldChar w:fldCharType="end"/>
      </w:r>
      <w:r w:rsidR="004C3586">
        <w:rPr>
          <w:rFonts w:cstheme="minorHAnsi"/>
          <w:color w:val="1A1A1A"/>
          <w:sz w:val="22"/>
          <w:szCs w:val="22"/>
        </w:rPr>
        <w:t xml:space="preserve">. </w:t>
      </w:r>
    </w:p>
    <w:p w14:paraId="33FD6DFE" w14:textId="77777777" w:rsidR="00257E1D" w:rsidRPr="00C00DD6" w:rsidRDefault="00257E1D" w:rsidP="003F494F">
      <w:pPr>
        <w:spacing w:line="360" w:lineRule="auto"/>
        <w:rPr>
          <w:rFonts w:cstheme="minorHAnsi"/>
          <w:b/>
          <w:bCs/>
          <w:sz w:val="22"/>
          <w:szCs w:val="22"/>
        </w:rPr>
      </w:pPr>
    </w:p>
    <w:p w14:paraId="0804F89F" w14:textId="136D9BD1" w:rsidR="00257E1D" w:rsidRPr="00C00DD6" w:rsidRDefault="001630D4" w:rsidP="003F494F">
      <w:pPr>
        <w:spacing w:line="360" w:lineRule="auto"/>
        <w:rPr>
          <w:rFonts w:cstheme="minorHAnsi"/>
          <w:b/>
          <w:bCs/>
          <w:sz w:val="22"/>
          <w:szCs w:val="22"/>
        </w:rPr>
      </w:pPr>
      <w:r>
        <w:rPr>
          <w:rFonts w:eastAsia="Arial" w:cstheme="minorHAnsi"/>
          <w:b/>
          <w:sz w:val="22"/>
          <w:szCs w:val="22"/>
          <w:u w:val="single"/>
          <w:lang w:val="en" w:eastAsia="en-GB"/>
        </w:rPr>
        <w:t xml:space="preserve">GN subtype 6: </w:t>
      </w:r>
      <w:r w:rsidR="00EA336E">
        <w:rPr>
          <w:rFonts w:cstheme="minorHAnsi"/>
          <w:b/>
          <w:bCs/>
          <w:sz w:val="22"/>
          <w:szCs w:val="22"/>
          <w:u w:val="single"/>
        </w:rPr>
        <w:t>A</w:t>
      </w:r>
      <w:r w:rsidR="003D5CF4" w:rsidRPr="00C00DD6">
        <w:rPr>
          <w:rFonts w:cstheme="minorHAnsi"/>
          <w:b/>
          <w:bCs/>
          <w:sz w:val="22"/>
          <w:szCs w:val="22"/>
          <w:u w:val="single"/>
        </w:rPr>
        <w:t>nti</w:t>
      </w:r>
      <w:r w:rsidRPr="00C00DD6">
        <w:rPr>
          <w:rFonts w:cstheme="minorHAnsi"/>
          <w:b/>
          <w:bCs/>
          <w:sz w:val="22"/>
          <w:szCs w:val="22"/>
          <w:u w:val="single"/>
        </w:rPr>
        <w:t>-GBM disease</w:t>
      </w:r>
    </w:p>
    <w:p w14:paraId="68CDD32B" w14:textId="77777777" w:rsidR="003D5CF4" w:rsidRPr="00C00DD6" w:rsidRDefault="003D5CF4" w:rsidP="003F494F">
      <w:pPr>
        <w:spacing w:line="360" w:lineRule="auto"/>
        <w:rPr>
          <w:rFonts w:cstheme="minorHAnsi"/>
          <w:b/>
          <w:bCs/>
          <w:sz w:val="22"/>
          <w:szCs w:val="22"/>
        </w:rPr>
      </w:pPr>
    </w:p>
    <w:p w14:paraId="71AAC13C" w14:textId="0524A5F8" w:rsidR="003D5CF4" w:rsidRPr="00C00DD6" w:rsidRDefault="001630D4" w:rsidP="003F494F">
      <w:pPr>
        <w:spacing w:line="360" w:lineRule="auto"/>
        <w:rPr>
          <w:rFonts w:cstheme="minorHAnsi"/>
          <w:b/>
          <w:bCs/>
          <w:sz w:val="22"/>
          <w:szCs w:val="22"/>
        </w:rPr>
      </w:pPr>
      <w:r w:rsidRPr="00C00DD6">
        <w:rPr>
          <w:rFonts w:cstheme="minorHAnsi"/>
          <w:b/>
          <w:bCs/>
          <w:sz w:val="22"/>
          <w:szCs w:val="22"/>
        </w:rPr>
        <w:t xml:space="preserve">Definitions </w:t>
      </w:r>
    </w:p>
    <w:p w14:paraId="28196B9C" w14:textId="45AEBAF5" w:rsidR="003D5CF4" w:rsidRPr="007E216E" w:rsidRDefault="001630D4" w:rsidP="003F494F">
      <w:pPr>
        <w:spacing w:before="240" w:after="240" w:line="360" w:lineRule="auto"/>
        <w:jc w:val="both"/>
        <w:rPr>
          <w:rFonts w:eastAsia="Arial" w:cstheme="minorHAnsi"/>
          <w:sz w:val="22"/>
          <w:szCs w:val="22"/>
          <w:lang w:val="en" w:eastAsia="en-GB"/>
        </w:rPr>
      </w:pPr>
      <w:r>
        <w:rPr>
          <w:rFonts w:eastAsia="Arial" w:cstheme="minorHAnsi"/>
          <w:sz w:val="22"/>
          <w:szCs w:val="22"/>
          <w:lang w:val="en" w:eastAsia="en-GB"/>
        </w:rPr>
        <w:lastRenderedPageBreak/>
        <w:t>To</w:t>
      </w:r>
      <w:r w:rsidRPr="00117750">
        <w:rPr>
          <w:rFonts w:eastAsia="Arial" w:cstheme="minorHAnsi"/>
          <w:sz w:val="22"/>
          <w:szCs w:val="22"/>
          <w:lang w:val="en" w:eastAsia="en-GB"/>
        </w:rPr>
        <w:t xml:space="preserve"> align </w:t>
      </w:r>
      <w:r>
        <w:rPr>
          <w:rFonts w:eastAsia="Arial" w:cstheme="minorHAnsi"/>
          <w:sz w:val="22"/>
          <w:szCs w:val="22"/>
          <w:lang w:val="en" w:eastAsia="en-GB"/>
        </w:rPr>
        <w:t>terminology</w:t>
      </w:r>
      <w:r w:rsidRPr="00117750">
        <w:rPr>
          <w:rFonts w:eastAsia="Arial" w:cstheme="minorHAnsi"/>
          <w:sz w:val="22"/>
          <w:szCs w:val="22"/>
          <w:lang w:val="en" w:eastAsia="en-GB"/>
        </w:rPr>
        <w:t>, we suggest that the following definitions for</w:t>
      </w:r>
      <w:r>
        <w:rPr>
          <w:rFonts w:eastAsia="Arial" w:cstheme="minorHAnsi"/>
          <w:sz w:val="22"/>
          <w:szCs w:val="22"/>
          <w:lang w:val="en" w:eastAsia="en-GB"/>
        </w:rPr>
        <w:t xml:space="preserve"> anti-GBM </w:t>
      </w:r>
      <w:r w:rsidRPr="00117750">
        <w:rPr>
          <w:rFonts w:eastAsia="Arial" w:cstheme="minorHAnsi"/>
          <w:sz w:val="22"/>
          <w:szCs w:val="22"/>
          <w:lang w:val="en" w:eastAsia="en-GB"/>
        </w:rPr>
        <w:t xml:space="preserve">are </w:t>
      </w:r>
      <w:r>
        <w:rPr>
          <w:rFonts w:eastAsia="Arial" w:cstheme="minorHAnsi"/>
          <w:sz w:val="22"/>
          <w:szCs w:val="22"/>
          <w:lang w:val="en" w:eastAsia="en-GB"/>
        </w:rPr>
        <w:t>used.</w:t>
      </w:r>
      <w:r w:rsidRPr="00601B86">
        <w:rPr>
          <w:rFonts w:eastAsia="Arial" w:cstheme="minorHAnsi"/>
          <w:sz w:val="22"/>
          <w:szCs w:val="22"/>
          <w:lang w:val="en" w:eastAsia="en-GB"/>
        </w:rPr>
        <w:t xml:space="preserve"> </w:t>
      </w:r>
      <w:r w:rsidRPr="00117750">
        <w:rPr>
          <w:rFonts w:eastAsia="Arial" w:cstheme="minorHAnsi"/>
          <w:sz w:val="22"/>
          <w:szCs w:val="22"/>
          <w:lang w:val="en" w:eastAsia="en-GB"/>
        </w:rPr>
        <w:t xml:space="preserve">Definitions are taken from the </w:t>
      </w:r>
      <w:r>
        <w:rPr>
          <w:rFonts w:eastAsia="Arial" w:cstheme="minorHAnsi"/>
          <w:sz w:val="22"/>
          <w:szCs w:val="22"/>
          <w:lang w:val="en" w:eastAsia="en-GB"/>
        </w:rPr>
        <w:t>KDIGO</w:t>
      </w:r>
      <w:r w:rsidRPr="00117750">
        <w:rPr>
          <w:rFonts w:eastAsia="Arial" w:cstheme="minorHAnsi"/>
          <w:sz w:val="22"/>
          <w:szCs w:val="22"/>
          <w:lang w:val="en" w:eastAsia="en-GB"/>
        </w:rPr>
        <w:t xml:space="preserve"> guidelines</w:t>
      </w:r>
      <w:r>
        <w:rPr>
          <w:rFonts w:eastAsia="Arial" w:cstheme="minorHAnsi"/>
          <w:sz w:val="22"/>
          <w:szCs w:val="22"/>
          <w:lang w:val="en" w:eastAsia="en-GB"/>
        </w:rPr>
        <w:t xml:space="preserve"> </w:t>
      </w:r>
      <w:r w:rsidRPr="00117750">
        <w:rPr>
          <w:rFonts w:eastAsia="Arial" w:cstheme="minorHAnsi"/>
          <w:sz w:val="22"/>
          <w:szCs w:val="22"/>
          <w:lang w:val="en" w:eastAsia="en-GB"/>
        </w:rPr>
        <w:t xml:space="preserve">with minor modifications </w:t>
      </w:r>
      <w:r>
        <w:rPr>
          <w:rFonts w:eastAsia="Arial" w:cstheme="minorHAnsi"/>
          <w:sz w:val="22"/>
          <w:szCs w:val="22"/>
          <w:lang w:val="en" w:eastAsia="en-GB"/>
        </w:rPr>
        <w:t xml:space="preserve">by the GDG </w:t>
      </w:r>
      <w:r w:rsidRPr="00117750">
        <w:rPr>
          <w:rFonts w:eastAsia="Arial" w:cstheme="minorHAnsi"/>
          <w:sz w:val="22"/>
          <w:szCs w:val="22"/>
          <w:lang w:val="en" w:eastAsia="en-GB"/>
        </w:rPr>
        <w:t>for standard UK practice</w:t>
      </w:r>
      <w:r w:rsidR="00A13B72">
        <w:rPr>
          <w:rFonts w:eastAsia="Arial" w:cstheme="minorHAnsi"/>
          <w:sz w:val="22"/>
          <w:szCs w:val="22"/>
          <w:lang w:val="en" w:eastAsia="en-GB"/>
        </w:rPr>
        <w:t xml:space="preserve"> </w:t>
      </w:r>
      <w:r w:rsidR="00A13B72">
        <w:rPr>
          <w:rFonts w:eastAsia="Arial" w:cstheme="minorHAnsi"/>
          <w:sz w:val="22"/>
          <w:szCs w:val="22"/>
          <w:lang w:val="en" w:eastAsia="en-GB"/>
        </w:rPr>
        <w:fldChar w:fldCharType="begin"/>
      </w:r>
      <w:r w:rsidR="00642970">
        <w:rPr>
          <w:rFonts w:eastAsia="Arial" w:cstheme="minorHAnsi"/>
          <w:sz w:val="22"/>
          <w:szCs w:val="22"/>
          <w:lang w:val="en" w:eastAsia="en-GB"/>
        </w:rPr>
        <w:instrText xml:space="preserve"> ADDIN ZOTERO_ITEM CSL_CITATION {"citationID":"Ur2sw5zC","properties":{"formattedCitation":"(5)","plainCitation":"(5)","noteIndex":0},"citationItems":[{"id":11,"uris":["http://zotero.org/users/local/lvPLY4Gu/items/PZVAFVT2"],"itemData":{"id":11,"type":"article-journal","container-title":"Kidney International","DOI":"10.1016/j.kint.2021.05.021","ISSN":"1523-1755","issue":"4S","journalAbbreviation":"Kidney Int","language":"eng","note":"PMID: 34556256","page":"S1-S276","source":"PubMed","title":"KDIGO 2021 Clinical Practice Guideline for the Management of Glomerular Diseases","volume":"100","author":[{"literal":"Kidney Disease: Improving Global Outcomes (KDIGO) Glomerular Diseases Work Group"}],"issued":{"date-parts":[["2021",10]]}}}],"schema":"https://github.com/citation-style-language/schema/raw/master/csl-citation.json"} </w:instrText>
      </w:r>
      <w:r w:rsidR="00A13B72">
        <w:rPr>
          <w:rFonts w:eastAsia="Arial" w:cstheme="minorHAnsi"/>
          <w:sz w:val="22"/>
          <w:szCs w:val="22"/>
          <w:lang w:val="en" w:eastAsia="en-GB"/>
        </w:rPr>
        <w:fldChar w:fldCharType="separate"/>
      </w:r>
      <w:r w:rsidR="00642970">
        <w:rPr>
          <w:rFonts w:eastAsia="Arial" w:cstheme="minorHAnsi"/>
          <w:noProof/>
          <w:sz w:val="22"/>
          <w:szCs w:val="22"/>
          <w:lang w:val="en" w:eastAsia="en-GB"/>
        </w:rPr>
        <w:t>(5)</w:t>
      </w:r>
      <w:r w:rsidR="00A13B72">
        <w:rPr>
          <w:rFonts w:eastAsia="Arial" w:cstheme="minorHAnsi"/>
          <w:sz w:val="22"/>
          <w:szCs w:val="22"/>
          <w:lang w:val="en" w:eastAsia="en-GB"/>
        </w:rPr>
        <w:fldChar w:fldCharType="end"/>
      </w:r>
      <w:r w:rsidRPr="00117750">
        <w:rPr>
          <w:rFonts w:eastAsia="Arial" w:cstheme="minorHAnsi"/>
          <w:sz w:val="22"/>
          <w:szCs w:val="22"/>
          <w:lang w:val="en" w:eastAsia="en-GB"/>
        </w:rPr>
        <w:t xml:space="preserve">.  </w:t>
      </w:r>
      <w:r w:rsidRPr="00C00DD6">
        <w:rPr>
          <w:rFonts w:cstheme="minorHAnsi"/>
          <w:color w:val="3F3F3F"/>
          <w:sz w:val="22"/>
          <w:szCs w:val="22"/>
        </w:rPr>
        <w:tab/>
      </w:r>
    </w:p>
    <w:tbl>
      <w:tblPr>
        <w:tblStyle w:val="TableGrid"/>
        <w:tblW w:w="0" w:type="auto"/>
        <w:tblLook w:val="04A0" w:firstRow="1" w:lastRow="0" w:firstColumn="1" w:lastColumn="0" w:noHBand="0" w:noVBand="1"/>
      </w:tblPr>
      <w:tblGrid>
        <w:gridCol w:w="846"/>
        <w:gridCol w:w="9497"/>
      </w:tblGrid>
      <w:tr w:rsidR="00837E18" w14:paraId="6AA78E02" w14:textId="77777777" w:rsidTr="00C00DD6">
        <w:tc>
          <w:tcPr>
            <w:tcW w:w="10343" w:type="dxa"/>
            <w:gridSpan w:val="2"/>
          </w:tcPr>
          <w:p w14:paraId="21AFA707" w14:textId="77777777" w:rsidR="003D5CF4" w:rsidRPr="00C00DD6" w:rsidRDefault="001630D4" w:rsidP="003F494F">
            <w:pPr>
              <w:spacing w:before="240" w:line="360" w:lineRule="auto"/>
              <w:rPr>
                <w:rFonts w:eastAsia="Arial" w:cstheme="minorHAnsi"/>
                <w:b/>
                <w:sz w:val="22"/>
                <w:szCs w:val="22"/>
                <w:lang w:val="en" w:eastAsia="en-GB"/>
              </w:rPr>
            </w:pPr>
            <w:r w:rsidRPr="00C00DD6">
              <w:rPr>
                <w:rFonts w:eastAsia="Arial" w:cstheme="minorHAnsi"/>
                <w:b/>
                <w:sz w:val="22"/>
                <w:szCs w:val="22"/>
                <w:lang w:val="en" w:eastAsia="en-GB"/>
              </w:rPr>
              <w:t xml:space="preserve">Diagnosis </w:t>
            </w:r>
          </w:p>
        </w:tc>
      </w:tr>
      <w:tr w:rsidR="00837E18" w14:paraId="2C638964" w14:textId="77777777" w:rsidTr="00C00DD6">
        <w:tc>
          <w:tcPr>
            <w:tcW w:w="846" w:type="dxa"/>
          </w:tcPr>
          <w:p w14:paraId="38FFD418" w14:textId="77777777" w:rsidR="003D5CF4" w:rsidRPr="00C00DD6" w:rsidRDefault="001630D4" w:rsidP="003F494F">
            <w:pPr>
              <w:spacing w:before="240" w:line="360" w:lineRule="auto"/>
              <w:rPr>
                <w:rFonts w:eastAsia="Arial" w:cstheme="minorHAnsi"/>
                <w:sz w:val="22"/>
                <w:szCs w:val="22"/>
                <w:lang w:val="en" w:eastAsia="en-GB"/>
              </w:rPr>
            </w:pPr>
            <w:r w:rsidRPr="00C00DD6">
              <w:rPr>
                <w:rFonts w:eastAsia="Arial" w:cstheme="minorHAnsi"/>
                <w:sz w:val="22"/>
                <w:szCs w:val="22"/>
                <w:lang w:val="en" w:eastAsia="en-GB"/>
              </w:rPr>
              <w:t>a</w:t>
            </w:r>
          </w:p>
        </w:tc>
        <w:tc>
          <w:tcPr>
            <w:tcW w:w="9497" w:type="dxa"/>
          </w:tcPr>
          <w:p w14:paraId="49786FBD" w14:textId="69B21E7F" w:rsidR="003D5CF4" w:rsidRPr="00C00DD6" w:rsidRDefault="001630D4" w:rsidP="003F494F">
            <w:pPr>
              <w:spacing w:before="240" w:line="360" w:lineRule="auto"/>
              <w:rPr>
                <w:rFonts w:eastAsia="Arial" w:cstheme="minorHAnsi"/>
                <w:sz w:val="22"/>
                <w:szCs w:val="22"/>
                <w:lang w:val="en" w:eastAsia="en-GB"/>
              </w:rPr>
            </w:pPr>
            <w:r>
              <w:rPr>
                <w:rFonts w:eastAsia="Arial" w:cstheme="minorHAnsi"/>
                <w:sz w:val="22"/>
                <w:szCs w:val="22"/>
                <w:lang w:val="en" w:eastAsia="en-GB"/>
              </w:rPr>
              <w:t xml:space="preserve">A diagnosis of anti-GBM disease is made according to clinical features, histology and positive anti-GBM antibody findings. </w:t>
            </w:r>
          </w:p>
        </w:tc>
      </w:tr>
      <w:tr w:rsidR="00837E18" w14:paraId="399413DE" w14:textId="77777777" w:rsidTr="00C00DD6">
        <w:tc>
          <w:tcPr>
            <w:tcW w:w="846" w:type="dxa"/>
          </w:tcPr>
          <w:p w14:paraId="019A921B" w14:textId="77777777" w:rsidR="003D5CF4" w:rsidRPr="00C00DD6" w:rsidRDefault="001630D4" w:rsidP="003F494F">
            <w:pPr>
              <w:spacing w:before="240" w:line="360" w:lineRule="auto"/>
              <w:rPr>
                <w:rFonts w:eastAsia="Arial" w:cstheme="minorHAnsi"/>
                <w:sz w:val="22"/>
                <w:szCs w:val="22"/>
                <w:lang w:val="en" w:eastAsia="en-GB"/>
              </w:rPr>
            </w:pPr>
            <w:r w:rsidRPr="00C00DD6">
              <w:rPr>
                <w:rFonts w:eastAsia="Arial" w:cstheme="minorHAnsi"/>
                <w:sz w:val="22"/>
                <w:szCs w:val="22"/>
                <w:lang w:val="en" w:eastAsia="en-GB"/>
              </w:rPr>
              <w:t>b</w:t>
            </w:r>
          </w:p>
        </w:tc>
        <w:tc>
          <w:tcPr>
            <w:tcW w:w="9497" w:type="dxa"/>
          </w:tcPr>
          <w:p w14:paraId="21E3C1F2" w14:textId="6C224DCB" w:rsidR="003D5CF4" w:rsidRPr="00C00DD6" w:rsidRDefault="001630D4" w:rsidP="003F494F">
            <w:pPr>
              <w:spacing w:before="240" w:line="360" w:lineRule="auto"/>
              <w:rPr>
                <w:rFonts w:eastAsia="Arial" w:cstheme="minorHAnsi"/>
                <w:sz w:val="22"/>
                <w:szCs w:val="22"/>
                <w:lang w:val="en" w:eastAsia="en-GB"/>
              </w:rPr>
            </w:pPr>
            <w:r>
              <w:rPr>
                <w:rFonts w:cstheme="minorHAnsi"/>
                <w:color w:val="181818"/>
                <w:sz w:val="22"/>
                <w:szCs w:val="22"/>
              </w:rPr>
              <w:t>A</w:t>
            </w:r>
            <w:r w:rsidRPr="00C00DD6">
              <w:rPr>
                <w:rFonts w:cstheme="minorHAnsi"/>
                <w:color w:val="181818"/>
                <w:sz w:val="22"/>
                <w:szCs w:val="22"/>
              </w:rPr>
              <w:t xml:space="preserve">nti-GBM disease </w:t>
            </w:r>
            <w:r>
              <w:rPr>
                <w:rFonts w:cstheme="minorHAnsi"/>
                <w:color w:val="181818"/>
                <w:sz w:val="22"/>
                <w:szCs w:val="22"/>
              </w:rPr>
              <w:t>can</w:t>
            </w:r>
            <w:r w:rsidRPr="00C00DD6">
              <w:rPr>
                <w:rFonts w:cstheme="minorHAnsi"/>
                <w:color w:val="181818"/>
                <w:sz w:val="22"/>
                <w:szCs w:val="22"/>
              </w:rPr>
              <w:t xml:space="preserve"> progress </w:t>
            </w:r>
            <w:r>
              <w:rPr>
                <w:rFonts w:cstheme="minorHAnsi"/>
                <w:color w:val="181818"/>
                <w:sz w:val="22"/>
                <w:szCs w:val="22"/>
              </w:rPr>
              <w:t xml:space="preserve">very </w:t>
            </w:r>
            <w:r w:rsidRPr="00C00DD6">
              <w:rPr>
                <w:rFonts w:cstheme="minorHAnsi"/>
                <w:color w:val="181818"/>
                <w:sz w:val="22"/>
                <w:szCs w:val="22"/>
              </w:rPr>
              <w:t xml:space="preserve">rapidly, </w:t>
            </w:r>
            <w:r w:rsidR="00AD454E">
              <w:rPr>
                <w:rFonts w:cstheme="minorHAnsi"/>
                <w:color w:val="181818"/>
                <w:sz w:val="22"/>
                <w:szCs w:val="22"/>
              </w:rPr>
              <w:t xml:space="preserve">within hours to days, </w:t>
            </w:r>
            <w:r>
              <w:rPr>
                <w:rFonts w:cstheme="minorHAnsi"/>
                <w:color w:val="181818"/>
                <w:sz w:val="22"/>
                <w:szCs w:val="22"/>
              </w:rPr>
              <w:t xml:space="preserve">therefore </w:t>
            </w:r>
            <w:r w:rsidRPr="00C00DD6">
              <w:rPr>
                <w:rFonts w:cstheme="minorHAnsi"/>
                <w:color w:val="181818"/>
                <w:sz w:val="22"/>
                <w:szCs w:val="22"/>
              </w:rPr>
              <w:t>if there is a high degree of suspicion for the diagnosis, treatment should not be delayed.</w:t>
            </w:r>
          </w:p>
        </w:tc>
      </w:tr>
      <w:tr w:rsidR="00837E18" w14:paraId="2C8F7E4A" w14:textId="77777777" w:rsidTr="00C00DD6">
        <w:tc>
          <w:tcPr>
            <w:tcW w:w="846" w:type="dxa"/>
          </w:tcPr>
          <w:p w14:paraId="00CAFE69" w14:textId="77777777" w:rsidR="003D5CF4" w:rsidRPr="00C00DD6" w:rsidRDefault="001630D4" w:rsidP="003F494F">
            <w:pPr>
              <w:spacing w:before="240" w:line="360" w:lineRule="auto"/>
              <w:rPr>
                <w:rFonts w:eastAsia="Arial" w:cstheme="minorHAnsi"/>
                <w:sz w:val="22"/>
                <w:szCs w:val="22"/>
                <w:lang w:val="en" w:eastAsia="en-GB"/>
              </w:rPr>
            </w:pPr>
            <w:r w:rsidRPr="00C00DD6">
              <w:rPr>
                <w:rFonts w:eastAsia="Arial" w:cstheme="minorHAnsi"/>
                <w:sz w:val="22"/>
                <w:szCs w:val="22"/>
                <w:lang w:val="en" w:eastAsia="en-GB"/>
              </w:rPr>
              <w:t>c</w:t>
            </w:r>
          </w:p>
        </w:tc>
        <w:tc>
          <w:tcPr>
            <w:tcW w:w="9497" w:type="dxa"/>
          </w:tcPr>
          <w:p w14:paraId="068EBA58" w14:textId="5F898206" w:rsidR="003D5CF4" w:rsidRPr="00C00DD6" w:rsidRDefault="001630D4" w:rsidP="003F494F">
            <w:pPr>
              <w:spacing w:before="240" w:line="360" w:lineRule="auto"/>
              <w:rPr>
                <w:rFonts w:eastAsia="Arial" w:cstheme="minorHAnsi"/>
                <w:sz w:val="22"/>
                <w:szCs w:val="22"/>
                <w:lang w:val="en" w:eastAsia="en-GB"/>
              </w:rPr>
            </w:pPr>
            <w:r>
              <w:rPr>
                <w:rFonts w:cstheme="minorHAnsi"/>
                <w:color w:val="181818"/>
                <w:sz w:val="22"/>
                <w:szCs w:val="22"/>
              </w:rPr>
              <w:t>In anti-GBM t</w:t>
            </w:r>
            <w:r w:rsidRPr="00C00DD6">
              <w:rPr>
                <w:rFonts w:cstheme="minorHAnsi"/>
                <w:color w:val="181818"/>
                <w:sz w:val="22"/>
                <w:szCs w:val="22"/>
              </w:rPr>
              <w:t xml:space="preserve">he biopsy can be </w:t>
            </w:r>
            <w:r>
              <w:rPr>
                <w:rFonts w:cstheme="minorHAnsi"/>
                <w:color w:val="181818"/>
                <w:sz w:val="22"/>
                <w:szCs w:val="22"/>
              </w:rPr>
              <w:t>performed to support the management</w:t>
            </w:r>
            <w:r w:rsidRPr="00C00DD6">
              <w:rPr>
                <w:rFonts w:cstheme="minorHAnsi"/>
                <w:color w:val="181818"/>
                <w:sz w:val="22"/>
                <w:szCs w:val="22"/>
              </w:rPr>
              <w:t xml:space="preserve"> after </w:t>
            </w:r>
            <w:r>
              <w:rPr>
                <w:rFonts w:cstheme="minorHAnsi"/>
                <w:color w:val="181818"/>
                <w:sz w:val="22"/>
                <w:szCs w:val="22"/>
              </w:rPr>
              <w:t xml:space="preserve">the initial </w:t>
            </w:r>
            <w:r w:rsidRPr="00C00DD6">
              <w:rPr>
                <w:rFonts w:cstheme="minorHAnsi"/>
                <w:color w:val="181818"/>
                <w:sz w:val="22"/>
                <w:szCs w:val="22"/>
              </w:rPr>
              <w:t>treatment has been initiated.</w:t>
            </w:r>
          </w:p>
        </w:tc>
      </w:tr>
    </w:tbl>
    <w:p w14:paraId="6AD41F8A" w14:textId="77777777" w:rsidR="003D5CF4" w:rsidRPr="00C00DD6" w:rsidRDefault="003D5CF4" w:rsidP="003F494F">
      <w:pPr>
        <w:spacing w:line="360" w:lineRule="auto"/>
        <w:rPr>
          <w:rFonts w:cstheme="minorHAnsi"/>
          <w:b/>
          <w:bCs/>
          <w:sz w:val="22"/>
          <w:szCs w:val="22"/>
        </w:rPr>
      </w:pPr>
    </w:p>
    <w:p w14:paraId="0A0CD7BE" w14:textId="6A5A52A6" w:rsidR="003C0309" w:rsidRPr="00C00DD6" w:rsidRDefault="001630D4" w:rsidP="003F494F">
      <w:pPr>
        <w:spacing w:line="360" w:lineRule="auto"/>
        <w:rPr>
          <w:rFonts w:cstheme="minorHAnsi"/>
          <w:b/>
          <w:bCs/>
          <w:sz w:val="22"/>
          <w:szCs w:val="22"/>
        </w:rPr>
      </w:pPr>
      <w:r w:rsidRPr="00C00DD6">
        <w:rPr>
          <w:rFonts w:cstheme="minorHAnsi"/>
          <w:b/>
          <w:bCs/>
          <w:sz w:val="22"/>
          <w:szCs w:val="22"/>
          <w:lang w:val="en" w:eastAsia="en-GB"/>
        </w:rPr>
        <w:t>Management of anti-GBM disease</w:t>
      </w:r>
    </w:p>
    <w:p w14:paraId="1365A294" w14:textId="77777777" w:rsidR="003D5CF4" w:rsidRPr="00C00DD6" w:rsidRDefault="003D5CF4" w:rsidP="003F494F">
      <w:pPr>
        <w:spacing w:line="360" w:lineRule="auto"/>
        <w:rPr>
          <w:rFonts w:cstheme="minorHAnsi"/>
          <w:b/>
          <w:bCs/>
          <w:sz w:val="22"/>
          <w:szCs w:val="22"/>
        </w:rPr>
      </w:pPr>
    </w:p>
    <w:tbl>
      <w:tblPr>
        <w:tblStyle w:val="TableGrid"/>
        <w:tblW w:w="10348" w:type="dxa"/>
        <w:tblInd w:w="-5" w:type="dxa"/>
        <w:tblLook w:val="04A0" w:firstRow="1" w:lastRow="0" w:firstColumn="1" w:lastColumn="0" w:noHBand="0" w:noVBand="1"/>
      </w:tblPr>
      <w:tblGrid>
        <w:gridCol w:w="965"/>
        <w:gridCol w:w="7682"/>
        <w:gridCol w:w="1701"/>
      </w:tblGrid>
      <w:tr w:rsidR="00837E18" w14:paraId="08128EB1" w14:textId="77777777" w:rsidTr="00C00DD6">
        <w:tc>
          <w:tcPr>
            <w:tcW w:w="965" w:type="dxa"/>
          </w:tcPr>
          <w:p w14:paraId="70948044" w14:textId="77777777" w:rsidR="003C0309" w:rsidRPr="007E216E" w:rsidRDefault="001630D4" w:rsidP="003F494F">
            <w:pPr>
              <w:spacing w:line="360" w:lineRule="auto"/>
              <w:jc w:val="center"/>
              <w:rPr>
                <w:rFonts w:cstheme="minorHAnsi"/>
                <w:b/>
                <w:sz w:val="22"/>
                <w:szCs w:val="22"/>
              </w:rPr>
            </w:pPr>
            <w:r w:rsidRPr="007E216E">
              <w:rPr>
                <w:rFonts w:cstheme="minorHAnsi"/>
                <w:b/>
                <w:sz w:val="22"/>
                <w:szCs w:val="22"/>
              </w:rPr>
              <w:t>Number</w:t>
            </w:r>
          </w:p>
        </w:tc>
        <w:tc>
          <w:tcPr>
            <w:tcW w:w="7682" w:type="dxa"/>
          </w:tcPr>
          <w:p w14:paraId="0C09A66B" w14:textId="77777777" w:rsidR="003C0309" w:rsidRPr="007E216E" w:rsidRDefault="001630D4" w:rsidP="003F494F">
            <w:pPr>
              <w:spacing w:line="360" w:lineRule="auto"/>
              <w:rPr>
                <w:rFonts w:cstheme="minorHAnsi"/>
                <w:b/>
                <w:sz w:val="22"/>
                <w:szCs w:val="22"/>
              </w:rPr>
            </w:pPr>
            <w:r w:rsidRPr="007E216E">
              <w:rPr>
                <w:rFonts w:cstheme="minorHAnsi"/>
                <w:b/>
                <w:sz w:val="22"/>
                <w:szCs w:val="22"/>
              </w:rPr>
              <w:t>RECOMMENTATION</w:t>
            </w:r>
          </w:p>
        </w:tc>
        <w:tc>
          <w:tcPr>
            <w:tcW w:w="1701" w:type="dxa"/>
          </w:tcPr>
          <w:p w14:paraId="69421822" w14:textId="124DFCA7" w:rsidR="003C0309" w:rsidRPr="007E216E" w:rsidRDefault="001630D4" w:rsidP="003F494F">
            <w:pPr>
              <w:spacing w:line="360" w:lineRule="auto"/>
              <w:jc w:val="center"/>
              <w:rPr>
                <w:rFonts w:cstheme="minorHAnsi"/>
                <w:b/>
                <w:sz w:val="22"/>
                <w:szCs w:val="22"/>
              </w:rPr>
            </w:pPr>
            <w:r w:rsidRPr="007E216E">
              <w:rPr>
                <w:rFonts w:cstheme="minorHAnsi"/>
                <w:b/>
                <w:sz w:val="22"/>
                <w:szCs w:val="22"/>
              </w:rPr>
              <w:t>Grade</w:t>
            </w:r>
          </w:p>
        </w:tc>
      </w:tr>
      <w:tr w:rsidR="00837E18" w14:paraId="12D5225E" w14:textId="77777777" w:rsidTr="00C00DD6">
        <w:tc>
          <w:tcPr>
            <w:tcW w:w="965" w:type="dxa"/>
          </w:tcPr>
          <w:p w14:paraId="47BB51FE" w14:textId="23034FBF" w:rsidR="003C0309" w:rsidRPr="007E216E" w:rsidRDefault="001630D4" w:rsidP="003F494F">
            <w:pPr>
              <w:spacing w:line="360" w:lineRule="auto"/>
              <w:jc w:val="center"/>
              <w:rPr>
                <w:rFonts w:cstheme="minorHAnsi"/>
                <w:sz w:val="22"/>
                <w:szCs w:val="22"/>
              </w:rPr>
            </w:pPr>
            <w:r w:rsidRPr="007E216E">
              <w:rPr>
                <w:rFonts w:cstheme="minorHAnsi"/>
                <w:sz w:val="22"/>
                <w:szCs w:val="22"/>
              </w:rPr>
              <w:t>GBM 6.1</w:t>
            </w:r>
          </w:p>
        </w:tc>
        <w:tc>
          <w:tcPr>
            <w:tcW w:w="7682" w:type="dxa"/>
          </w:tcPr>
          <w:p w14:paraId="151ADD02" w14:textId="040B0DE9" w:rsidR="003C0309" w:rsidRPr="007E216E" w:rsidRDefault="001630D4" w:rsidP="003F494F">
            <w:pPr>
              <w:pStyle w:val="NormalWeb"/>
              <w:shd w:val="clear" w:color="auto" w:fill="FFFFFF"/>
              <w:spacing w:line="360" w:lineRule="auto"/>
              <w:rPr>
                <w:rFonts w:asciiTheme="minorHAnsi" w:hAnsiTheme="minorHAnsi" w:cstheme="minorHAnsi"/>
                <w:sz w:val="22"/>
                <w:szCs w:val="22"/>
              </w:rPr>
            </w:pPr>
            <w:r w:rsidRPr="007E216E">
              <w:rPr>
                <w:rFonts w:asciiTheme="minorHAnsi" w:hAnsiTheme="minorHAnsi" w:cstheme="minorHAnsi"/>
                <w:color w:val="181818"/>
                <w:sz w:val="22"/>
                <w:szCs w:val="22"/>
                <w:u w:val="single"/>
              </w:rPr>
              <w:t>We recommend</w:t>
            </w:r>
            <w:r w:rsidRPr="007E216E">
              <w:rPr>
                <w:rFonts w:asciiTheme="minorHAnsi" w:hAnsiTheme="minorHAnsi" w:cstheme="minorHAnsi"/>
                <w:color w:val="181818"/>
                <w:sz w:val="22"/>
                <w:szCs w:val="22"/>
              </w:rPr>
              <w:t xml:space="preserve"> the use of intravenous </w:t>
            </w:r>
            <w:r w:rsidR="003D5CF4" w:rsidRPr="007E216E">
              <w:rPr>
                <w:rFonts w:asciiTheme="minorHAnsi" w:hAnsiTheme="minorHAnsi" w:cstheme="minorHAnsi"/>
                <w:color w:val="181818"/>
                <w:sz w:val="22"/>
                <w:szCs w:val="22"/>
              </w:rPr>
              <w:t xml:space="preserve">glucocorticoids, cyclophosphamide, and plasmapheresis </w:t>
            </w:r>
            <w:r w:rsidRPr="007E216E">
              <w:rPr>
                <w:rFonts w:asciiTheme="minorHAnsi" w:hAnsiTheme="minorHAnsi" w:cstheme="minorHAnsi"/>
                <w:color w:val="181818"/>
                <w:sz w:val="22"/>
                <w:szCs w:val="22"/>
              </w:rPr>
              <w:t xml:space="preserve">for CYP presenting with anti-GBM disease. </w:t>
            </w:r>
          </w:p>
        </w:tc>
        <w:tc>
          <w:tcPr>
            <w:tcW w:w="1701" w:type="dxa"/>
          </w:tcPr>
          <w:p w14:paraId="429D3FE9" w14:textId="14E3D911" w:rsidR="003C0309" w:rsidRPr="007E216E" w:rsidRDefault="001630D4" w:rsidP="003F494F">
            <w:pPr>
              <w:spacing w:line="360" w:lineRule="auto"/>
              <w:jc w:val="center"/>
              <w:rPr>
                <w:rFonts w:cstheme="minorHAnsi"/>
                <w:b/>
                <w:sz w:val="22"/>
                <w:szCs w:val="22"/>
              </w:rPr>
            </w:pPr>
            <w:r w:rsidRPr="007E216E">
              <w:rPr>
                <w:rFonts w:cstheme="minorHAnsi"/>
                <w:b/>
                <w:sz w:val="22"/>
                <w:szCs w:val="22"/>
              </w:rPr>
              <w:t>1C</w:t>
            </w:r>
          </w:p>
        </w:tc>
      </w:tr>
      <w:tr w:rsidR="00837E18" w14:paraId="2B31B523" w14:textId="77777777" w:rsidTr="00C00DD6">
        <w:tc>
          <w:tcPr>
            <w:tcW w:w="965" w:type="dxa"/>
          </w:tcPr>
          <w:p w14:paraId="7A0F2042" w14:textId="1DBCC66A" w:rsidR="003C0309" w:rsidRPr="007E216E" w:rsidRDefault="001630D4" w:rsidP="003F494F">
            <w:pPr>
              <w:spacing w:line="360" w:lineRule="auto"/>
              <w:jc w:val="center"/>
              <w:rPr>
                <w:rFonts w:cstheme="minorHAnsi"/>
                <w:sz w:val="22"/>
                <w:szCs w:val="22"/>
              </w:rPr>
            </w:pPr>
            <w:r w:rsidRPr="007E216E">
              <w:rPr>
                <w:rFonts w:cstheme="minorHAnsi"/>
                <w:sz w:val="22"/>
                <w:szCs w:val="22"/>
              </w:rPr>
              <w:t>GBM 6.2</w:t>
            </w:r>
          </w:p>
        </w:tc>
        <w:tc>
          <w:tcPr>
            <w:tcW w:w="7682" w:type="dxa"/>
          </w:tcPr>
          <w:p w14:paraId="35C8AC65" w14:textId="17D425B0" w:rsidR="003C0309" w:rsidRPr="007E216E" w:rsidRDefault="001630D4" w:rsidP="003F494F">
            <w:pPr>
              <w:spacing w:line="360" w:lineRule="auto"/>
              <w:rPr>
                <w:rFonts w:eastAsiaTheme="minorEastAsia" w:cstheme="minorHAnsi"/>
                <w:color w:val="000000" w:themeColor="text1"/>
                <w:kern w:val="24"/>
                <w:sz w:val="22"/>
                <w:szCs w:val="22"/>
              </w:rPr>
            </w:pPr>
            <w:r w:rsidRPr="007E216E">
              <w:rPr>
                <w:rFonts w:cstheme="minorHAnsi"/>
                <w:color w:val="181818"/>
                <w:sz w:val="22"/>
                <w:szCs w:val="22"/>
                <w:u w:val="single"/>
              </w:rPr>
              <w:t>We suggest</w:t>
            </w:r>
            <w:r w:rsidRPr="007E216E">
              <w:rPr>
                <w:rFonts w:cstheme="minorHAnsi"/>
                <w:color w:val="181818"/>
                <w:sz w:val="22"/>
                <w:szCs w:val="22"/>
              </w:rPr>
              <w:t xml:space="preserve"> reviewing the intensity </w:t>
            </w:r>
            <w:r w:rsidR="00AD454E">
              <w:rPr>
                <w:rFonts w:cstheme="minorHAnsi"/>
                <w:color w:val="181818"/>
                <w:sz w:val="22"/>
                <w:szCs w:val="22"/>
              </w:rPr>
              <w:t xml:space="preserve">and duration </w:t>
            </w:r>
            <w:r w:rsidRPr="007E216E">
              <w:rPr>
                <w:rFonts w:cstheme="minorHAnsi"/>
                <w:color w:val="181818"/>
                <w:sz w:val="22"/>
                <w:szCs w:val="22"/>
              </w:rPr>
              <w:t xml:space="preserve">of the immunosuppressive </w:t>
            </w:r>
            <w:r w:rsidR="00AD454E">
              <w:rPr>
                <w:rFonts w:cstheme="minorHAnsi"/>
                <w:color w:val="181818"/>
                <w:sz w:val="22"/>
                <w:szCs w:val="22"/>
              </w:rPr>
              <w:t>treatment</w:t>
            </w:r>
            <w:r w:rsidRPr="007E216E">
              <w:rPr>
                <w:rFonts w:cstheme="minorHAnsi"/>
                <w:color w:val="181818"/>
                <w:sz w:val="22"/>
                <w:szCs w:val="22"/>
              </w:rPr>
              <w:t xml:space="preserve"> if a </w:t>
            </w:r>
            <w:r w:rsidR="00AD454E">
              <w:rPr>
                <w:rFonts w:cstheme="minorHAnsi"/>
                <w:color w:val="181818"/>
                <w:sz w:val="22"/>
                <w:szCs w:val="22"/>
              </w:rPr>
              <w:t>CYP</w:t>
            </w:r>
            <w:r w:rsidRPr="007E216E">
              <w:rPr>
                <w:rFonts w:cstheme="minorHAnsi"/>
                <w:color w:val="181818"/>
                <w:sz w:val="22"/>
                <w:szCs w:val="22"/>
              </w:rPr>
              <w:t xml:space="preserve"> requires dialysis</w:t>
            </w:r>
            <w:r w:rsidR="00AD454E">
              <w:rPr>
                <w:rFonts w:cstheme="minorHAnsi"/>
                <w:color w:val="181818"/>
                <w:sz w:val="22"/>
                <w:szCs w:val="22"/>
              </w:rPr>
              <w:t xml:space="preserve"> at presentation</w:t>
            </w:r>
            <w:r w:rsidRPr="007E216E">
              <w:rPr>
                <w:rFonts w:cstheme="minorHAnsi"/>
                <w:color w:val="181818"/>
                <w:sz w:val="22"/>
                <w:szCs w:val="22"/>
              </w:rPr>
              <w:t xml:space="preserve">, </w:t>
            </w:r>
            <w:r w:rsidR="003D5CF4" w:rsidRPr="007E216E">
              <w:rPr>
                <w:rFonts w:cstheme="minorHAnsi"/>
                <w:color w:val="181818"/>
                <w:sz w:val="22"/>
                <w:szCs w:val="22"/>
              </w:rPr>
              <w:t>in the absence of pulmonary h</w:t>
            </w:r>
            <w:r w:rsidR="008B72E7">
              <w:rPr>
                <w:rFonts w:cstheme="minorHAnsi"/>
                <w:color w:val="181818"/>
                <w:sz w:val="22"/>
                <w:szCs w:val="22"/>
              </w:rPr>
              <w:t>a</w:t>
            </w:r>
            <w:r w:rsidR="003D5CF4" w:rsidRPr="007E216E">
              <w:rPr>
                <w:rFonts w:cstheme="minorHAnsi"/>
                <w:color w:val="181818"/>
                <w:sz w:val="22"/>
                <w:szCs w:val="22"/>
              </w:rPr>
              <w:t>emorrhage</w:t>
            </w:r>
            <w:r w:rsidRPr="007E216E">
              <w:rPr>
                <w:rFonts w:cstheme="minorHAnsi"/>
                <w:color w:val="181818"/>
                <w:sz w:val="22"/>
                <w:szCs w:val="22"/>
              </w:rPr>
              <w:t>,</w:t>
            </w:r>
            <w:r w:rsidR="003D5CF4" w:rsidRPr="007E216E">
              <w:rPr>
                <w:rFonts w:cstheme="minorHAnsi"/>
                <w:color w:val="181818"/>
                <w:sz w:val="22"/>
                <w:szCs w:val="22"/>
              </w:rPr>
              <w:t xml:space="preserve"> </w:t>
            </w:r>
            <w:r w:rsidR="00AD454E">
              <w:rPr>
                <w:rFonts w:cstheme="minorHAnsi"/>
                <w:color w:val="181818"/>
                <w:sz w:val="22"/>
                <w:szCs w:val="22"/>
              </w:rPr>
              <w:t>if they are considered</w:t>
            </w:r>
            <w:r w:rsidR="00FA64EB">
              <w:rPr>
                <w:rFonts w:cstheme="minorHAnsi"/>
                <w:color w:val="181818"/>
                <w:sz w:val="22"/>
                <w:szCs w:val="22"/>
              </w:rPr>
              <w:t xml:space="preserve"> to have a low chance of reversible disease for example </w:t>
            </w:r>
            <w:r w:rsidRPr="007E216E">
              <w:rPr>
                <w:rFonts w:cstheme="minorHAnsi"/>
                <w:color w:val="181818"/>
                <w:sz w:val="22"/>
                <w:szCs w:val="22"/>
              </w:rPr>
              <w:t>when the</w:t>
            </w:r>
            <w:r w:rsidR="003D5CF4" w:rsidRPr="007E216E">
              <w:rPr>
                <w:rFonts w:cstheme="minorHAnsi"/>
                <w:color w:val="181818"/>
                <w:sz w:val="22"/>
                <w:szCs w:val="22"/>
              </w:rPr>
              <w:t xml:space="preserve"> kidney biopsy shows 100% crescents or more than 50% global glomerulosclerosis</w:t>
            </w:r>
            <w:r w:rsidRPr="007E216E">
              <w:rPr>
                <w:rFonts w:cstheme="minorHAnsi"/>
                <w:color w:val="181818"/>
                <w:sz w:val="22"/>
                <w:szCs w:val="22"/>
              </w:rPr>
              <w:t>.</w:t>
            </w:r>
          </w:p>
        </w:tc>
        <w:tc>
          <w:tcPr>
            <w:tcW w:w="1701" w:type="dxa"/>
          </w:tcPr>
          <w:p w14:paraId="6E8A81BE" w14:textId="25D13135" w:rsidR="003C0309" w:rsidRPr="007E216E" w:rsidRDefault="001630D4" w:rsidP="003F494F">
            <w:pPr>
              <w:spacing w:line="360" w:lineRule="auto"/>
              <w:jc w:val="center"/>
              <w:rPr>
                <w:rFonts w:cstheme="minorHAnsi"/>
                <w:b/>
                <w:sz w:val="22"/>
                <w:szCs w:val="22"/>
              </w:rPr>
            </w:pPr>
            <w:r w:rsidRPr="007E216E">
              <w:rPr>
                <w:rFonts w:cstheme="minorHAnsi"/>
                <w:b/>
                <w:sz w:val="22"/>
                <w:szCs w:val="22"/>
              </w:rPr>
              <w:t>2C</w:t>
            </w:r>
          </w:p>
        </w:tc>
      </w:tr>
      <w:tr w:rsidR="00837E18" w14:paraId="26ED950E" w14:textId="77777777" w:rsidTr="00C00DD6">
        <w:tc>
          <w:tcPr>
            <w:tcW w:w="965" w:type="dxa"/>
          </w:tcPr>
          <w:p w14:paraId="53E2AE47" w14:textId="7232EC23" w:rsidR="007E216E" w:rsidRPr="007E216E" w:rsidRDefault="001630D4" w:rsidP="003F494F">
            <w:pPr>
              <w:spacing w:line="360" w:lineRule="auto"/>
              <w:jc w:val="center"/>
              <w:rPr>
                <w:rFonts w:cstheme="minorHAnsi"/>
                <w:sz w:val="22"/>
                <w:szCs w:val="22"/>
              </w:rPr>
            </w:pPr>
            <w:r w:rsidRPr="007E216E">
              <w:rPr>
                <w:rFonts w:cstheme="minorHAnsi"/>
                <w:sz w:val="22"/>
                <w:szCs w:val="22"/>
              </w:rPr>
              <w:t>GBM 6.3</w:t>
            </w:r>
          </w:p>
        </w:tc>
        <w:tc>
          <w:tcPr>
            <w:tcW w:w="7682" w:type="dxa"/>
          </w:tcPr>
          <w:p w14:paraId="3A44CF0E" w14:textId="07AF2F49" w:rsidR="007E216E" w:rsidRPr="007E216E" w:rsidRDefault="001630D4" w:rsidP="003F494F">
            <w:pPr>
              <w:pStyle w:val="NormalWeb"/>
              <w:shd w:val="clear" w:color="auto" w:fill="FFFFFF"/>
              <w:spacing w:line="360" w:lineRule="auto"/>
              <w:rPr>
                <w:rFonts w:asciiTheme="minorHAnsi" w:hAnsiTheme="minorHAnsi" w:cstheme="minorHAnsi"/>
                <w:color w:val="181818"/>
                <w:sz w:val="22"/>
                <w:szCs w:val="22"/>
              </w:rPr>
            </w:pPr>
            <w:r w:rsidRPr="007E216E">
              <w:rPr>
                <w:rFonts w:asciiTheme="minorHAnsi" w:hAnsiTheme="minorHAnsi" w:cstheme="minorHAnsi"/>
                <w:color w:val="181818"/>
                <w:sz w:val="22"/>
                <w:szCs w:val="22"/>
                <w:u w:val="single"/>
              </w:rPr>
              <w:t>We suggest</w:t>
            </w:r>
            <w:r w:rsidRPr="007E216E">
              <w:rPr>
                <w:rFonts w:asciiTheme="minorHAnsi" w:hAnsiTheme="minorHAnsi" w:cstheme="minorHAnsi"/>
                <w:color w:val="181818"/>
                <w:sz w:val="22"/>
                <w:szCs w:val="22"/>
              </w:rPr>
              <w:t xml:space="preserve"> that children are given a trial of immunosuppressive treatment even when the kidney biopsy shows 100% crescents or more than 50% global glomerulosclerosis</w:t>
            </w:r>
            <w:r>
              <w:rPr>
                <w:rFonts w:asciiTheme="minorHAnsi" w:hAnsiTheme="minorHAnsi" w:cstheme="minorHAnsi"/>
                <w:color w:val="181818"/>
                <w:sz w:val="22"/>
                <w:szCs w:val="22"/>
              </w:rPr>
              <w:t xml:space="preserve"> to test for any </w:t>
            </w:r>
            <w:r w:rsidR="00611CFE">
              <w:rPr>
                <w:rFonts w:asciiTheme="minorHAnsi" w:hAnsiTheme="minorHAnsi" w:cstheme="minorHAnsi"/>
                <w:color w:val="181818"/>
                <w:sz w:val="22"/>
                <w:szCs w:val="22"/>
              </w:rPr>
              <w:t xml:space="preserve">acute </w:t>
            </w:r>
            <w:r>
              <w:rPr>
                <w:rFonts w:asciiTheme="minorHAnsi" w:hAnsiTheme="minorHAnsi" w:cstheme="minorHAnsi"/>
                <w:color w:val="181818"/>
                <w:sz w:val="22"/>
                <w:szCs w:val="22"/>
              </w:rPr>
              <w:t>reversibility</w:t>
            </w:r>
            <w:r w:rsidRPr="007E216E">
              <w:rPr>
                <w:rFonts w:asciiTheme="minorHAnsi" w:hAnsiTheme="minorHAnsi" w:cstheme="minorHAnsi"/>
                <w:color w:val="181818"/>
                <w:sz w:val="22"/>
                <w:szCs w:val="22"/>
              </w:rPr>
              <w:t>.</w:t>
            </w:r>
          </w:p>
        </w:tc>
        <w:tc>
          <w:tcPr>
            <w:tcW w:w="1701" w:type="dxa"/>
          </w:tcPr>
          <w:p w14:paraId="7CC83030" w14:textId="05E6CE80" w:rsidR="007E216E" w:rsidRPr="007E216E" w:rsidRDefault="001630D4" w:rsidP="003F494F">
            <w:pPr>
              <w:spacing w:line="360" w:lineRule="auto"/>
              <w:jc w:val="center"/>
              <w:rPr>
                <w:rFonts w:cstheme="minorHAnsi"/>
                <w:b/>
                <w:sz w:val="22"/>
                <w:szCs w:val="22"/>
              </w:rPr>
            </w:pPr>
            <w:r w:rsidRPr="007E216E">
              <w:rPr>
                <w:rFonts w:cstheme="minorHAnsi"/>
                <w:b/>
                <w:sz w:val="22"/>
                <w:szCs w:val="22"/>
              </w:rPr>
              <w:t>2C</w:t>
            </w:r>
          </w:p>
        </w:tc>
      </w:tr>
      <w:tr w:rsidR="00837E18" w14:paraId="2EAC0DA1" w14:textId="77777777" w:rsidTr="00C00DD6">
        <w:tc>
          <w:tcPr>
            <w:tcW w:w="965" w:type="dxa"/>
          </w:tcPr>
          <w:p w14:paraId="6CD67847" w14:textId="1052F0F0" w:rsidR="003C0309" w:rsidRPr="007E216E" w:rsidRDefault="001630D4" w:rsidP="003F494F">
            <w:pPr>
              <w:spacing w:line="360" w:lineRule="auto"/>
              <w:jc w:val="center"/>
              <w:rPr>
                <w:rFonts w:cstheme="minorHAnsi"/>
                <w:sz w:val="22"/>
                <w:szCs w:val="22"/>
              </w:rPr>
            </w:pPr>
            <w:r w:rsidRPr="007E216E">
              <w:rPr>
                <w:rFonts w:cstheme="minorHAnsi"/>
                <w:sz w:val="22"/>
                <w:szCs w:val="22"/>
              </w:rPr>
              <w:t>GBM 6.4</w:t>
            </w:r>
          </w:p>
        </w:tc>
        <w:tc>
          <w:tcPr>
            <w:tcW w:w="7682" w:type="dxa"/>
          </w:tcPr>
          <w:p w14:paraId="486D5202" w14:textId="484FE73F" w:rsidR="003C0309" w:rsidRPr="007E216E" w:rsidRDefault="001630D4" w:rsidP="003F494F">
            <w:pPr>
              <w:pStyle w:val="NormalWeb"/>
              <w:shd w:val="clear" w:color="auto" w:fill="FFFFFF"/>
              <w:spacing w:line="360" w:lineRule="auto"/>
              <w:jc w:val="both"/>
              <w:rPr>
                <w:rFonts w:asciiTheme="minorHAnsi" w:hAnsiTheme="minorHAnsi" w:cstheme="minorHAnsi"/>
                <w:sz w:val="22"/>
                <w:szCs w:val="22"/>
                <w:highlight w:val="yellow"/>
              </w:rPr>
            </w:pPr>
            <w:r w:rsidRPr="007E216E">
              <w:rPr>
                <w:rFonts w:asciiTheme="minorHAnsi" w:hAnsiTheme="minorHAnsi" w:cstheme="minorHAnsi"/>
                <w:color w:val="181818"/>
                <w:sz w:val="22"/>
                <w:szCs w:val="22"/>
                <w:u w:val="single"/>
              </w:rPr>
              <w:t xml:space="preserve">We </w:t>
            </w:r>
            <w:r>
              <w:rPr>
                <w:rFonts w:asciiTheme="minorHAnsi" w:hAnsiTheme="minorHAnsi" w:cstheme="minorHAnsi"/>
                <w:color w:val="181818"/>
                <w:sz w:val="22"/>
                <w:szCs w:val="22"/>
                <w:u w:val="single"/>
              </w:rPr>
              <w:t>suggest</w:t>
            </w:r>
            <w:r>
              <w:rPr>
                <w:rFonts w:asciiTheme="minorHAnsi" w:hAnsiTheme="minorHAnsi" w:cstheme="minorHAnsi"/>
                <w:color w:val="181818"/>
                <w:sz w:val="22"/>
                <w:szCs w:val="22"/>
              </w:rPr>
              <w:t xml:space="preserve"> </w:t>
            </w:r>
            <w:r w:rsidR="003D5CF4" w:rsidRPr="007E216E">
              <w:rPr>
                <w:rFonts w:asciiTheme="minorHAnsi" w:hAnsiTheme="minorHAnsi" w:cstheme="minorHAnsi"/>
                <w:color w:val="181818"/>
                <w:sz w:val="22"/>
                <w:szCs w:val="22"/>
              </w:rPr>
              <w:t xml:space="preserve">for patients who do respond to therapy </w:t>
            </w:r>
            <w:r>
              <w:rPr>
                <w:rFonts w:asciiTheme="minorHAnsi" w:hAnsiTheme="minorHAnsi" w:cstheme="minorHAnsi"/>
                <w:color w:val="181818"/>
                <w:sz w:val="22"/>
                <w:szCs w:val="22"/>
              </w:rPr>
              <w:t>that</w:t>
            </w:r>
            <w:r w:rsidR="003D5CF4" w:rsidRPr="007E216E">
              <w:rPr>
                <w:rFonts w:asciiTheme="minorHAnsi" w:hAnsiTheme="minorHAnsi" w:cstheme="minorHAnsi"/>
                <w:color w:val="181818"/>
                <w:sz w:val="22"/>
                <w:szCs w:val="22"/>
              </w:rPr>
              <w:t xml:space="preserve"> maintenance therapy with a</w:t>
            </w:r>
            <w:r>
              <w:rPr>
                <w:rFonts w:asciiTheme="minorHAnsi" w:hAnsiTheme="minorHAnsi" w:cstheme="minorHAnsi"/>
                <w:color w:val="181818"/>
                <w:sz w:val="22"/>
                <w:szCs w:val="22"/>
              </w:rPr>
              <w:t xml:space="preserve"> long-term</w:t>
            </w:r>
            <w:r w:rsidR="003D5CF4" w:rsidRPr="007E216E">
              <w:rPr>
                <w:rFonts w:asciiTheme="minorHAnsi" w:hAnsiTheme="minorHAnsi" w:cstheme="minorHAnsi"/>
                <w:color w:val="181818"/>
                <w:sz w:val="22"/>
                <w:szCs w:val="22"/>
              </w:rPr>
              <w:t xml:space="preserve"> immunosuppressive </w:t>
            </w:r>
            <w:r>
              <w:rPr>
                <w:rFonts w:asciiTheme="minorHAnsi" w:hAnsiTheme="minorHAnsi" w:cstheme="minorHAnsi"/>
                <w:color w:val="181818"/>
                <w:sz w:val="22"/>
                <w:szCs w:val="22"/>
              </w:rPr>
              <w:t xml:space="preserve">agent </w:t>
            </w:r>
            <w:r w:rsidR="003D5CF4" w:rsidRPr="007E216E">
              <w:rPr>
                <w:rFonts w:asciiTheme="minorHAnsi" w:hAnsiTheme="minorHAnsi" w:cstheme="minorHAnsi"/>
                <w:color w:val="181818"/>
                <w:sz w:val="22"/>
                <w:szCs w:val="22"/>
              </w:rPr>
              <w:t>is not required as anti-GBM disease rarely relapses.</w:t>
            </w:r>
          </w:p>
        </w:tc>
        <w:tc>
          <w:tcPr>
            <w:tcW w:w="1701" w:type="dxa"/>
          </w:tcPr>
          <w:p w14:paraId="24EFE0AF" w14:textId="4D0D39DC" w:rsidR="003C0309" w:rsidRPr="007E216E" w:rsidRDefault="001630D4" w:rsidP="003F494F">
            <w:pPr>
              <w:spacing w:line="360" w:lineRule="auto"/>
              <w:jc w:val="center"/>
              <w:rPr>
                <w:rFonts w:cstheme="minorHAnsi"/>
                <w:b/>
                <w:sz w:val="22"/>
                <w:szCs w:val="22"/>
              </w:rPr>
            </w:pPr>
            <w:r>
              <w:rPr>
                <w:rFonts w:cstheme="minorHAnsi"/>
                <w:b/>
                <w:sz w:val="22"/>
                <w:szCs w:val="22"/>
              </w:rPr>
              <w:t>1C</w:t>
            </w:r>
          </w:p>
        </w:tc>
      </w:tr>
      <w:tr w:rsidR="00837E18" w14:paraId="5751B99F" w14:textId="77777777" w:rsidTr="00C00DD6">
        <w:tc>
          <w:tcPr>
            <w:tcW w:w="965" w:type="dxa"/>
          </w:tcPr>
          <w:p w14:paraId="67398632" w14:textId="56F3EFE3" w:rsidR="003D5CF4" w:rsidRPr="007E216E" w:rsidRDefault="001630D4" w:rsidP="003F494F">
            <w:pPr>
              <w:spacing w:line="360" w:lineRule="auto"/>
              <w:jc w:val="center"/>
              <w:rPr>
                <w:rFonts w:cstheme="minorHAnsi"/>
                <w:sz w:val="22"/>
                <w:szCs w:val="22"/>
              </w:rPr>
            </w:pPr>
            <w:r w:rsidRPr="007E216E">
              <w:rPr>
                <w:rFonts w:cstheme="minorHAnsi"/>
                <w:sz w:val="22"/>
                <w:szCs w:val="22"/>
              </w:rPr>
              <w:t>GBM 6.5</w:t>
            </w:r>
          </w:p>
        </w:tc>
        <w:tc>
          <w:tcPr>
            <w:tcW w:w="7682" w:type="dxa"/>
          </w:tcPr>
          <w:p w14:paraId="24DE172A" w14:textId="23525F2A" w:rsidR="003D5CF4" w:rsidRPr="007E216E" w:rsidRDefault="001630D4" w:rsidP="003F49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theme="minorHAnsi"/>
                <w:color w:val="000000"/>
                <w:sz w:val="22"/>
                <w:szCs w:val="22"/>
              </w:rPr>
            </w:pPr>
            <w:r w:rsidRPr="007E216E">
              <w:rPr>
                <w:rFonts w:cstheme="minorHAnsi"/>
                <w:color w:val="181818"/>
                <w:sz w:val="22"/>
                <w:szCs w:val="22"/>
                <w:u w:val="single"/>
              </w:rPr>
              <w:t>We suggest</w:t>
            </w:r>
            <w:r>
              <w:rPr>
                <w:rFonts w:cstheme="minorHAnsi"/>
                <w:color w:val="181818"/>
                <w:sz w:val="22"/>
                <w:szCs w:val="22"/>
              </w:rPr>
              <w:t xml:space="preserve"> that </w:t>
            </w:r>
            <w:r w:rsidRPr="007E216E">
              <w:rPr>
                <w:rFonts w:cstheme="minorHAnsi"/>
                <w:color w:val="181818"/>
                <w:sz w:val="22"/>
                <w:szCs w:val="22"/>
              </w:rPr>
              <w:t>if a patient is positive for both anti-GBM antibodies and ANCA (</w:t>
            </w:r>
            <w:r>
              <w:rPr>
                <w:rFonts w:cstheme="minorHAnsi"/>
                <w:color w:val="181818"/>
                <w:sz w:val="22"/>
                <w:szCs w:val="22"/>
              </w:rPr>
              <w:t xml:space="preserve">seen in </w:t>
            </w:r>
            <w:r w:rsidRPr="007E216E">
              <w:rPr>
                <w:rFonts w:cstheme="minorHAnsi"/>
                <w:color w:val="181818"/>
                <w:sz w:val="22"/>
                <w:szCs w:val="22"/>
              </w:rPr>
              <w:t xml:space="preserve">up to 30% of patients), they should be given maintenance immunosuppression, </w:t>
            </w:r>
            <w:r>
              <w:rPr>
                <w:rFonts w:cstheme="minorHAnsi"/>
                <w:color w:val="181818"/>
                <w:sz w:val="22"/>
                <w:szCs w:val="22"/>
              </w:rPr>
              <w:t>aligned with the management of</w:t>
            </w:r>
            <w:r w:rsidRPr="007E216E">
              <w:rPr>
                <w:rFonts w:cstheme="minorHAnsi"/>
                <w:color w:val="181818"/>
                <w:sz w:val="22"/>
                <w:szCs w:val="22"/>
              </w:rPr>
              <w:t xml:space="preserve"> AAV.</w:t>
            </w:r>
          </w:p>
        </w:tc>
        <w:tc>
          <w:tcPr>
            <w:tcW w:w="1701" w:type="dxa"/>
          </w:tcPr>
          <w:p w14:paraId="772B686B" w14:textId="32309CD6" w:rsidR="003D5CF4" w:rsidRPr="007E216E" w:rsidRDefault="001630D4" w:rsidP="003F494F">
            <w:pPr>
              <w:spacing w:line="360" w:lineRule="auto"/>
              <w:jc w:val="center"/>
              <w:rPr>
                <w:rFonts w:cstheme="minorHAnsi"/>
                <w:b/>
                <w:sz w:val="22"/>
                <w:szCs w:val="22"/>
              </w:rPr>
            </w:pPr>
            <w:r>
              <w:rPr>
                <w:rFonts w:cstheme="minorHAnsi"/>
                <w:b/>
                <w:sz w:val="22"/>
                <w:szCs w:val="22"/>
              </w:rPr>
              <w:t>2C</w:t>
            </w:r>
          </w:p>
        </w:tc>
      </w:tr>
      <w:tr w:rsidR="00837E18" w14:paraId="3BFCD589" w14:textId="77777777" w:rsidTr="00C00DD6">
        <w:tc>
          <w:tcPr>
            <w:tcW w:w="965" w:type="dxa"/>
          </w:tcPr>
          <w:p w14:paraId="3A3DA5ED" w14:textId="6F030E1C" w:rsidR="003D5CF4" w:rsidRPr="007E216E" w:rsidRDefault="001630D4" w:rsidP="003F494F">
            <w:pPr>
              <w:spacing w:line="360" w:lineRule="auto"/>
              <w:jc w:val="center"/>
              <w:rPr>
                <w:rFonts w:cstheme="minorHAnsi"/>
                <w:sz w:val="22"/>
                <w:szCs w:val="22"/>
              </w:rPr>
            </w:pPr>
            <w:r w:rsidRPr="007E216E">
              <w:rPr>
                <w:rFonts w:cstheme="minorHAnsi"/>
                <w:sz w:val="22"/>
                <w:szCs w:val="22"/>
              </w:rPr>
              <w:lastRenderedPageBreak/>
              <w:t>GBM 6.6</w:t>
            </w:r>
          </w:p>
        </w:tc>
        <w:tc>
          <w:tcPr>
            <w:tcW w:w="7682" w:type="dxa"/>
          </w:tcPr>
          <w:p w14:paraId="6A135860" w14:textId="44620B68" w:rsidR="003D5CF4" w:rsidRPr="007E216E" w:rsidRDefault="001630D4" w:rsidP="003F49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theme="minorHAnsi"/>
                <w:sz w:val="22"/>
                <w:szCs w:val="22"/>
              </w:rPr>
            </w:pPr>
            <w:r w:rsidRPr="00764801">
              <w:rPr>
                <w:rFonts w:cstheme="minorHAnsi"/>
                <w:sz w:val="22"/>
                <w:szCs w:val="22"/>
                <w:u w:val="single"/>
              </w:rPr>
              <w:t>We suggest</w:t>
            </w:r>
            <w:r w:rsidRPr="00764801">
              <w:rPr>
                <w:rFonts w:cstheme="minorHAnsi"/>
                <w:sz w:val="22"/>
                <w:szCs w:val="22"/>
              </w:rPr>
              <w:t xml:space="preserve"> the use of an additional immunosuppressive agent, such as rituximab or </w:t>
            </w:r>
            <w:r>
              <w:rPr>
                <w:rFonts w:cstheme="minorHAnsi"/>
                <w:sz w:val="22"/>
                <w:szCs w:val="22"/>
              </w:rPr>
              <w:t>MMF</w:t>
            </w:r>
            <w:r w:rsidRPr="00764801">
              <w:rPr>
                <w:rFonts w:cstheme="minorHAnsi"/>
                <w:sz w:val="22"/>
                <w:szCs w:val="22"/>
              </w:rPr>
              <w:t>, within the first 3 months for patients with persistent disease activity, concerns about high-risk of disease progression, or inadequate response to initial therapy.</w:t>
            </w:r>
          </w:p>
        </w:tc>
        <w:tc>
          <w:tcPr>
            <w:tcW w:w="1701" w:type="dxa"/>
          </w:tcPr>
          <w:p w14:paraId="03324E91" w14:textId="754EB875" w:rsidR="003D5CF4" w:rsidRPr="007E216E" w:rsidRDefault="001630D4" w:rsidP="003F494F">
            <w:pPr>
              <w:spacing w:line="360" w:lineRule="auto"/>
              <w:jc w:val="center"/>
              <w:rPr>
                <w:rFonts w:cstheme="minorHAnsi"/>
                <w:b/>
                <w:sz w:val="22"/>
                <w:szCs w:val="22"/>
              </w:rPr>
            </w:pPr>
            <w:r>
              <w:rPr>
                <w:rFonts w:cstheme="minorHAnsi"/>
                <w:b/>
                <w:sz w:val="22"/>
                <w:szCs w:val="22"/>
              </w:rPr>
              <w:t>2D</w:t>
            </w:r>
          </w:p>
        </w:tc>
      </w:tr>
      <w:tr w:rsidR="00837E18" w14:paraId="0A3AB334" w14:textId="77777777" w:rsidTr="00C00DD6">
        <w:tc>
          <w:tcPr>
            <w:tcW w:w="965" w:type="dxa"/>
          </w:tcPr>
          <w:p w14:paraId="133D145E" w14:textId="758AD33F" w:rsidR="007E216E" w:rsidRPr="007E216E" w:rsidRDefault="001630D4" w:rsidP="003F494F">
            <w:pPr>
              <w:spacing w:line="360" w:lineRule="auto"/>
              <w:jc w:val="center"/>
              <w:rPr>
                <w:rFonts w:cstheme="minorHAnsi"/>
                <w:sz w:val="22"/>
                <w:szCs w:val="22"/>
              </w:rPr>
            </w:pPr>
            <w:r>
              <w:rPr>
                <w:rFonts w:cstheme="minorHAnsi"/>
                <w:sz w:val="22"/>
                <w:szCs w:val="22"/>
              </w:rPr>
              <w:t>GBM 6.7</w:t>
            </w:r>
          </w:p>
        </w:tc>
        <w:tc>
          <w:tcPr>
            <w:tcW w:w="7682" w:type="dxa"/>
          </w:tcPr>
          <w:p w14:paraId="29432681" w14:textId="15CFD712" w:rsidR="007E216E" w:rsidRPr="007E216E" w:rsidRDefault="001630D4" w:rsidP="003F49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theme="minorHAnsi"/>
                <w:color w:val="181818"/>
                <w:sz w:val="22"/>
                <w:szCs w:val="22"/>
              </w:rPr>
            </w:pPr>
            <w:r w:rsidRPr="007E216E">
              <w:rPr>
                <w:rFonts w:eastAsiaTheme="minorEastAsia" w:cstheme="minorHAnsi"/>
                <w:color w:val="000000" w:themeColor="text1"/>
                <w:kern w:val="24"/>
                <w:sz w:val="22"/>
                <w:szCs w:val="22"/>
                <w:u w:val="single"/>
                <w:lang w:eastAsia="en-GB"/>
              </w:rPr>
              <w:t>We suggest</w:t>
            </w:r>
            <w:r w:rsidRPr="007E216E">
              <w:rPr>
                <w:rFonts w:eastAsiaTheme="minorEastAsia" w:cstheme="minorHAnsi"/>
                <w:color w:val="000000" w:themeColor="text1"/>
                <w:kern w:val="24"/>
                <w:sz w:val="22"/>
                <w:szCs w:val="22"/>
                <w:lang w:eastAsia="en-GB"/>
              </w:rPr>
              <w:t xml:space="preserve"> consideration of recruitment to clinical trials, off-label treatments available for adults, or the compassionate use of agents under evaluation, in children who have failed to demonstrate any improvement and continue to have active disease.</w:t>
            </w:r>
          </w:p>
        </w:tc>
        <w:tc>
          <w:tcPr>
            <w:tcW w:w="1701" w:type="dxa"/>
          </w:tcPr>
          <w:p w14:paraId="1028D9DD" w14:textId="35F8EE01" w:rsidR="007E216E" w:rsidRPr="007E216E" w:rsidRDefault="001630D4" w:rsidP="003F494F">
            <w:pPr>
              <w:spacing w:line="360" w:lineRule="auto"/>
              <w:jc w:val="center"/>
              <w:rPr>
                <w:rFonts w:cstheme="minorHAnsi"/>
                <w:b/>
                <w:sz w:val="22"/>
                <w:szCs w:val="22"/>
              </w:rPr>
            </w:pPr>
            <w:r w:rsidRPr="007E216E">
              <w:rPr>
                <w:rFonts w:cstheme="minorHAnsi"/>
                <w:b/>
                <w:sz w:val="22"/>
                <w:szCs w:val="22"/>
              </w:rPr>
              <w:t>2D</w:t>
            </w:r>
          </w:p>
        </w:tc>
      </w:tr>
    </w:tbl>
    <w:p w14:paraId="093AA387" w14:textId="77777777" w:rsidR="003C0309" w:rsidRPr="00C00DD6" w:rsidRDefault="003C0309" w:rsidP="003F494F">
      <w:pPr>
        <w:spacing w:line="360" w:lineRule="auto"/>
        <w:rPr>
          <w:rFonts w:cstheme="minorHAnsi"/>
          <w:b/>
          <w:bCs/>
          <w:sz w:val="22"/>
          <w:szCs w:val="22"/>
        </w:rPr>
      </w:pPr>
    </w:p>
    <w:p w14:paraId="3F2A572E" w14:textId="2D33ED12" w:rsidR="003D5CF4" w:rsidRPr="00611CFE" w:rsidRDefault="001630D4" w:rsidP="003F494F">
      <w:pPr>
        <w:spacing w:line="360" w:lineRule="auto"/>
        <w:rPr>
          <w:rFonts w:eastAsia="Times New Roman" w:cstheme="minorHAnsi"/>
          <w:b/>
          <w:bCs/>
          <w:sz w:val="22"/>
          <w:szCs w:val="22"/>
          <w:lang w:eastAsia="en-GB"/>
        </w:rPr>
      </w:pPr>
      <w:r w:rsidRPr="00611CFE">
        <w:rPr>
          <w:rFonts w:eastAsia="Times New Roman" w:cstheme="minorHAnsi"/>
          <w:b/>
          <w:bCs/>
          <w:sz w:val="22"/>
          <w:szCs w:val="22"/>
          <w:lang w:eastAsia="en-GB"/>
        </w:rPr>
        <w:t xml:space="preserve">Rationale </w:t>
      </w:r>
    </w:p>
    <w:p w14:paraId="2EEFF6EF" w14:textId="139803D4" w:rsidR="00F64680" w:rsidRPr="00B5347D" w:rsidRDefault="001630D4" w:rsidP="003F494F">
      <w:pPr>
        <w:spacing w:line="360" w:lineRule="auto"/>
        <w:jc w:val="both"/>
        <w:rPr>
          <w:rFonts w:eastAsia="Times New Roman" w:cstheme="minorHAnsi"/>
          <w:sz w:val="22"/>
          <w:szCs w:val="22"/>
          <w:lang w:eastAsia="en-GB"/>
        </w:rPr>
      </w:pPr>
      <w:r w:rsidRPr="00611CFE">
        <w:rPr>
          <w:rFonts w:eastAsia="Times New Roman" w:cstheme="minorHAnsi"/>
          <w:sz w:val="22"/>
          <w:szCs w:val="22"/>
          <w:lang w:eastAsia="en-GB"/>
        </w:rPr>
        <w:t>Anti-GBM produces an acute, severe disease with rapid destruction to the kidney within hours to days. It therefore requires urgent management</w:t>
      </w:r>
      <w:r>
        <w:rPr>
          <w:rFonts w:eastAsia="Times New Roman" w:cstheme="minorHAnsi"/>
          <w:sz w:val="22"/>
          <w:szCs w:val="22"/>
          <w:lang w:eastAsia="en-GB"/>
        </w:rPr>
        <w:t xml:space="preserve"> and intensive induction treatment</w:t>
      </w:r>
      <w:r w:rsidRPr="00611CFE">
        <w:rPr>
          <w:rFonts w:eastAsia="Times New Roman" w:cstheme="minorHAnsi"/>
          <w:sz w:val="22"/>
          <w:szCs w:val="22"/>
          <w:lang w:eastAsia="en-GB"/>
        </w:rPr>
        <w:t xml:space="preserve">. </w:t>
      </w:r>
      <w:r>
        <w:rPr>
          <w:rFonts w:eastAsia="Times New Roman" w:cstheme="minorHAnsi"/>
          <w:sz w:val="22"/>
          <w:szCs w:val="22"/>
          <w:lang w:eastAsia="en-GB"/>
        </w:rPr>
        <w:t xml:space="preserve">Due to very limited paediatric specific data, management is largely aligned with adult practice and derived from data based on adult disease. </w:t>
      </w:r>
      <w:r w:rsidR="00B5347D">
        <w:rPr>
          <w:rFonts w:eastAsia="Times New Roman" w:cstheme="minorHAnsi"/>
          <w:sz w:val="22"/>
          <w:szCs w:val="22"/>
          <w:lang w:eastAsia="en-GB"/>
        </w:rPr>
        <w:t xml:space="preserve">In adult practice, patients with high risk of a poor outcome due to severe irreversible biopsy changes and dialysis dependency may not receive immunosuppression as the risk is believed to outweigh the benefits. The GDG felt that in children the norm was to </w:t>
      </w:r>
      <w:r w:rsidR="00AD454E">
        <w:rPr>
          <w:rFonts w:eastAsia="Times New Roman" w:cstheme="minorHAnsi"/>
          <w:sz w:val="22"/>
          <w:szCs w:val="22"/>
          <w:lang w:eastAsia="en-GB"/>
        </w:rPr>
        <w:t>offer</w:t>
      </w:r>
      <w:r w:rsidR="00B5347D">
        <w:rPr>
          <w:rFonts w:eastAsia="Times New Roman" w:cstheme="minorHAnsi"/>
          <w:sz w:val="22"/>
          <w:szCs w:val="22"/>
          <w:lang w:eastAsia="en-GB"/>
        </w:rPr>
        <w:t xml:space="preserve"> a period of immunosuppression to determine whether there is any reversibility because even delaying dialysis by a few months in a child c</w:t>
      </w:r>
      <w:r w:rsidR="00AD454E">
        <w:rPr>
          <w:rFonts w:eastAsia="Times New Roman" w:cstheme="minorHAnsi"/>
          <w:sz w:val="22"/>
          <w:szCs w:val="22"/>
          <w:lang w:eastAsia="en-GB"/>
        </w:rPr>
        <w:t>ould</w:t>
      </w:r>
      <w:r w:rsidR="00B5347D">
        <w:rPr>
          <w:rFonts w:eastAsia="Times New Roman" w:cstheme="minorHAnsi"/>
          <w:sz w:val="22"/>
          <w:szCs w:val="22"/>
          <w:lang w:eastAsia="en-GB"/>
        </w:rPr>
        <w:t xml:space="preserve"> have a</w:t>
      </w:r>
      <w:r w:rsidR="00AD454E">
        <w:rPr>
          <w:rFonts w:eastAsia="Times New Roman" w:cstheme="minorHAnsi"/>
          <w:sz w:val="22"/>
          <w:szCs w:val="22"/>
          <w:lang w:eastAsia="en-GB"/>
        </w:rPr>
        <w:t>n</w:t>
      </w:r>
      <w:r w:rsidR="00B5347D">
        <w:rPr>
          <w:rFonts w:eastAsia="Times New Roman" w:cstheme="minorHAnsi"/>
          <w:sz w:val="22"/>
          <w:szCs w:val="22"/>
          <w:lang w:eastAsia="en-GB"/>
        </w:rPr>
        <w:t xml:space="preserve"> impact on education and social wellbeing. This is consistent with a report published in 2018 which demonstrated in 24 patients the biopsy findings did not determine the therapeutic choice and all children received intensive induction therapy </w:t>
      </w:r>
      <w:r w:rsidR="00B5347D">
        <w:rPr>
          <w:rFonts w:eastAsia="Times New Roman" w:cstheme="minorHAnsi"/>
          <w:sz w:val="22"/>
          <w:szCs w:val="22"/>
          <w:lang w:eastAsia="en-GB"/>
        </w:rPr>
        <w:fldChar w:fldCharType="begin"/>
      </w:r>
      <w:r w:rsidR="00642970">
        <w:rPr>
          <w:rFonts w:eastAsia="Times New Roman" w:cstheme="minorHAnsi"/>
          <w:sz w:val="22"/>
          <w:szCs w:val="22"/>
          <w:lang w:eastAsia="en-GB"/>
        </w:rPr>
        <w:instrText xml:space="preserve"> ADDIN ZOTERO_ITEM CSL_CITATION {"citationID":"b06yFJ5n","properties":{"formattedCitation":"(99)","plainCitation":"(99)","noteIndex":0},"citationItems":[{"id":146,"uris":["http://zotero.org/users/local/lvPLY4Gu/items/N6IZ92RM"],"itemData":{"id":146,"type":"article-journal","abstract":"BackgroundIn an attempt to improve knowledge about childhood Goodpasture's disease, we performed a retrospective analysis of patients with Goodpasture's disease from several pediatric nephrology centers.MethodsWe analyzed the responses to 27 questions that elicited information about the following: incidence, demographics, patient history and clinical presentation, diagnostics performed, acute and chronic therapy, course of disease, and outcome.ResultsGoodpasture's disease, which is extremely rare in this age group, may manifest in 2-year-old toddlers and does not typically present with pulmonary findings before puberty. Goodpasture's disease has a poor outcome with more than 50% of patients progressing to end-stage renal disease. No deaths were reported in this cohort, and renal improvement was observed in children with severe biopsy findings who required renal replacement therapy during the acute phase.ConclusionThe present investigation gives detailed information about childhood Goodpasture's disease under real-life conditions and reveals that very few pediatric cases have been reported. Nearly 50% of children progressed to end-stage renal disease. However, long-term outcome in children might be better than in adults. Aggressive immunosuppressive therapy might be necessary for all affected children, even in patients who require renal replacement therapy or have severe biopsy findings.","container-title":"Pediatric Research","DOI":"10.1038/pr.2017.315","ISSN":"1530-0447","issue":"4","journalAbbreviation":"Pediatr Res","language":"eng","note":"PMID: 29244791","page":"813-817","source":"PubMed","title":"Management and outcomes of childhood Goodpasture's disease","volume":"83","author":[{"family":"Menzi","given":"Carmela P."},{"family":"Bucher","given":"Barbara S."},{"family":"Bianchetti","given":"Mario G."},{"family":"Ardissino","given":"Gianluigi"},{"family":"Simonetti","given":"Giacomo D."}],"issued":{"date-parts":[["2018",4]]}}}],"schema":"https://github.com/citation-style-language/schema/raw/master/csl-citation.json"} </w:instrText>
      </w:r>
      <w:r w:rsidR="00B5347D">
        <w:rPr>
          <w:rFonts w:eastAsia="Times New Roman" w:cstheme="minorHAnsi"/>
          <w:sz w:val="22"/>
          <w:szCs w:val="22"/>
          <w:lang w:eastAsia="en-GB"/>
        </w:rPr>
        <w:fldChar w:fldCharType="separate"/>
      </w:r>
      <w:r w:rsidR="00642970">
        <w:rPr>
          <w:rFonts w:eastAsia="Times New Roman" w:cstheme="minorHAnsi"/>
          <w:noProof/>
          <w:sz w:val="22"/>
          <w:szCs w:val="22"/>
          <w:lang w:eastAsia="en-GB"/>
        </w:rPr>
        <w:t>(99)</w:t>
      </w:r>
      <w:r w:rsidR="00B5347D">
        <w:rPr>
          <w:rFonts w:eastAsia="Times New Roman" w:cstheme="minorHAnsi"/>
          <w:sz w:val="22"/>
          <w:szCs w:val="22"/>
          <w:lang w:eastAsia="en-GB"/>
        </w:rPr>
        <w:fldChar w:fldCharType="end"/>
      </w:r>
      <w:r w:rsidR="00B5347D">
        <w:rPr>
          <w:rFonts w:eastAsia="Times New Roman" w:cstheme="minorHAnsi"/>
          <w:sz w:val="22"/>
          <w:szCs w:val="22"/>
          <w:lang w:eastAsia="en-GB"/>
        </w:rPr>
        <w:t xml:space="preserve">. As the disease is usually a single presentation it does not require long term immunosuppression unless relapses </w:t>
      </w:r>
      <w:r w:rsidR="00AD454E">
        <w:rPr>
          <w:rFonts w:eastAsia="Times New Roman" w:cstheme="minorHAnsi"/>
          <w:sz w:val="22"/>
          <w:szCs w:val="22"/>
          <w:lang w:eastAsia="en-GB"/>
        </w:rPr>
        <w:t>a</w:t>
      </w:r>
      <w:r w:rsidR="00B5347D">
        <w:rPr>
          <w:rFonts w:eastAsia="Times New Roman" w:cstheme="minorHAnsi"/>
          <w:sz w:val="22"/>
          <w:szCs w:val="22"/>
          <w:lang w:eastAsia="en-GB"/>
        </w:rPr>
        <w:t xml:space="preserve">re clinically evident </w:t>
      </w:r>
      <w:r w:rsidR="00B5347D">
        <w:rPr>
          <w:rFonts w:eastAsia="Times New Roman" w:cstheme="minorHAnsi"/>
          <w:sz w:val="22"/>
          <w:szCs w:val="22"/>
          <w:lang w:eastAsia="en-GB"/>
        </w:rPr>
        <w:fldChar w:fldCharType="begin"/>
      </w:r>
      <w:r w:rsidR="00642970">
        <w:rPr>
          <w:rFonts w:eastAsia="Times New Roman" w:cstheme="minorHAnsi"/>
          <w:sz w:val="22"/>
          <w:szCs w:val="22"/>
          <w:lang w:eastAsia="en-GB"/>
        </w:rPr>
        <w:instrText xml:space="preserve"> ADDIN ZOTERO_ITEM CSL_CITATION {"citationID":"vCB2t9tK","properties":{"formattedCitation":"(5)","plainCitation":"(5)","noteIndex":0},"citationItems":[{"id":11,"uris":["http://zotero.org/users/local/lvPLY4Gu/items/PZVAFVT2"],"itemData":{"id":11,"type":"article-journal","container-title":"Kidney International","DOI":"10.1016/j.kint.2021.05.021","ISSN":"1523-1755","issue":"4S","journalAbbreviation":"Kidney Int","language":"eng","note":"PMID: 34556256","page":"S1-S276","source":"PubMed","title":"KDIGO 2021 Clinical Practice Guideline for the Management of Glomerular Diseases","volume":"100","author":[{"literal":"Kidney Disease: Improving Global Outcomes (KDIGO) Glomerular Diseases Work Group"}],"issued":{"date-parts":[["2021",10]]}}}],"schema":"https://github.com/citation-style-language/schema/raw/master/csl-citation.json"} </w:instrText>
      </w:r>
      <w:r w:rsidR="00B5347D">
        <w:rPr>
          <w:rFonts w:eastAsia="Times New Roman" w:cstheme="minorHAnsi"/>
          <w:sz w:val="22"/>
          <w:szCs w:val="22"/>
          <w:lang w:eastAsia="en-GB"/>
        </w:rPr>
        <w:fldChar w:fldCharType="separate"/>
      </w:r>
      <w:r w:rsidR="00642970">
        <w:rPr>
          <w:rFonts w:eastAsia="Times New Roman" w:cstheme="minorHAnsi"/>
          <w:noProof/>
          <w:sz w:val="22"/>
          <w:szCs w:val="22"/>
          <w:lang w:eastAsia="en-GB"/>
        </w:rPr>
        <w:t>(5)</w:t>
      </w:r>
      <w:r w:rsidR="00B5347D">
        <w:rPr>
          <w:rFonts w:eastAsia="Times New Roman" w:cstheme="minorHAnsi"/>
          <w:sz w:val="22"/>
          <w:szCs w:val="22"/>
          <w:lang w:eastAsia="en-GB"/>
        </w:rPr>
        <w:fldChar w:fldCharType="end"/>
      </w:r>
      <w:r w:rsidR="00B5347D">
        <w:rPr>
          <w:rFonts w:eastAsia="Times New Roman" w:cstheme="minorHAnsi"/>
          <w:sz w:val="22"/>
          <w:szCs w:val="22"/>
          <w:lang w:eastAsia="en-GB"/>
        </w:rPr>
        <w:t xml:space="preserve">. </w:t>
      </w:r>
    </w:p>
    <w:p w14:paraId="209B0189" w14:textId="77777777" w:rsidR="00257E1D" w:rsidRPr="00C00DD6" w:rsidRDefault="00257E1D" w:rsidP="003F494F">
      <w:pPr>
        <w:spacing w:line="360" w:lineRule="auto"/>
        <w:rPr>
          <w:rFonts w:cstheme="minorHAnsi"/>
          <w:b/>
          <w:bCs/>
          <w:sz w:val="22"/>
          <w:szCs w:val="22"/>
        </w:rPr>
      </w:pPr>
    </w:p>
    <w:p w14:paraId="2367EB53" w14:textId="7345BC1F" w:rsidR="00257E1D" w:rsidRPr="00C00DD6" w:rsidRDefault="001630D4" w:rsidP="003F494F">
      <w:pPr>
        <w:spacing w:line="360" w:lineRule="auto"/>
        <w:rPr>
          <w:rFonts w:cstheme="minorHAnsi"/>
          <w:b/>
          <w:bCs/>
          <w:sz w:val="22"/>
          <w:szCs w:val="22"/>
        </w:rPr>
      </w:pPr>
      <w:r>
        <w:rPr>
          <w:rFonts w:eastAsia="Arial" w:cstheme="minorHAnsi"/>
          <w:b/>
          <w:sz w:val="22"/>
          <w:szCs w:val="22"/>
          <w:u w:val="single"/>
          <w:lang w:val="en" w:eastAsia="en-GB"/>
        </w:rPr>
        <w:t xml:space="preserve">GN subtype 7: </w:t>
      </w:r>
      <w:r w:rsidRPr="00C00DD6">
        <w:rPr>
          <w:rFonts w:cstheme="minorHAnsi"/>
          <w:b/>
          <w:bCs/>
          <w:sz w:val="22"/>
          <w:szCs w:val="22"/>
          <w:u w:val="single"/>
        </w:rPr>
        <w:t xml:space="preserve">C3 </w:t>
      </w:r>
      <w:r w:rsidR="003D5CF4" w:rsidRPr="00C00DD6">
        <w:rPr>
          <w:rFonts w:cstheme="minorHAnsi"/>
          <w:b/>
          <w:bCs/>
          <w:sz w:val="22"/>
          <w:szCs w:val="22"/>
          <w:u w:val="single"/>
        </w:rPr>
        <w:t>glomerulo</w:t>
      </w:r>
      <w:r w:rsidR="00511AFD">
        <w:rPr>
          <w:rFonts w:cstheme="minorHAnsi"/>
          <w:b/>
          <w:bCs/>
          <w:sz w:val="22"/>
          <w:szCs w:val="22"/>
          <w:u w:val="single"/>
        </w:rPr>
        <w:t>pathy</w:t>
      </w:r>
      <w:r w:rsidRPr="00C00DD6">
        <w:rPr>
          <w:rFonts w:cstheme="minorHAnsi"/>
          <w:b/>
          <w:bCs/>
          <w:sz w:val="22"/>
          <w:szCs w:val="22"/>
          <w:u w:val="single"/>
        </w:rPr>
        <w:t xml:space="preserve"> </w:t>
      </w:r>
      <w:r w:rsidR="003D5CF4" w:rsidRPr="00C00DD6">
        <w:rPr>
          <w:rFonts w:cstheme="minorHAnsi"/>
          <w:b/>
          <w:bCs/>
          <w:sz w:val="22"/>
          <w:szCs w:val="22"/>
          <w:u w:val="single"/>
        </w:rPr>
        <w:t xml:space="preserve">(C3G) </w:t>
      </w:r>
      <w:r w:rsidRPr="00C00DD6">
        <w:rPr>
          <w:rFonts w:cstheme="minorHAnsi"/>
          <w:b/>
          <w:bCs/>
          <w:sz w:val="22"/>
          <w:szCs w:val="22"/>
          <w:u w:val="single"/>
        </w:rPr>
        <w:t xml:space="preserve">and </w:t>
      </w:r>
      <w:r w:rsidR="003D5CF4" w:rsidRPr="00C00DD6">
        <w:rPr>
          <w:rFonts w:cstheme="minorHAnsi"/>
          <w:b/>
          <w:bCs/>
          <w:sz w:val="22"/>
          <w:szCs w:val="22"/>
          <w:u w:val="single"/>
        </w:rPr>
        <w:t xml:space="preserve">immune complex </w:t>
      </w:r>
      <w:r w:rsidRPr="00C00DD6">
        <w:rPr>
          <w:rFonts w:cstheme="minorHAnsi"/>
          <w:b/>
          <w:bCs/>
          <w:sz w:val="22"/>
          <w:szCs w:val="22"/>
          <w:u w:val="single"/>
        </w:rPr>
        <w:t>MPGN</w:t>
      </w:r>
      <w:r w:rsidR="00F64680" w:rsidRPr="00C00DD6">
        <w:rPr>
          <w:rFonts w:cstheme="minorHAnsi"/>
          <w:b/>
          <w:bCs/>
          <w:sz w:val="22"/>
          <w:szCs w:val="22"/>
          <w:u w:val="single"/>
        </w:rPr>
        <w:t xml:space="preserve"> </w:t>
      </w:r>
      <w:r w:rsidR="003D5CF4" w:rsidRPr="00C00DD6">
        <w:rPr>
          <w:rFonts w:cstheme="minorHAnsi"/>
          <w:b/>
          <w:bCs/>
          <w:sz w:val="22"/>
          <w:szCs w:val="22"/>
          <w:u w:val="single"/>
        </w:rPr>
        <w:t>(IC-MPGN)</w:t>
      </w:r>
    </w:p>
    <w:p w14:paraId="54AEFE9A" w14:textId="77777777" w:rsidR="00F16F32" w:rsidRPr="00C00DD6" w:rsidRDefault="00F16F32" w:rsidP="003F494F">
      <w:pPr>
        <w:spacing w:line="360" w:lineRule="auto"/>
        <w:rPr>
          <w:rFonts w:cstheme="minorHAnsi"/>
          <w:b/>
          <w:bCs/>
          <w:sz w:val="22"/>
          <w:szCs w:val="22"/>
        </w:rPr>
      </w:pPr>
    </w:p>
    <w:p w14:paraId="21A214EF" w14:textId="646608C5" w:rsidR="00F16F32" w:rsidRDefault="001630D4" w:rsidP="003F494F">
      <w:pPr>
        <w:spacing w:line="360" w:lineRule="auto"/>
        <w:rPr>
          <w:rFonts w:cstheme="minorHAnsi"/>
          <w:b/>
          <w:bCs/>
          <w:sz w:val="22"/>
          <w:szCs w:val="22"/>
        </w:rPr>
      </w:pPr>
      <w:r w:rsidRPr="00C00DD6">
        <w:rPr>
          <w:rFonts w:cstheme="minorHAnsi"/>
          <w:b/>
          <w:bCs/>
          <w:sz w:val="22"/>
          <w:szCs w:val="22"/>
        </w:rPr>
        <w:t xml:space="preserve">Definitions </w:t>
      </w:r>
    </w:p>
    <w:p w14:paraId="50C93E13" w14:textId="3804455D" w:rsidR="00346311" w:rsidRPr="00C00DD6" w:rsidRDefault="001630D4" w:rsidP="003F494F">
      <w:pPr>
        <w:spacing w:line="360" w:lineRule="auto"/>
        <w:rPr>
          <w:rFonts w:cstheme="minorHAnsi"/>
          <w:b/>
          <w:bCs/>
          <w:sz w:val="22"/>
          <w:szCs w:val="22"/>
        </w:rPr>
      </w:pPr>
      <w:r>
        <w:rPr>
          <w:rFonts w:eastAsia="Arial" w:cstheme="minorHAnsi"/>
          <w:sz w:val="22"/>
          <w:szCs w:val="22"/>
          <w:lang w:val="en" w:eastAsia="en-GB"/>
        </w:rPr>
        <w:t>To</w:t>
      </w:r>
      <w:r w:rsidRPr="00117750">
        <w:rPr>
          <w:rFonts w:eastAsia="Arial" w:cstheme="minorHAnsi"/>
          <w:sz w:val="22"/>
          <w:szCs w:val="22"/>
          <w:lang w:val="en" w:eastAsia="en-GB"/>
        </w:rPr>
        <w:t xml:space="preserve"> align </w:t>
      </w:r>
      <w:r>
        <w:rPr>
          <w:rFonts w:eastAsia="Arial" w:cstheme="minorHAnsi"/>
          <w:sz w:val="22"/>
          <w:szCs w:val="22"/>
          <w:lang w:val="en" w:eastAsia="en-GB"/>
        </w:rPr>
        <w:t>terminology</w:t>
      </w:r>
      <w:r w:rsidRPr="00117750">
        <w:rPr>
          <w:rFonts w:eastAsia="Arial" w:cstheme="minorHAnsi"/>
          <w:sz w:val="22"/>
          <w:szCs w:val="22"/>
          <w:lang w:val="en" w:eastAsia="en-GB"/>
        </w:rPr>
        <w:t xml:space="preserve">, we suggest that the </w:t>
      </w:r>
      <w:r w:rsidR="00406F4D">
        <w:rPr>
          <w:rFonts w:eastAsia="Arial" w:cstheme="minorHAnsi"/>
          <w:sz w:val="22"/>
          <w:szCs w:val="22"/>
          <w:lang w:val="en" w:eastAsia="en-GB"/>
        </w:rPr>
        <w:t>terms</w:t>
      </w:r>
      <w:r w:rsidR="006A3E89">
        <w:rPr>
          <w:rFonts w:eastAsia="Arial" w:cstheme="minorHAnsi"/>
          <w:sz w:val="22"/>
          <w:szCs w:val="22"/>
          <w:lang w:val="en" w:eastAsia="en-GB"/>
        </w:rPr>
        <w:t xml:space="preserve"> </w:t>
      </w:r>
      <w:r>
        <w:rPr>
          <w:rFonts w:eastAsia="Arial" w:cstheme="minorHAnsi"/>
          <w:sz w:val="22"/>
          <w:szCs w:val="22"/>
          <w:lang w:val="en" w:eastAsia="en-GB"/>
        </w:rPr>
        <w:t xml:space="preserve">C3G and IC-MPGN </w:t>
      </w:r>
      <w:r w:rsidRPr="00117750">
        <w:rPr>
          <w:rFonts w:eastAsia="Arial" w:cstheme="minorHAnsi"/>
          <w:sz w:val="22"/>
          <w:szCs w:val="22"/>
          <w:lang w:val="en" w:eastAsia="en-GB"/>
        </w:rPr>
        <w:t xml:space="preserve">are </w:t>
      </w:r>
      <w:r>
        <w:rPr>
          <w:rFonts w:eastAsia="Arial" w:cstheme="minorHAnsi"/>
          <w:sz w:val="22"/>
          <w:szCs w:val="22"/>
          <w:lang w:val="en" w:eastAsia="en-GB"/>
        </w:rPr>
        <w:t>used</w:t>
      </w:r>
      <w:r w:rsidR="00AD454E">
        <w:rPr>
          <w:rFonts w:eastAsia="Arial" w:cstheme="minorHAnsi"/>
          <w:sz w:val="22"/>
          <w:szCs w:val="22"/>
          <w:lang w:val="en" w:eastAsia="en-GB"/>
        </w:rPr>
        <w:t xml:space="preserve">. </w:t>
      </w:r>
      <w:r w:rsidR="00406F4D">
        <w:rPr>
          <w:rFonts w:eastAsia="Arial" w:cstheme="minorHAnsi"/>
          <w:sz w:val="22"/>
          <w:szCs w:val="22"/>
          <w:lang w:val="en" w:eastAsia="en-GB"/>
        </w:rPr>
        <w:t xml:space="preserve"> </w:t>
      </w:r>
      <w:r w:rsidR="00AD454E">
        <w:rPr>
          <w:rFonts w:eastAsia="Arial" w:cstheme="minorHAnsi"/>
          <w:sz w:val="22"/>
          <w:szCs w:val="22"/>
          <w:lang w:val="en" w:eastAsia="en-GB"/>
        </w:rPr>
        <w:t>D</w:t>
      </w:r>
      <w:r w:rsidRPr="00117750">
        <w:rPr>
          <w:rFonts w:eastAsia="Arial" w:cstheme="minorHAnsi"/>
          <w:sz w:val="22"/>
          <w:szCs w:val="22"/>
          <w:lang w:val="en" w:eastAsia="en-GB"/>
        </w:rPr>
        <w:t xml:space="preserve">efinitions are taken from the </w:t>
      </w:r>
      <w:r>
        <w:rPr>
          <w:rFonts w:eastAsia="Arial" w:cstheme="minorHAnsi"/>
          <w:sz w:val="22"/>
          <w:szCs w:val="22"/>
          <w:lang w:val="en" w:eastAsia="en-GB"/>
        </w:rPr>
        <w:t>KDIGO</w:t>
      </w:r>
      <w:r w:rsidRPr="00117750">
        <w:rPr>
          <w:rFonts w:eastAsia="Arial" w:cstheme="minorHAnsi"/>
          <w:sz w:val="22"/>
          <w:szCs w:val="22"/>
          <w:lang w:val="en" w:eastAsia="en-GB"/>
        </w:rPr>
        <w:t xml:space="preserve"> guidelines</w:t>
      </w:r>
      <w:r>
        <w:rPr>
          <w:rFonts w:eastAsia="Arial" w:cstheme="minorHAnsi"/>
          <w:sz w:val="22"/>
          <w:szCs w:val="22"/>
          <w:lang w:val="en" w:eastAsia="en-GB"/>
        </w:rPr>
        <w:t xml:space="preserve"> </w:t>
      </w:r>
      <w:r w:rsidRPr="00117750">
        <w:rPr>
          <w:rFonts w:eastAsia="Arial" w:cstheme="minorHAnsi"/>
          <w:sz w:val="22"/>
          <w:szCs w:val="22"/>
          <w:lang w:val="en" w:eastAsia="en-GB"/>
        </w:rPr>
        <w:t xml:space="preserve">with minor modifications </w:t>
      </w:r>
      <w:r>
        <w:rPr>
          <w:rFonts w:eastAsia="Arial" w:cstheme="minorHAnsi"/>
          <w:sz w:val="22"/>
          <w:szCs w:val="22"/>
          <w:lang w:val="en" w:eastAsia="en-GB"/>
        </w:rPr>
        <w:t xml:space="preserve">by the GDG </w:t>
      </w:r>
      <w:r w:rsidRPr="00117750">
        <w:rPr>
          <w:rFonts w:eastAsia="Arial" w:cstheme="minorHAnsi"/>
          <w:sz w:val="22"/>
          <w:szCs w:val="22"/>
          <w:lang w:val="en" w:eastAsia="en-GB"/>
        </w:rPr>
        <w:t>for standard UK practice</w:t>
      </w:r>
      <w:r w:rsidR="00A13B72">
        <w:rPr>
          <w:rFonts w:eastAsia="Arial" w:cstheme="minorHAnsi"/>
          <w:sz w:val="22"/>
          <w:szCs w:val="22"/>
          <w:lang w:val="en" w:eastAsia="en-GB"/>
        </w:rPr>
        <w:t xml:space="preserve"> </w:t>
      </w:r>
      <w:r w:rsidR="00A13B72">
        <w:rPr>
          <w:rFonts w:eastAsia="Arial" w:cstheme="minorHAnsi"/>
          <w:sz w:val="22"/>
          <w:szCs w:val="22"/>
          <w:lang w:val="en" w:eastAsia="en-GB"/>
        </w:rPr>
        <w:fldChar w:fldCharType="begin"/>
      </w:r>
      <w:r w:rsidR="00642970">
        <w:rPr>
          <w:rFonts w:eastAsia="Arial" w:cstheme="minorHAnsi"/>
          <w:sz w:val="22"/>
          <w:szCs w:val="22"/>
          <w:lang w:val="en" w:eastAsia="en-GB"/>
        </w:rPr>
        <w:instrText xml:space="preserve"> ADDIN ZOTERO_ITEM CSL_CITATION {"citationID":"nbzx6KL2","properties":{"formattedCitation":"(5)","plainCitation":"(5)","noteIndex":0},"citationItems":[{"id":11,"uris":["http://zotero.org/users/local/lvPLY4Gu/items/PZVAFVT2"],"itemData":{"id":11,"type":"article-journal","container-title":"Kidney International","DOI":"10.1016/j.kint.2021.05.021","ISSN":"1523-1755","issue":"4S","journalAbbreviation":"Kidney Int","language":"eng","note":"PMID: 34556256","page":"S1-S276","source":"PubMed","title":"KDIGO 2021 Clinical Practice Guideline for the Management of Glomerular Diseases","volume":"100","author":[{"literal":"Kidney Disease: Improving Global Outcomes (KDIGO) Glomerular Diseases Work Group"}],"issued":{"date-parts":[["2021",10]]}}}],"schema":"https://github.com/citation-style-language/schema/raw/master/csl-citation.json"} </w:instrText>
      </w:r>
      <w:r w:rsidR="00A13B72">
        <w:rPr>
          <w:rFonts w:eastAsia="Arial" w:cstheme="minorHAnsi"/>
          <w:sz w:val="22"/>
          <w:szCs w:val="22"/>
          <w:lang w:val="en" w:eastAsia="en-GB"/>
        </w:rPr>
        <w:fldChar w:fldCharType="separate"/>
      </w:r>
      <w:r w:rsidR="00642970">
        <w:rPr>
          <w:rFonts w:eastAsia="Arial" w:cstheme="minorHAnsi"/>
          <w:noProof/>
          <w:sz w:val="22"/>
          <w:szCs w:val="22"/>
          <w:lang w:val="en" w:eastAsia="en-GB"/>
        </w:rPr>
        <w:t>(5)</w:t>
      </w:r>
      <w:r w:rsidR="00A13B72">
        <w:rPr>
          <w:rFonts w:eastAsia="Arial" w:cstheme="minorHAnsi"/>
          <w:sz w:val="22"/>
          <w:szCs w:val="22"/>
          <w:lang w:val="en" w:eastAsia="en-GB"/>
        </w:rPr>
        <w:fldChar w:fldCharType="end"/>
      </w:r>
      <w:r w:rsidRPr="00117750">
        <w:rPr>
          <w:rFonts w:eastAsia="Arial" w:cstheme="minorHAnsi"/>
          <w:sz w:val="22"/>
          <w:szCs w:val="22"/>
          <w:lang w:val="en" w:eastAsia="en-GB"/>
        </w:rPr>
        <w:t xml:space="preserve">.  </w:t>
      </w:r>
    </w:p>
    <w:p w14:paraId="64658987" w14:textId="77777777" w:rsidR="003D5CF4" w:rsidRPr="00C00DD6" w:rsidRDefault="003D5CF4" w:rsidP="003F494F">
      <w:pPr>
        <w:spacing w:line="360" w:lineRule="auto"/>
        <w:rPr>
          <w:rFonts w:cstheme="minorHAnsi"/>
          <w:b/>
          <w:bCs/>
          <w:sz w:val="22"/>
          <w:szCs w:val="22"/>
        </w:rPr>
      </w:pPr>
    </w:p>
    <w:tbl>
      <w:tblPr>
        <w:tblStyle w:val="TableGrid"/>
        <w:tblW w:w="0" w:type="auto"/>
        <w:tblLook w:val="04A0" w:firstRow="1" w:lastRow="0" w:firstColumn="1" w:lastColumn="0" w:noHBand="0" w:noVBand="1"/>
      </w:tblPr>
      <w:tblGrid>
        <w:gridCol w:w="1129"/>
        <w:gridCol w:w="9214"/>
      </w:tblGrid>
      <w:tr w:rsidR="00837E18" w14:paraId="1C129C8E" w14:textId="77777777" w:rsidTr="00CF116C">
        <w:tc>
          <w:tcPr>
            <w:tcW w:w="10343" w:type="dxa"/>
            <w:gridSpan w:val="2"/>
          </w:tcPr>
          <w:p w14:paraId="473374BF" w14:textId="77777777" w:rsidR="00F16F32" w:rsidRPr="00C00DD6" w:rsidRDefault="001630D4" w:rsidP="003F494F">
            <w:pPr>
              <w:spacing w:before="240" w:line="360" w:lineRule="auto"/>
              <w:rPr>
                <w:rFonts w:eastAsia="Arial" w:cstheme="minorHAnsi"/>
                <w:b/>
                <w:sz w:val="22"/>
                <w:szCs w:val="22"/>
                <w:lang w:val="en" w:eastAsia="en-GB"/>
              </w:rPr>
            </w:pPr>
            <w:r w:rsidRPr="00C00DD6">
              <w:rPr>
                <w:rFonts w:eastAsia="Arial" w:cstheme="minorHAnsi"/>
                <w:b/>
                <w:sz w:val="22"/>
                <w:szCs w:val="22"/>
                <w:lang w:val="en" w:eastAsia="en-GB"/>
              </w:rPr>
              <w:t xml:space="preserve">Diagnosis </w:t>
            </w:r>
          </w:p>
        </w:tc>
      </w:tr>
      <w:tr w:rsidR="00837E18" w14:paraId="1E7ECBE9" w14:textId="77777777" w:rsidTr="00CF116C">
        <w:tc>
          <w:tcPr>
            <w:tcW w:w="1129" w:type="dxa"/>
          </w:tcPr>
          <w:p w14:paraId="110CACE9" w14:textId="77777777" w:rsidR="00F16F32" w:rsidRPr="00C00DD6" w:rsidRDefault="001630D4" w:rsidP="003F494F">
            <w:pPr>
              <w:spacing w:before="240" w:line="360" w:lineRule="auto"/>
              <w:rPr>
                <w:rFonts w:eastAsia="Arial" w:cstheme="minorHAnsi"/>
                <w:sz w:val="22"/>
                <w:szCs w:val="22"/>
                <w:lang w:val="en" w:eastAsia="en-GB"/>
              </w:rPr>
            </w:pPr>
            <w:r w:rsidRPr="00C00DD6">
              <w:rPr>
                <w:rFonts w:eastAsia="Arial" w:cstheme="minorHAnsi"/>
                <w:sz w:val="22"/>
                <w:szCs w:val="22"/>
                <w:lang w:val="en" w:eastAsia="en-GB"/>
              </w:rPr>
              <w:t>a</w:t>
            </w:r>
          </w:p>
        </w:tc>
        <w:tc>
          <w:tcPr>
            <w:tcW w:w="9214" w:type="dxa"/>
          </w:tcPr>
          <w:p w14:paraId="2E521866" w14:textId="33D854BB" w:rsidR="00F16F32" w:rsidRPr="00C00DD6" w:rsidRDefault="006A3E89" w:rsidP="003F494F">
            <w:pPr>
              <w:spacing w:before="240" w:line="360" w:lineRule="auto"/>
              <w:rPr>
                <w:rFonts w:eastAsia="Arial" w:cstheme="minorHAnsi"/>
                <w:sz w:val="22"/>
                <w:szCs w:val="22"/>
                <w:lang w:val="en" w:eastAsia="en-GB"/>
              </w:rPr>
            </w:pPr>
            <w:r>
              <w:rPr>
                <w:rFonts w:eastAsia="Arial" w:cstheme="minorHAnsi"/>
                <w:sz w:val="22"/>
                <w:szCs w:val="22"/>
                <w:lang w:val="en" w:eastAsia="en-GB"/>
              </w:rPr>
              <w:t>The d</w:t>
            </w:r>
            <w:r w:rsidRPr="00C00DD6">
              <w:rPr>
                <w:rFonts w:eastAsia="Arial" w:cstheme="minorHAnsi"/>
                <w:sz w:val="22"/>
                <w:szCs w:val="22"/>
                <w:lang w:val="en" w:eastAsia="en-GB"/>
              </w:rPr>
              <w:t>iagnos</w:t>
            </w:r>
            <w:r>
              <w:rPr>
                <w:rFonts w:eastAsia="Arial" w:cstheme="minorHAnsi"/>
                <w:sz w:val="22"/>
                <w:szCs w:val="22"/>
                <w:lang w:val="en" w:eastAsia="en-GB"/>
              </w:rPr>
              <w:t>e</w:t>
            </w:r>
            <w:r w:rsidRPr="00C00DD6">
              <w:rPr>
                <w:rFonts w:eastAsia="Arial" w:cstheme="minorHAnsi"/>
                <w:sz w:val="22"/>
                <w:szCs w:val="22"/>
                <w:lang w:val="en" w:eastAsia="en-GB"/>
              </w:rPr>
              <w:t>s</w:t>
            </w:r>
            <w:r>
              <w:rPr>
                <w:rFonts w:eastAsia="Arial" w:cstheme="minorHAnsi"/>
                <w:sz w:val="22"/>
                <w:szCs w:val="22"/>
                <w:lang w:val="en" w:eastAsia="en-GB"/>
              </w:rPr>
              <w:t xml:space="preserve"> of C3G and IC-MPGN are made </w:t>
            </w:r>
            <w:r w:rsidR="00AD454E">
              <w:rPr>
                <w:rFonts w:eastAsia="Arial" w:cstheme="minorHAnsi"/>
                <w:sz w:val="22"/>
                <w:szCs w:val="22"/>
                <w:lang w:val="en" w:eastAsia="en-GB"/>
              </w:rPr>
              <w:t>using histological analysis</w:t>
            </w:r>
            <w:r>
              <w:rPr>
                <w:rFonts w:eastAsia="Arial" w:cstheme="minorHAnsi"/>
                <w:sz w:val="22"/>
                <w:szCs w:val="22"/>
                <w:lang w:val="en" w:eastAsia="en-GB"/>
              </w:rPr>
              <w:t xml:space="preserve"> and the exclusion of underlying disease (such as chronic infection, </w:t>
            </w:r>
            <w:proofErr w:type="spellStart"/>
            <w:r>
              <w:rPr>
                <w:rFonts w:eastAsia="Arial" w:cstheme="minorHAnsi"/>
                <w:sz w:val="22"/>
                <w:szCs w:val="22"/>
                <w:lang w:val="en" w:eastAsia="en-GB"/>
              </w:rPr>
              <w:t>endocarditits</w:t>
            </w:r>
            <w:proofErr w:type="spellEnd"/>
            <w:r>
              <w:rPr>
                <w:rFonts w:eastAsia="Arial" w:cstheme="minorHAnsi"/>
                <w:sz w:val="22"/>
                <w:szCs w:val="22"/>
                <w:lang w:val="en" w:eastAsia="en-GB"/>
              </w:rPr>
              <w:t>, post infectious causes).</w:t>
            </w:r>
          </w:p>
        </w:tc>
      </w:tr>
      <w:tr w:rsidR="00837E18" w14:paraId="1FD3D860" w14:textId="77777777" w:rsidTr="00CF116C">
        <w:tc>
          <w:tcPr>
            <w:tcW w:w="1129" w:type="dxa"/>
          </w:tcPr>
          <w:p w14:paraId="5A6F1373" w14:textId="21AB488C" w:rsidR="000344E3" w:rsidRPr="00C00DD6" w:rsidRDefault="001630D4" w:rsidP="003F494F">
            <w:pPr>
              <w:spacing w:before="240" w:line="360" w:lineRule="auto"/>
              <w:rPr>
                <w:rFonts w:eastAsia="Arial" w:cstheme="minorHAnsi"/>
                <w:sz w:val="22"/>
                <w:szCs w:val="22"/>
                <w:lang w:val="en" w:eastAsia="en-GB"/>
              </w:rPr>
            </w:pPr>
            <w:r>
              <w:rPr>
                <w:rFonts w:eastAsia="Arial" w:cstheme="minorHAnsi"/>
                <w:sz w:val="22"/>
                <w:szCs w:val="22"/>
                <w:lang w:val="en" w:eastAsia="en-GB"/>
              </w:rPr>
              <w:t>b</w:t>
            </w:r>
          </w:p>
        </w:tc>
        <w:tc>
          <w:tcPr>
            <w:tcW w:w="9214" w:type="dxa"/>
          </w:tcPr>
          <w:p w14:paraId="126A9C3B" w14:textId="77777777" w:rsidR="006A3E89" w:rsidRDefault="006A3E89" w:rsidP="006A3E89">
            <w:pPr>
              <w:spacing w:before="240" w:line="360" w:lineRule="auto"/>
              <w:rPr>
                <w:rFonts w:eastAsia="Arial" w:cstheme="minorHAnsi"/>
                <w:sz w:val="22"/>
                <w:szCs w:val="22"/>
                <w:lang w:val="en" w:eastAsia="en-GB"/>
              </w:rPr>
            </w:pPr>
            <w:r>
              <w:rPr>
                <w:rFonts w:eastAsia="Arial" w:cstheme="minorHAnsi"/>
                <w:sz w:val="22"/>
                <w:szCs w:val="22"/>
                <w:lang w:val="en" w:eastAsia="en-GB"/>
              </w:rPr>
              <w:t xml:space="preserve">C3G and IC-MPGN can be </w:t>
            </w:r>
            <w:proofErr w:type="spellStart"/>
            <w:r>
              <w:rPr>
                <w:rFonts w:eastAsia="Arial" w:cstheme="minorHAnsi"/>
                <w:sz w:val="22"/>
                <w:szCs w:val="22"/>
                <w:lang w:val="en" w:eastAsia="en-GB"/>
              </w:rPr>
              <w:t>c</w:t>
            </w:r>
            <w:r w:rsidRPr="00C00DD6">
              <w:rPr>
                <w:rFonts w:eastAsia="Arial" w:cstheme="minorHAnsi"/>
                <w:sz w:val="22"/>
                <w:szCs w:val="22"/>
                <w:lang w:val="en" w:eastAsia="en-GB"/>
              </w:rPr>
              <w:t>ategori</w:t>
            </w:r>
            <w:r>
              <w:rPr>
                <w:rFonts w:eastAsia="Arial" w:cstheme="minorHAnsi"/>
                <w:sz w:val="22"/>
                <w:szCs w:val="22"/>
                <w:lang w:val="en" w:eastAsia="en-GB"/>
              </w:rPr>
              <w:t>sed</w:t>
            </w:r>
            <w:proofErr w:type="spellEnd"/>
            <w:r w:rsidRPr="00C00DD6">
              <w:rPr>
                <w:rFonts w:eastAsia="Arial" w:cstheme="minorHAnsi"/>
                <w:sz w:val="22"/>
                <w:szCs w:val="22"/>
                <w:lang w:val="en" w:eastAsia="en-GB"/>
              </w:rPr>
              <w:t xml:space="preserve"> into mild, moderate, </w:t>
            </w:r>
            <w:r>
              <w:rPr>
                <w:rFonts w:eastAsia="Arial" w:cstheme="minorHAnsi"/>
                <w:sz w:val="22"/>
                <w:szCs w:val="22"/>
                <w:lang w:val="en" w:eastAsia="en-GB"/>
              </w:rPr>
              <w:t xml:space="preserve">and </w:t>
            </w:r>
            <w:r w:rsidRPr="00C00DD6">
              <w:rPr>
                <w:rFonts w:eastAsia="Arial" w:cstheme="minorHAnsi"/>
                <w:sz w:val="22"/>
                <w:szCs w:val="22"/>
                <w:lang w:val="en" w:eastAsia="en-GB"/>
              </w:rPr>
              <w:t>severe</w:t>
            </w:r>
            <w:r>
              <w:rPr>
                <w:rFonts w:eastAsia="Arial" w:cstheme="minorHAnsi"/>
                <w:sz w:val="22"/>
                <w:szCs w:val="22"/>
                <w:lang w:val="en" w:eastAsia="en-GB"/>
              </w:rPr>
              <w:t xml:space="preserve"> disease. These categories are dependent on the amount of proteinuria and impairment in kidney function. </w:t>
            </w:r>
          </w:p>
          <w:p w14:paraId="1EF83EA1" w14:textId="2E79C7E2" w:rsidR="006A3E89" w:rsidRPr="00581ADC" w:rsidRDefault="006A3E89" w:rsidP="006A3E89">
            <w:pPr>
              <w:pStyle w:val="ListParagraph"/>
              <w:numPr>
                <w:ilvl w:val="0"/>
                <w:numId w:val="33"/>
              </w:numPr>
              <w:spacing w:before="240" w:line="360" w:lineRule="auto"/>
              <w:rPr>
                <w:rFonts w:eastAsia="Arial" w:cstheme="minorHAnsi"/>
                <w:sz w:val="22"/>
                <w:szCs w:val="22"/>
                <w:lang w:val="en" w:eastAsia="en-GB"/>
              </w:rPr>
            </w:pPr>
            <w:r w:rsidRPr="000344E3">
              <w:rPr>
                <w:rFonts w:eastAsia="Arial" w:cstheme="minorHAnsi"/>
                <w:sz w:val="22"/>
                <w:szCs w:val="22"/>
                <w:lang w:val="en" w:eastAsia="en-GB"/>
              </w:rPr>
              <w:lastRenderedPageBreak/>
              <w:t xml:space="preserve">Mild </w:t>
            </w:r>
            <w:r>
              <w:rPr>
                <w:rFonts w:eastAsia="Arial" w:cstheme="minorHAnsi"/>
                <w:sz w:val="22"/>
                <w:szCs w:val="22"/>
                <w:lang w:val="en" w:eastAsia="en-GB"/>
              </w:rPr>
              <w:t>– UPCR &lt;100m</w:t>
            </w:r>
            <w:r w:rsidRPr="00683EAB">
              <w:rPr>
                <w:rFonts w:eastAsia="Arial" w:cstheme="minorHAnsi"/>
                <w:sz w:val="22"/>
                <w:szCs w:val="22"/>
                <w:lang w:val="en" w:eastAsia="en-GB"/>
              </w:rPr>
              <w:t>g/</w:t>
            </w:r>
            <w:r>
              <w:rPr>
                <w:rFonts w:eastAsia="Arial" w:cstheme="minorHAnsi"/>
                <w:sz w:val="22"/>
                <w:szCs w:val="22"/>
                <w:lang w:val="en" w:eastAsia="en-GB"/>
              </w:rPr>
              <w:t>m</w:t>
            </w:r>
            <w:r w:rsidRPr="00683EAB">
              <w:rPr>
                <w:rFonts w:eastAsia="Arial" w:cstheme="minorHAnsi"/>
                <w:sz w:val="22"/>
                <w:szCs w:val="22"/>
                <w:lang w:val="en" w:eastAsia="en-GB"/>
              </w:rPr>
              <w:t>mol, absence of the nephrotic syndrome</w:t>
            </w:r>
            <w:r w:rsidR="00AD454E">
              <w:rPr>
                <w:rFonts w:eastAsia="Arial" w:cstheme="minorHAnsi"/>
                <w:sz w:val="22"/>
                <w:szCs w:val="22"/>
                <w:lang w:val="en" w:eastAsia="en-GB"/>
              </w:rPr>
              <w:t>,</w:t>
            </w:r>
            <w:r w:rsidRPr="00683EAB">
              <w:rPr>
                <w:rFonts w:eastAsia="Arial" w:cstheme="minorHAnsi"/>
                <w:sz w:val="22"/>
                <w:szCs w:val="22"/>
                <w:lang w:val="en" w:eastAsia="en-GB"/>
              </w:rPr>
              <w:t xml:space="preserve"> and </w:t>
            </w:r>
            <w:r w:rsidR="00AD454E">
              <w:rPr>
                <w:rFonts w:eastAsia="Arial" w:cstheme="minorHAnsi"/>
                <w:sz w:val="22"/>
                <w:szCs w:val="22"/>
                <w:lang w:val="en" w:eastAsia="en-GB"/>
              </w:rPr>
              <w:t xml:space="preserve">normal </w:t>
            </w:r>
            <w:r w:rsidRPr="000344E3">
              <w:rPr>
                <w:rFonts w:eastAsia="Arial" w:cstheme="minorHAnsi"/>
                <w:sz w:val="22"/>
                <w:szCs w:val="22"/>
                <w:lang w:val="en" w:eastAsia="en-GB"/>
              </w:rPr>
              <w:t>eGFR (&gt;90 ml/min/m</w:t>
            </w:r>
            <w:r w:rsidRPr="000344E3">
              <w:rPr>
                <w:rFonts w:eastAsia="Arial" w:cstheme="minorHAnsi"/>
                <w:sz w:val="22"/>
                <w:szCs w:val="22"/>
                <w:vertAlign w:val="superscript"/>
                <w:lang w:val="en" w:eastAsia="en-GB"/>
              </w:rPr>
              <w:t>2</w:t>
            </w:r>
            <w:r w:rsidRPr="000344E3">
              <w:rPr>
                <w:rFonts w:eastAsia="Arial" w:cstheme="minorHAnsi"/>
                <w:sz w:val="22"/>
                <w:szCs w:val="22"/>
                <w:lang w:val="en" w:eastAsia="en-GB"/>
              </w:rPr>
              <w:t>)</w:t>
            </w:r>
          </w:p>
          <w:p w14:paraId="44525D78" w14:textId="77777777" w:rsidR="00AD454E" w:rsidRPr="00AD454E" w:rsidRDefault="006A3E89" w:rsidP="006A3E89">
            <w:pPr>
              <w:pStyle w:val="ListParagraph"/>
              <w:numPr>
                <w:ilvl w:val="0"/>
                <w:numId w:val="33"/>
              </w:numPr>
              <w:spacing w:before="240" w:line="360" w:lineRule="auto"/>
              <w:rPr>
                <w:rFonts w:eastAsia="Arial" w:cstheme="minorHAnsi"/>
                <w:sz w:val="22"/>
                <w:szCs w:val="22"/>
                <w:lang w:val="en" w:eastAsia="en-GB"/>
              </w:rPr>
            </w:pPr>
            <w:r w:rsidRPr="000344E3">
              <w:rPr>
                <w:rFonts w:eastAsia="Arial" w:cstheme="minorHAnsi"/>
                <w:sz w:val="22"/>
                <w:szCs w:val="22"/>
                <w:lang w:val="en" w:eastAsia="en-GB"/>
              </w:rPr>
              <w:t xml:space="preserve">Moderate – </w:t>
            </w:r>
            <w:r>
              <w:rPr>
                <w:rFonts w:eastAsia="Arial" w:cstheme="minorHAnsi"/>
                <w:sz w:val="22"/>
                <w:szCs w:val="22"/>
                <w:lang w:val="en" w:eastAsia="en-GB"/>
              </w:rPr>
              <w:t xml:space="preserve">UPCR &gt;100mg/mmol, without nephrotic </w:t>
            </w:r>
            <w:proofErr w:type="gramStart"/>
            <w:r>
              <w:rPr>
                <w:rFonts w:eastAsia="Arial" w:cstheme="minorHAnsi"/>
                <w:sz w:val="22"/>
                <w:szCs w:val="22"/>
                <w:lang w:val="en" w:eastAsia="en-GB"/>
              </w:rPr>
              <w:t>state</w:t>
            </w:r>
            <w:r w:rsidRPr="000344E3">
              <w:rPr>
                <w:rFonts w:eastAsia="Arial" w:cstheme="minorHAnsi"/>
                <w:sz w:val="22"/>
                <w:szCs w:val="22"/>
                <w:lang w:val="en" w:eastAsia="en-GB"/>
              </w:rPr>
              <w:t xml:space="preserve"> </w:t>
            </w:r>
            <w:r>
              <w:rPr>
                <w:rFonts w:eastAsia="Arial" w:cstheme="minorHAnsi"/>
                <w:sz w:val="22"/>
                <w:szCs w:val="22"/>
                <w:vertAlign w:val="superscript"/>
                <w:lang w:val="en" w:eastAsia="en-GB"/>
              </w:rPr>
              <w:t xml:space="preserve"> </w:t>
            </w:r>
            <w:r>
              <w:rPr>
                <w:rFonts w:eastAsia="Arial" w:cstheme="minorHAnsi"/>
                <w:sz w:val="22"/>
                <w:szCs w:val="22"/>
                <w:lang w:val="en" w:eastAsia="en-GB"/>
              </w:rPr>
              <w:t>or</w:t>
            </w:r>
            <w:proofErr w:type="gramEnd"/>
            <w:r>
              <w:rPr>
                <w:rFonts w:eastAsia="Arial" w:cstheme="minorHAnsi"/>
                <w:sz w:val="22"/>
                <w:szCs w:val="22"/>
                <w:lang w:val="en" w:eastAsia="en-GB"/>
              </w:rPr>
              <w:t xml:space="preserve"> </w:t>
            </w:r>
            <w:r w:rsidRPr="000344E3">
              <w:rPr>
                <w:rFonts w:eastAsia="Arial" w:cstheme="minorHAnsi"/>
                <w:sz w:val="22"/>
                <w:szCs w:val="22"/>
                <w:lang w:val="en" w:eastAsia="en-GB"/>
              </w:rPr>
              <w:t xml:space="preserve">eGFR </w:t>
            </w:r>
            <w:r>
              <w:rPr>
                <w:rFonts w:eastAsia="Arial" w:cstheme="minorHAnsi"/>
                <w:sz w:val="22"/>
                <w:szCs w:val="22"/>
                <w:lang w:val="en" w:eastAsia="en-GB"/>
              </w:rPr>
              <w:t>6</w:t>
            </w:r>
            <w:r w:rsidRPr="000344E3">
              <w:rPr>
                <w:rFonts w:eastAsia="Arial" w:cstheme="minorHAnsi"/>
                <w:sz w:val="22"/>
                <w:szCs w:val="22"/>
                <w:lang w:val="en" w:eastAsia="en-GB"/>
              </w:rPr>
              <w:t>0</w:t>
            </w:r>
            <w:r>
              <w:rPr>
                <w:rFonts w:eastAsia="Arial" w:cstheme="minorHAnsi"/>
                <w:sz w:val="22"/>
                <w:szCs w:val="22"/>
                <w:lang w:val="en" w:eastAsia="en-GB"/>
              </w:rPr>
              <w:t>-</w:t>
            </w:r>
            <w:r w:rsidRPr="000344E3">
              <w:rPr>
                <w:rFonts w:eastAsia="Arial" w:cstheme="minorHAnsi"/>
                <w:sz w:val="22"/>
                <w:szCs w:val="22"/>
                <w:lang w:val="en" w:eastAsia="en-GB"/>
              </w:rPr>
              <w:t>90</w:t>
            </w:r>
            <w:r>
              <w:rPr>
                <w:rFonts w:eastAsia="Arial" w:cstheme="minorHAnsi"/>
                <w:sz w:val="22"/>
                <w:szCs w:val="22"/>
                <w:lang w:val="en" w:eastAsia="en-GB"/>
              </w:rPr>
              <w:t xml:space="preserve"> </w:t>
            </w:r>
            <w:r w:rsidRPr="00CF77EA">
              <w:rPr>
                <w:rFonts w:eastAsia="Arial" w:cstheme="minorHAnsi"/>
                <w:sz w:val="22"/>
                <w:szCs w:val="22"/>
                <w:lang w:val="en" w:eastAsia="en-GB"/>
              </w:rPr>
              <w:t>ml/min/m</w:t>
            </w:r>
            <w:r w:rsidRPr="00CF77EA">
              <w:rPr>
                <w:rFonts w:eastAsia="Arial" w:cstheme="minorHAnsi"/>
                <w:sz w:val="22"/>
                <w:szCs w:val="22"/>
                <w:vertAlign w:val="superscript"/>
                <w:lang w:val="en" w:eastAsia="en-GB"/>
              </w:rPr>
              <w:t>2</w:t>
            </w:r>
          </w:p>
          <w:p w14:paraId="34876CFF" w14:textId="26D8AD45" w:rsidR="006A3E89" w:rsidRDefault="006A3E89" w:rsidP="006A3E89">
            <w:pPr>
              <w:pStyle w:val="ListParagraph"/>
              <w:numPr>
                <w:ilvl w:val="0"/>
                <w:numId w:val="33"/>
              </w:numPr>
              <w:spacing w:before="240" w:line="360" w:lineRule="auto"/>
              <w:rPr>
                <w:rFonts w:eastAsia="Arial" w:cstheme="minorHAnsi"/>
                <w:sz w:val="22"/>
                <w:szCs w:val="22"/>
                <w:lang w:val="en" w:eastAsia="en-GB"/>
              </w:rPr>
            </w:pPr>
            <w:r w:rsidRPr="003F494F">
              <w:rPr>
                <w:rFonts w:eastAsia="Arial" w:cstheme="minorHAnsi"/>
                <w:sz w:val="22"/>
                <w:szCs w:val="22"/>
                <w:lang w:val="en" w:eastAsia="en-GB"/>
              </w:rPr>
              <w:t>Severe – nephrotic state (proteinuria, oedema, low serum albumin)</w:t>
            </w:r>
            <w:r>
              <w:rPr>
                <w:rFonts w:eastAsia="Arial" w:cstheme="minorHAnsi"/>
                <w:sz w:val="22"/>
                <w:szCs w:val="22"/>
                <w:lang w:val="en" w:eastAsia="en-GB"/>
              </w:rPr>
              <w:t xml:space="preserve"> or eGFR </w:t>
            </w:r>
            <w:r w:rsidR="00AD454E">
              <w:rPr>
                <w:rFonts w:eastAsia="Arial" w:cstheme="minorHAnsi"/>
                <w:sz w:val="22"/>
                <w:szCs w:val="22"/>
                <w:lang w:val="en" w:eastAsia="en-GB"/>
              </w:rPr>
              <w:t>&lt;</w:t>
            </w:r>
            <w:r>
              <w:rPr>
                <w:rFonts w:eastAsia="Arial" w:cstheme="minorHAnsi"/>
                <w:sz w:val="22"/>
                <w:szCs w:val="22"/>
                <w:lang w:val="en" w:eastAsia="en-GB"/>
              </w:rPr>
              <w:t xml:space="preserve">30-60 </w:t>
            </w:r>
            <w:r w:rsidRPr="000344E3">
              <w:rPr>
                <w:rFonts w:eastAsia="Arial" w:cstheme="minorHAnsi"/>
                <w:sz w:val="22"/>
                <w:szCs w:val="22"/>
                <w:lang w:val="en" w:eastAsia="en-GB"/>
              </w:rPr>
              <w:t>ml/min/m</w:t>
            </w:r>
            <w:r w:rsidRPr="000344E3">
              <w:rPr>
                <w:rFonts w:eastAsia="Arial" w:cstheme="minorHAnsi"/>
                <w:sz w:val="22"/>
                <w:szCs w:val="22"/>
                <w:vertAlign w:val="superscript"/>
                <w:lang w:val="en" w:eastAsia="en-GB"/>
              </w:rPr>
              <w:t>2</w:t>
            </w:r>
            <w:r>
              <w:rPr>
                <w:rFonts w:eastAsia="Arial" w:cstheme="minorHAnsi"/>
                <w:sz w:val="22"/>
                <w:szCs w:val="22"/>
                <w:vertAlign w:val="superscript"/>
                <w:lang w:val="en" w:eastAsia="en-GB"/>
              </w:rPr>
              <w:t>,</w:t>
            </w:r>
          </w:p>
          <w:p w14:paraId="724A19FC" w14:textId="5C305CB8" w:rsidR="000344E3" w:rsidRPr="003F494F" w:rsidRDefault="006A3E89" w:rsidP="003F494F">
            <w:pPr>
              <w:pStyle w:val="ListParagraph"/>
              <w:numPr>
                <w:ilvl w:val="0"/>
                <w:numId w:val="33"/>
              </w:numPr>
              <w:spacing w:before="240" w:line="360" w:lineRule="auto"/>
              <w:rPr>
                <w:rFonts w:eastAsia="Arial" w:cstheme="minorHAnsi"/>
                <w:sz w:val="22"/>
                <w:szCs w:val="22"/>
                <w:lang w:val="en" w:eastAsia="en-GB"/>
              </w:rPr>
            </w:pPr>
            <w:r>
              <w:rPr>
                <w:rFonts w:eastAsia="Arial" w:cstheme="minorHAnsi"/>
                <w:sz w:val="22"/>
                <w:szCs w:val="22"/>
                <w:lang w:val="en" w:eastAsia="en-GB"/>
              </w:rPr>
              <w:t>R</w:t>
            </w:r>
            <w:r w:rsidRPr="003F494F">
              <w:rPr>
                <w:rFonts w:eastAsia="Arial" w:cstheme="minorHAnsi"/>
                <w:sz w:val="22"/>
                <w:szCs w:val="22"/>
                <w:lang w:val="en" w:eastAsia="en-GB"/>
              </w:rPr>
              <w:t>apidly progressive glomerulonephritis</w:t>
            </w:r>
            <w:r>
              <w:rPr>
                <w:rFonts w:eastAsia="Arial" w:cstheme="minorHAnsi"/>
                <w:sz w:val="22"/>
                <w:szCs w:val="22"/>
                <w:lang w:val="en" w:eastAsia="en-GB"/>
              </w:rPr>
              <w:t xml:space="preserve"> </w:t>
            </w:r>
            <w:r w:rsidR="00642970">
              <w:rPr>
                <w:rFonts w:eastAsia="Arial" w:cstheme="minorHAnsi"/>
                <w:sz w:val="22"/>
                <w:szCs w:val="22"/>
                <w:lang w:val="en" w:eastAsia="en-GB"/>
              </w:rPr>
              <w:t xml:space="preserve">with deteriorating kidney function </w:t>
            </w:r>
            <w:r>
              <w:rPr>
                <w:rFonts w:eastAsia="Arial" w:cstheme="minorHAnsi"/>
                <w:sz w:val="22"/>
                <w:szCs w:val="22"/>
                <w:lang w:val="en" w:eastAsia="en-GB"/>
              </w:rPr>
              <w:t>or</w:t>
            </w:r>
            <w:r w:rsidRPr="003F494F">
              <w:rPr>
                <w:rFonts w:eastAsia="Arial" w:cstheme="minorHAnsi"/>
                <w:sz w:val="22"/>
                <w:szCs w:val="22"/>
                <w:lang w:val="en" w:eastAsia="en-GB"/>
              </w:rPr>
              <w:t xml:space="preserve"> eGFR &lt;30 ml/min/m</w:t>
            </w:r>
            <w:r w:rsidRPr="003F494F">
              <w:rPr>
                <w:rFonts w:eastAsia="Arial" w:cstheme="minorHAnsi"/>
                <w:sz w:val="22"/>
                <w:szCs w:val="22"/>
                <w:vertAlign w:val="superscript"/>
                <w:lang w:val="en" w:eastAsia="en-GB"/>
              </w:rPr>
              <w:t>2</w:t>
            </w:r>
          </w:p>
        </w:tc>
      </w:tr>
    </w:tbl>
    <w:p w14:paraId="2EF6A562" w14:textId="77777777" w:rsidR="00F16F32" w:rsidRPr="00C00DD6" w:rsidRDefault="00F16F32" w:rsidP="003F494F">
      <w:pPr>
        <w:spacing w:line="360" w:lineRule="auto"/>
        <w:rPr>
          <w:rFonts w:cstheme="minorHAnsi"/>
          <w:b/>
          <w:bCs/>
          <w:sz w:val="22"/>
          <w:szCs w:val="22"/>
        </w:rPr>
      </w:pPr>
    </w:p>
    <w:p w14:paraId="3E5DD250" w14:textId="77777777" w:rsidR="00F16F32" w:rsidRPr="00C00DD6" w:rsidRDefault="00F16F32" w:rsidP="003F494F">
      <w:pPr>
        <w:spacing w:line="360" w:lineRule="auto"/>
        <w:rPr>
          <w:rFonts w:cstheme="minorHAnsi"/>
          <w:b/>
          <w:bCs/>
          <w:sz w:val="22"/>
          <w:szCs w:val="22"/>
        </w:rPr>
      </w:pPr>
    </w:p>
    <w:p w14:paraId="01F0EA8C" w14:textId="43053C9D" w:rsidR="00F16F32" w:rsidRPr="00C00DD6" w:rsidRDefault="001630D4" w:rsidP="003F494F">
      <w:pPr>
        <w:spacing w:line="360" w:lineRule="auto"/>
        <w:rPr>
          <w:rFonts w:cstheme="minorHAnsi"/>
          <w:b/>
          <w:bCs/>
          <w:sz w:val="22"/>
          <w:szCs w:val="22"/>
        </w:rPr>
      </w:pPr>
      <w:r w:rsidRPr="00C00DD6">
        <w:rPr>
          <w:rFonts w:cstheme="minorHAnsi"/>
          <w:b/>
          <w:bCs/>
          <w:sz w:val="22"/>
          <w:szCs w:val="22"/>
        </w:rPr>
        <w:t xml:space="preserve">Management </w:t>
      </w:r>
      <w:r w:rsidR="003D5CF4" w:rsidRPr="00C00DD6">
        <w:rPr>
          <w:rFonts w:cstheme="minorHAnsi"/>
          <w:b/>
          <w:bCs/>
          <w:sz w:val="22"/>
          <w:szCs w:val="22"/>
        </w:rPr>
        <w:t>of C3G and IC-MPGN</w:t>
      </w:r>
    </w:p>
    <w:p w14:paraId="722D9FDE" w14:textId="77777777" w:rsidR="00F16F32" w:rsidRPr="00C00DD6" w:rsidRDefault="00F16F32" w:rsidP="003F494F">
      <w:pPr>
        <w:spacing w:line="360" w:lineRule="auto"/>
        <w:rPr>
          <w:rFonts w:cstheme="minorHAnsi"/>
          <w:b/>
          <w:bCs/>
          <w:sz w:val="22"/>
          <w:szCs w:val="22"/>
        </w:rPr>
      </w:pPr>
    </w:p>
    <w:tbl>
      <w:tblPr>
        <w:tblStyle w:val="TableGrid"/>
        <w:tblW w:w="10348" w:type="dxa"/>
        <w:tblInd w:w="-5" w:type="dxa"/>
        <w:tblLook w:val="04A0" w:firstRow="1" w:lastRow="0" w:firstColumn="1" w:lastColumn="0" w:noHBand="0" w:noVBand="1"/>
      </w:tblPr>
      <w:tblGrid>
        <w:gridCol w:w="965"/>
        <w:gridCol w:w="7682"/>
        <w:gridCol w:w="1701"/>
      </w:tblGrid>
      <w:tr w:rsidR="00837E18" w14:paraId="573871E7" w14:textId="77777777" w:rsidTr="003D5CF4">
        <w:tc>
          <w:tcPr>
            <w:tcW w:w="965" w:type="dxa"/>
          </w:tcPr>
          <w:p w14:paraId="28E3DE5F" w14:textId="77777777" w:rsidR="00257E1D" w:rsidRPr="00C00DD6" w:rsidRDefault="001630D4" w:rsidP="003F494F">
            <w:pPr>
              <w:spacing w:line="360" w:lineRule="auto"/>
              <w:rPr>
                <w:rFonts w:cstheme="minorHAnsi"/>
                <w:b/>
                <w:sz w:val="22"/>
                <w:szCs w:val="22"/>
              </w:rPr>
            </w:pPr>
            <w:r w:rsidRPr="00C00DD6">
              <w:rPr>
                <w:rFonts w:cstheme="minorHAnsi"/>
                <w:b/>
                <w:sz w:val="22"/>
                <w:szCs w:val="22"/>
              </w:rPr>
              <w:t>Number</w:t>
            </w:r>
          </w:p>
        </w:tc>
        <w:tc>
          <w:tcPr>
            <w:tcW w:w="7682" w:type="dxa"/>
          </w:tcPr>
          <w:p w14:paraId="48D6A62C" w14:textId="77777777" w:rsidR="00257E1D" w:rsidRPr="00C00DD6" w:rsidRDefault="001630D4" w:rsidP="003F494F">
            <w:pPr>
              <w:spacing w:line="360" w:lineRule="auto"/>
              <w:rPr>
                <w:rFonts w:cstheme="minorHAnsi"/>
                <w:b/>
                <w:sz w:val="22"/>
                <w:szCs w:val="22"/>
              </w:rPr>
            </w:pPr>
            <w:r w:rsidRPr="00C00DD6">
              <w:rPr>
                <w:rFonts w:cstheme="minorHAnsi"/>
                <w:b/>
                <w:sz w:val="22"/>
                <w:szCs w:val="22"/>
              </w:rPr>
              <w:t>RECOMMENTATION</w:t>
            </w:r>
          </w:p>
        </w:tc>
        <w:tc>
          <w:tcPr>
            <w:tcW w:w="1701" w:type="dxa"/>
          </w:tcPr>
          <w:p w14:paraId="6DB1C0A5" w14:textId="77777777" w:rsidR="00257E1D" w:rsidRPr="00C00DD6" w:rsidRDefault="001630D4" w:rsidP="003F494F">
            <w:pPr>
              <w:spacing w:line="360" w:lineRule="auto"/>
              <w:rPr>
                <w:rFonts w:cstheme="minorHAnsi"/>
                <w:b/>
                <w:sz w:val="22"/>
                <w:szCs w:val="22"/>
              </w:rPr>
            </w:pPr>
            <w:r w:rsidRPr="00C00DD6">
              <w:rPr>
                <w:rFonts w:cstheme="minorHAnsi"/>
                <w:b/>
                <w:sz w:val="22"/>
                <w:szCs w:val="22"/>
              </w:rPr>
              <w:t xml:space="preserve">Grade </w:t>
            </w:r>
          </w:p>
        </w:tc>
      </w:tr>
      <w:tr w:rsidR="00837E18" w14:paraId="1F76BDA0" w14:textId="77777777" w:rsidTr="003D5CF4">
        <w:tc>
          <w:tcPr>
            <w:tcW w:w="965" w:type="dxa"/>
          </w:tcPr>
          <w:p w14:paraId="1E23E63D" w14:textId="69014E31" w:rsidR="000344E3" w:rsidRDefault="001630D4" w:rsidP="003F494F">
            <w:pPr>
              <w:spacing w:line="360" w:lineRule="auto"/>
              <w:rPr>
                <w:rFonts w:cstheme="minorHAnsi"/>
                <w:sz w:val="22"/>
                <w:szCs w:val="22"/>
              </w:rPr>
            </w:pPr>
            <w:r>
              <w:rPr>
                <w:rFonts w:cstheme="minorHAnsi"/>
                <w:sz w:val="22"/>
                <w:szCs w:val="22"/>
              </w:rPr>
              <w:t>ICGN 7</w:t>
            </w:r>
            <w:r w:rsidRPr="00C00DD6">
              <w:rPr>
                <w:rFonts w:cstheme="minorHAnsi"/>
                <w:sz w:val="22"/>
                <w:szCs w:val="22"/>
              </w:rPr>
              <w:t>.1</w:t>
            </w:r>
          </w:p>
        </w:tc>
        <w:tc>
          <w:tcPr>
            <w:tcW w:w="7682" w:type="dxa"/>
          </w:tcPr>
          <w:p w14:paraId="62446EB3" w14:textId="0D9043FD" w:rsidR="000344E3" w:rsidRPr="000344E3" w:rsidRDefault="001630D4" w:rsidP="003F494F">
            <w:pPr>
              <w:spacing w:line="360" w:lineRule="auto"/>
              <w:jc w:val="both"/>
              <w:rPr>
                <w:rFonts w:eastAsia="Arial" w:cstheme="minorHAnsi"/>
                <w:color w:val="000000"/>
                <w:kern w:val="24"/>
                <w:sz w:val="22"/>
                <w:szCs w:val="22"/>
                <w:lang w:eastAsia="en-GB"/>
              </w:rPr>
            </w:pPr>
            <w:r>
              <w:rPr>
                <w:rFonts w:eastAsia="Arial" w:cstheme="minorHAnsi"/>
                <w:color w:val="000000"/>
                <w:kern w:val="24"/>
                <w:sz w:val="22"/>
                <w:szCs w:val="22"/>
                <w:u w:val="single"/>
                <w:lang w:eastAsia="en-GB"/>
              </w:rPr>
              <w:t>We suggest</w:t>
            </w:r>
            <w:r>
              <w:rPr>
                <w:rFonts w:eastAsia="Arial" w:cstheme="minorHAnsi"/>
                <w:color w:val="000000"/>
                <w:kern w:val="24"/>
                <w:sz w:val="22"/>
                <w:szCs w:val="22"/>
                <w:lang w:eastAsia="en-GB"/>
              </w:rPr>
              <w:t xml:space="preserve"> categorising patients into mild, moderate, and severe disease according to clinical features to guide treatment decisions. </w:t>
            </w:r>
          </w:p>
        </w:tc>
        <w:tc>
          <w:tcPr>
            <w:tcW w:w="1701" w:type="dxa"/>
          </w:tcPr>
          <w:p w14:paraId="7657C03C" w14:textId="0B579AC0" w:rsidR="000344E3" w:rsidRDefault="001630D4" w:rsidP="003F494F">
            <w:pPr>
              <w:spacing w:line="360" w:lineRule="auto"/>
              <w:jc w:val="center"/>
              <w:rPr>
                <w:rFonts w:cstheme="minorHAnsi"/>
                <w:b/>
                <w:sz w:val="22"/>
                <w:szCs w:val="22"/>
              </w:rPr>
            </w:pPr>
            <w:r>
              <w:rPr>
                <w:rFonts w:cstheme="minorHAnsi"/>
                <w:b/>
                <w:sz w:val="22"/>
                <w:szCs w:val="22"/>
              </w:rPr>
              <w:t>2C</w:t>
            </w:r>
          </w:p>
        </w:tc>
      </w:tr>
      <w:tr w:rsidR="00837E18" w14:paraId="4A3F0374" w14:textId="77777777" w:rsidTr="003D5CF4">
        <w:tc>
          <w:tcPr>
            <w:tcW w:w="965" w:type="dxa"/>
          </w:tcPr>
          <w:p w14:paraId="199C6827" w14:textId="41950CE2" w:rsidR="000344E3" w:rsidRDefault="001630D4" w:rsidP="003F494F">
            <w:pPr>
              <w:spacing w:line="360" w:lineRule="auto"/>
              <w:rPr>
                <w:rFonts w:cstheme="minorHAnsi"/>
                <w:sz w:val="22"/>
                <w:szCs w:val="22"/>
              </w:rPr>
            </w:pPr>
            <w:r>
              <w:rPr>
                <w:rFonts w:cstheme="minorHAnsi"/>
                <w:sz w:val="22"/>
                <w:szCs w:val="22"/>
              </w:rPr>
              <w:t>ICGN</w:t>
            </w:r>
            <w:r w:rsidRPr="00C00DD6">
              <w:rPr>
                <w:rFonts w:cstheme="minorHAnsi"/>
                <w:sz w:val="22"/>
                <w:szCs w:val="22"/>
              </w:rPr>
              <w:t xml:space="preserve"> </w:t>
            </w:r>
            <w:r>
              <w:rPr>
                <w:rFonts w:cstheme="minorHAnsi"/>
                <w:sz w:val="22"/>
                <w:szCs w:val="22"/>
              </w:rPr>
              <w:t>7</w:t>
            </w:r>
            <w:r w:rsidRPr="00C00DD6">
              <w:rPr>
                <w:rFonts w:cstheme="minorHAnsi"/>
                <w:sz w:val="22"/>
                <w:szCs w:val="22"/>
              </w:rPr>
              <w:t>.2</w:t>
            </w:r>
          </w:p>
        </w:tc>
        <w:tc>
          <w:tcPr>
            <w:tcW w:w="7682" w:type="dxa"/>
          </w:tcPr>
          <w:p w14:paraId="20545033" w14:textId="6B977DB4" w:rsidR="000344E3" w:rsidRPr="000344E3" w:rsidRDefault="001630D4" w:rsidP="003F494F">
            <w:pPr>
              <w:spacing w:line="360" w:lineRule="auto"/>
              <w:jc w:val="both"/>
              <w:rPr>
                <w:rFonts w:eastAsia="Arial" w:cstheme="minorHAnsi"/>
                <w:color w:val="000000"/>
                <w:kern w:val="24"/>
                <w:sz w:val="22"/>
                <w:szCs w:val="22"/>
                <w:lang w:eastAsia="en-GB"/>
              </w:rPr>
            </w:pPr>
            <w:r>
              <w:rPr>
                <w:rFonts w:eastAsia="Arial" w:cstheme="minorHAnsi"/>
                <w:color w:val="000000"/>
                <w:kern w:val="24"/>
                <w:sz w:val="22"/>
                <w:szCs w:val="22"/>
                <w:u w:val="single"/>
                <w:lang w:eastAsia="en-GB"/>
              </w:rPr>
              <w:t>We recommend</w:t>
            </w:r>
            <w:r>
              <w:rPr>
                <w:rFonts w:eastAsia="Arial" w:cstheme="minorHAnsi"/>
                <w:color w:val="000000"/>
                <w:kern w:val="24"/>
                <w:sz w:val="22"/>
                <w:szCs w:val="22"/>
                <w:lang w:eastAsia="en-GB"/>
              </w:rPr>
              <w:t xml:space="preserve"> that mild disease is managed with RAAS only and clinical response is monitored. </w:t>
            </w:r>
          </w:p>
        </w:tc>
        <w:tc>
          <w:tcPr>
            <w:tcW w:w="1701" w:type="dxa"/>
          </w:tcPr>
          <w:p w14:paraId="5D957890" w14:textId="296FA2FB" w:rsidR="000344E3" w:rsidRDefault="001630D4" w:rsidP="003F494F">
            <w:pPr>
              <w:spacing w:line="360" w:lineRule="auto"/>
              <w:jc w:val="center"/>
              <w:rPr>
                <w:rFonts w:cstheme="minorHAnsi"/>
                <w:b/>
                <w:sz w:val="22"/>
                <w:szCs w:val="22"/>
              </w:rPr>
            </w:pPr>
            <w:r>
              <w:rPr>
                <w:rFonts w:cstheme="minorHAnsi"/>
                <w:b/>
                <w:sz w:val="22"/>
                <w:szCs w:val="22"/>
              </w:rPr>
              <w:t>1C</w:t>
            </w:r>
          </w:p>
        </w:tc>
      </w:tr>
      <w:tr w:rsidR="00837E18" w14:paraId="3F8999EF" w14:textId="77777777" w:rsidTr="003D5CF4">
        <w:tc>
          <w:tcPr>
            <w:tcW w:w="965" w:type="dxa"/>
          </w:tcPr>
          <w:p w14:paraId="29A85AFB" w14:textId="59770F40" w:rsidR="00257E1D" w:rsidRPr="00C00DD6" w:rsidRDefault="001630D4" w:rsidP="003F494F">
            <w:pPr>
              <w:spacing w:line="360" w:lineRule="auto"/>
              <w:rPr>
                <w:rFonts w:cstheme="minorHAnsi"/>
                <w:sz w:val="22"/>
                <w:szCs w:val="22"/>
              </w:rPr>
            </w:pPr>
            <w:r>
              <w:rPr>
                <w:rFonts w:cstheme="minorHAnsi"/>
                <w:sz w:val="22"/>
                <w:szCs w:val="22"/>
              </w:rPr>
              <w:t>ICGN 7.3</w:t>
            </w:r>
          </w:p>
        </w:tc>
        <w:tc>
          <w:tcPr>
            <w:tcW w:w="7682" w:type="dxa"/>
          </w:tcPr>
          <w:p w14:paraId="4050D1D5" w14:textId="3E84B475" w:rsidR="006A3E89" w:rsidRPr="00D20CBA" w:rsidRDefault="006A3E89" w:rsidP="006A3E89">
            <w:pPr>
              <w:spacing w:line="360" w:lineRule="auto"/>
              <w:jc w:val="both"/>
              <w:rPr>
                <w:rFonts w:eastAsia="Arial" w:cstheme="minorHAnsi"/>
                <w:color w:val="000000"/>
                <w:kern w:val="24"/>
                <w:sz w:val="22"/>
                <w:szCs w:val="22"/>
                <w:lang w:eastAsia="en-GB"/>
              </w:rPr>
            </w:pPr>
            <w:r w:rsidRPr="00D20CBA">
              <w:rPr>
                <w:rFonts w:eastAsia="Arial" w:cstheme="minorHAnsi"/>
                <w:color w:val="000000"/>
                <w:kern w:val="24"/>
                <w:sz w:val="22"/>
                <w:szCs w:val="22"/>
                <w:u w:val="single"/>
                <w:lang w:eastAsia="en-GB"/>
              </w:rPr>
              <w:t xml:space="preserve">We </w:t>
            </w:r>
            <w:r>
              <w:rPr>
                <w:rFonts w:eastAsia="Arial" w:cstheme="minorHAnsi"/>
                <w:color w:val="000000"/>
                <w:kern w:val="24"/>
                <w:sz w:val="22"/>
                <w:szCs w:val="22"/>
                <w:u w:val="single"/>
                <w:lang w:eastAsia="en-GB"/>
              </w:rPr>
              <w:t>recommend</w:t>
            </w:r>
            <w:r w:rsidRPr="00D20CBA">
              <w:rPr>
                <w:rFonts w:eastAsia="Arial" w:cstheme="minorHAnsi"/>
                <w:color w:val="000000"/>
                <w:kern w:val="24"/>
                <w:sz w:val="22"/>
                <w:szCs w:val="22"/>
                <w:lang w:eastAsia="en-GB"/>
              </w:rPr>
              <w:t xml:space="preserve"> that </w:t>
            </w:r>
            <w:r>
              <w:rPr>
                <w:rFonts w:eastAsia="Arial" w:cstheme="minorHAnsi"/>
                <w:color w:val="000000"/>
                <w:kern w:val="24"/>
                <w:sz w:val="22"/>
                <w:szCs w:val="22"/>
                <w:lang w:eastAsia="en-GB"/>
              </w:rPr>
              <w:t>CYP with</w:t>
            </w:r>
            <w:r w:rsidR="00406F4D">
              <w:rPr>
                <w:rFonts w:eastAsia="Arial" w:cstheme="minorHAnsi"/>
                <w:color w:val="000000"/>
                <w:kern w:val="24"/>
                <w:sz w:val="22"/>
                <w:szCs w:val="22"/>
                <w:lang w:eastAsia="en-GB"/>
              </w:rPr>
              <w:t xml:space="preserve"> </w:t>
            </w:r>
            <w:r>
              <w:rPr>
                <w:rFonts w:eastAsia="Arial" w:cstheme="minorHAnsi"/>
                <w:color w:val="000000"/>
                <w:kern w:val="24"/>
                <w:sz w:val="22"/>
                <w:szCs w:val="22"/>
                <w:lang w:eastAsia="en-GB"/>
              </w:rPr>
              <w:t>C3G or IC-MPGN</w:t>
            </w:r>
            <w:r w:rsidRPr="00D20CBA">
              <w:rPr>
                <w:rFonts w:eastAsia="Arial" w:cstheme="minorHAnsi"/>
                <w:color w:val="000000"/>
                <w:kern w:val="24"/>
                <w:sz w:val="22"/>
                <w:szCs w:val="22"/>
                <w:lang w:eastAsia="en-GB"/>
              </w:rPr>
              <w:t xml:space="preserve"> </w:t>
            </w:r>
            <w:r w:rsidR="00406F4D">
              <w:rPr>
                <w:rFonts w:eastAsia="Arial" w:cstheme="minorHAnsi"/>
                <w:color w:val="000000"/>
                <w:kern w:val="24"/>
                <w:sz w:val="22"/>
                <w:szCs w:val="22"/>
                <w:lang w:eastAsia="en-GB"/>
              </w:rPr>
              <w:t xml:space="preserve">that is categorised as moderate or severe </w:t>
            </w:r>
            <w:r>
              <w:rPr>
                <w:rFonts w:eastAsia="Arial" w:cstheme="minorHAnsi"/>
                <w:color w:val="000000"/>
                <w:kern w:val="24"/>
                <w:sz w:val="22"/>
                <w:szCs w:val="22"/>
                <w:lang w:eastAsia="en-GB"/>
              </w:rPr>
              <w:t>are</w:t>
            </w:r>
            <w:r w:rsidRPr="00D20CBA">
              <w:rPr>
                <w:rFonts w:eastAsia="Arial" w:cstheme="minorHAnsi"/>
                <w:color w:val="000000"/>
                <w:kern w:val="24"/>
                <w:sz w:val="22"/>
                <w:szCs w:val="22"/>
                <w:lang w:eastAsia="en-GB"/>
              </w:rPr>
              <w:t xml:space="preserve"> treated with immunosuppressive treatment using the following</w:t>
            </w:r>
            <w:r w:rsidR="00406F4D">
              <w:rPr>
                <w:rFonts w:eastAsia="Arial" w:cstheme="minorHAnsi"/>
                <w:color w:val="000000"/>
                <w:kern w:val="24"/>
                <w:sz w:val="22"/>
                <w:szCs w:val="22"/>
                <w:lang w:eastAsia="en-GB"/>
              </w:rPr>
              <w:t xml:space="preserve"> as first line </w:t>
            </w:r>
            <w:proofErr w:type="gramStart"/>
            <w:r w:rsidR="00406F4D">
              <w:rPr>
                <w:rFonts w:eastAsia="Arial" w:cstheme="minorHAnsi"/>
                <w:color w:val="000000"/>
                <w:kern w:val="24"/>
                <w:sz w:val="22"/>
                <w:szCs w:val="22"/>
                <w:lang w:eastAsia="en-GB"/>
              </w:rPr>
              <w:t>treatment</w:t>
            </w:r>
            <w:r w:rsidRPr="00D20CBA">
              <w:rPr>
                <w:rFonts w:eastAsia="Arial" w:cstheme="minorHAnsi"/>
                <w:color w:val="000000"/>
                <w:kern w:val="24"/>
                <w:sz w:val="22"/>
                <w:szCs w:val="22"/>
                <w:lang w:eastAsia="en-GB"/>
              </w:rPr>
              <w:t>;</w:t>
            </w:r>
            <w:proofErr w:type="gramEnd"/>
            <w:r w:rsidRPr="00D20CBA">
              <w:rPr>
                <w:rFonts w:eastAsia="Arial" w:cstheme="minorHAnsi"/>
                <w:color w:val="000000"/>
                <w:kern w:val="24"/>
                <w:sz w:val="22"/>
                <w:szCs w:val="22"/>
                <w:lang w:eastAsia="en-GB"/>
              </w:rPr>
              <w:t xml:space="preserve"> </w:t>
            </w:r>
          </w:p>
          <w:p w14:paraId="778EAFBE" w14:textId="77777777" w:rsidR="006A3E89" w:rsidRDefault="006A3E89" w:rsidP="006A3E89">
            <w:pPr>
              <w:pStyle w:val="ListParagraph"/>
              <w:numPr>
                <w:ilvl w:val="0"/>
                <w:numId w:val="30"/>
              </w:numPr>
              <w:spacing w:line="360" w:lineRule="auto"/>
              <w:jc w:val="both"/>
              <w:rPr>
                <w:rFonts w:cstheme="minorHAnsi"/>
                <w:sz w:val="22"/>
                <w:szCs w:val="22"/>
              </w:rPr>
            </w:pPr>
            <w:r w:rsidRPr="00D20CBA">
              <w:rPr>
                <w:rFonts w:eastAsia="Arial" w:cstheme="minorHAnsi"/>
                <w:color w:val="000000"/>
                <w:kern w:val="24"/>
                <w:sz w:val="22"/>
                <w:szCs w:val="22"/>
                <w:lang w:eastAsia="en-GB"/>
              </w:rPr>
              <w:t>oral prednisone</w:t>
            </w:r>
          </w:p>
          <w:p w14:paraId="1FBEDC14" w14:textId="40024268" w:rsidR="00257E1D" w:rsidRPr="00FF7D83" w:rsidRDefault="006A3E89" w:rsidP="003F494F">
            <w:pPr>
              <w:pStyle w:val="ListParagraph"/>
              <w:numPr>
                <w:ilvl w:val="0"/>
                <w:numId w:val="30"/>
              </w:numPr>
              <w:spacing w:line="360" w:lineRule="auto"/>
              <w:jc w:val="both"/>
              <w:rPr>
                <w:rFonts w:cstheme="minorHAnsi"/>
                <w:sz w:val="22"/>
                <w:szCs w:val="22"/>
              </w:rPr>
            </w:pPr>
            <w:r w:rsidRPr="00FF7D83">
              <w:rPr>
                <w:rFonts w:eastAsia="Arial" w:cstheme="minorHAnsi"/>
                <w:color w:val="000000"/>
                <w:kern w:val="24"/>
                <w:sz w:val="22"/>
                <w:szCs w:val="22"/>
              </w:rPr>
              <w:t>oral mycophenolate mofetil.</w:t>
            </w:r>
          </w:p>
        </w:tc>
        <w:tc>
          <w:tcPr>
            <w:tcW w:w="1701" w:type="dxa"/>
          </w:tcPr>
          <w:p w14:paraId="780DABED" w14:textId="25E3E34B" w:rsidR="00257E1D" w:rsidRPr="00C00DD6" w:rsidRDefault="001630D4" w:rsidP="003F494F">
            <w:pPr>
              <w:spacing w:line="360" w:lineRule="auto"/>
              <w:jc w:val="center"/>
              <w:rPr>
                <w:rFonts w:cstheme="minorHAnsi"/>
                <w:b/>
                <w:sz w:val="22"/>
                <w:szCs w:val="22"/>
              </w:rPr>
            </w:pPr>
            <w:r>
              <w:rPr>
                <w:rFonts w:cstheme="minorHAnsi"/>
                <w:b/>
                <w:sz w:val="22"/>
                <w:szCs w:val="22"/>
              </w:rPr>
              <w:t>1C</w:t>
            </w:r>
          </w:p>
        </w:tc>
      </w:tr>
      <w:tr w:rsidR="00837E18" w14:paraId="025DB2BA" w14:textId="77777777" w:rsidTr="003D5CF4">
        <w:tc>
          <w:tcPr>
            <w:tcW w:w="965" w:type="dxa"/>
          </w:tcPr>
          <w:p w14:paraId="1CE342F6" w14:textId="766CF6D8" w:rsidR="00257E1D" w:rsidRPr="00C00DD6" w:rsidRDefault="001630D4" w:rsidP="003F494F">
            <w:pPr>
              <w:spacing w:line="360" w:lineRule="auto"/>
              <w:rPr>
                <w:rFonts w:cstheme="minorHAnsi"/>
                <w:sz w:val="22"/>
                <w:szCs w:val="22"/>
              </w:rPr>
            </w:pPr>
            <w:r>
              <w:rPr>
                <w:rFonts w:cstheme="minorHAnsi"/>
                <w:sz w:val="22"/>
                <w:szCs w:val="22"/>
              </w:rPr>
              <w:t>ICGN 7.4</w:t>
            </w:r>
          </w:p>
        </w:tc>
        <w:tc>
          <w:tcPr>
            <w:tcW w:w="7682" w:type="dxa"/>
          </w:tcPr>
          <w:p w14:paraId="10323E8B" w14:textId="37DBBC37" w:rsidR="00257E1D" w:rsidRPr="00C00DD6" w:rsidRDefault="001630D4" w:rsidP="003F494F">
            <w:pPr>
              <w:spacing w:line="360" w:lineRule="auto"/>
              <w:rPr>
                <w:rFonts w:eastAsiaTheme="minorEastAsia" w:cstheme="minorHAnsi"/>
                <w:color w:val="000000" w:themeColor="text1"/>
                <w:kern w:val="24"/>
                <w:sz w:val="22"/>
                <w:szCs w:val="22"/>
              </w:rPr>
            </w:pPr>
            <w:r w:rsidRPr="00764801">
              <w:rPr>
                <w:rFonts w:cstheme="minorHAnsi"/>
                <w:sz w:val="22"/>
                <w:szCs w:val="22"/>
                <w:u w:val="single"/>
              </w:rPr>
              <w:t>We suggest</w:t>
            </w:r>
            <w:r w:rsidRPr="00764801">
              <w:rPr>
                <w:rFonts w:cstheme="minorHAnsi"/>
                <w:sz w:val="22"/>
                <w:szCs w:val="22"/>
              </w:rPr>
              <w:t xml:space="preserve"> </w:t>
            </w:r>
            <w:r w:rsidR="007C4BBA">
              <w:rPr>
                <w:rFonts w:cstheme="minorHAnsi"/>
                <w:sz w:val="22"/>
                <w:szCs w:val="22"/>
              </w:rPr>
              <w:t xml:space="preserve">considering </w:t>
            </w:r>
            <w:r w:rsidRPr="00764801">
              <w:rPr>
                <w:rFonts w:cstheme="minorHAnsi"/>
                <w:sz w:val="22"/>
                <w:szCs w:val="22"/>
              </w:rPr>
              <w:t xml:space="preserve">the use of an additional immunosuppressive agent, such as rituximab </w:t>
            </w:r>
            <w:r w:rsidR="009F25AE">
              <w:rPr>
                <w:rFonts w:cstheme="minorHAnsi"/>
                <w:sz w:val="22"/>
                <w:szCs w:val="22"/>
              </w:rPr>
              <w:t xml:space="preserve">if </w:t>
            </w:r>
            <w:r w:rsidR="00AD454E">
              <w:rPr>
                <w:rFonts w:cstheme="minorHAnsi"/>
                <w:sz w:val="22"/>
                <w:szCs w:val="22"/>
              </w:rPr>
              <w:t xml:space="preserve">any of the following apply; </w:t>
            </w:r>
            <w:r w:rsidR="009F25AE">
              <w:rPr>
                <w:rFonts w:cstheme="minorHAnsi"/>
                <w:sz w:val="22"/>
                <w:szCs w:val="22"/>
              </w:rPr>
              <w:t xml:space="preserve">an </w:t>
            </w:r>
            <w:proofErr w:type="gramStart"/>
            <w:r w:rsidR="009F25AE">
              <w:rPr>
                <w:rFonts w:cstheme="minorHAnsi"/>
                <w:sz w:val="22"/>
                <w:szCs w:val="22"/>
              </w:rPr>
              <w:t>auto-antibody</w:t>
            </w:r>
            <w:proofErr w:type="gramEnd"/>
            <w:r w:rsidR="009F25AE">
              <w:rPr>
                <w:rFonts w:cstheme="minorHAnsi"/>
                <w:sz w:val="22"/>
                <w:szCs w:val="22"/>
              </w:rPr>
              <w:t xml:space="preserve"> is suspected to be contributing to disease activity </w:t>
            </w:r>
            <w:r w:rsidRPr="00764801">
              <w:rPr>
                <w:rFonts w:cstheme="minorHAnsi"/>
                <w:sz w:val="22"/>
                <w:szCs w:val="22"/>
              </w:rPr>
              <w:t>for patients with persistent disease activity, concerns about high-risk of disease progression, or inadequate response to initial therapy</w:t>
            </w:r>
            <w:r>
              <w:rPr>
                <w:rFonts w:cstheme="minorHAnsi"/>
                <w:sz w:val="22"/>
                <w:szCs w:val="22"/>
              </w:rPr>
              <w:t xml:space="preserve"> after 3-6 months</w:t>
            </w:r>
            <w:r w:rsidRPr="00764801">
              <w:rPr>
                <w:rFonts w:cstheme="minorHAnsi"/>
                <w:sz w:val="22"/>
                <w:szCs w:val="22"/>
              </w:rPr>
              <w:t>.</w:t>
            </w:r>
          </w:p>
        </w:tc>
        <w:tc>
          <w:tcPr>
            <w:tcW w:w="1701" w:type="dxa"/>
          </w:tcPr>
          <w:p w14:paraId="729612D7" w14:textId="3331DF48" w:rsidR="00257E1D" w:rsidRPr="00C00DD6" w:rsidRDefault="001630D4" w:rsidP="003F494F">
            <w:pPr>
              <w:spacing w:line="360" w:lineRule="auto"/>
              <w:jc w:val="center"/>
              <w:rPr>
                <w:rFonts w:cstheme="minorHAnsi"/>
                <w:b/>
                <w:sz w:val="22"/>
                <w:szCs w:val="22"/>
              </w:rPr>
            </w:pPr>
            <w:r>
              <w:rPr>
                <w:rFonts w:cstheme="minorHAnsi"/>
                <w:b/>
                <w:sz w:val="22"/>
                <w:szCs w:val="22"/>
              </w:rPr>
              <w:t>2C</w:t>
            </w:r>
          </w:p>
        </w:tc>
      </w:tr>
      <w:tr w:rsidR="00837E18" w14:paraId="08B11BC9" w14:textId="77777777" w:rsidTr="003D5CF4">
        <w:tc>
          <w:tcPr>
            <w:tcW w:w="965" w:type="dxa"/>
          </w:tcPr>
          <w:p w14:paraId="6FEE4710" w14:textId="46F4B6E7" w:rsidR="00F16F32" w:rsidRPr="00C00DD6" w:rsidRDefault="001630D4" w:rsidP="003F494F">
            <w:pPr>
              <w:spacing w:line="360" w:lineRule="auto"/>
              <w:rPr>
                <w:rFonts w:cstheme="minorHAnsi"/>
                <w:sz w:val="22"/>
                <w:szCs w:val="22"/>
              </w:rPr>
            </w:pPr>
            <w:r>
              <w:rPr>
                <w:rFonts w:cstheme="minorHAnsi"/>
                <w:sz w:val="22"/>
                <w:szCs w:val="22"/>
              </w:rPr>
              <w:t>ICGN 7.</w:t>
            </w:r>
            <w:r w:rsidR="00C75442">
              <w:rPr>
                <w:rFonts w:cstheme="minorHAnsi"/>
                <w:sz w:val="22"/>
                <w:szCs w:val="22"/>
              </w:rPr>
              <w:t>5</w:t>
            </w:r>
          </w:p>
        </w:tc>
        <w:tc>
          <w:tcPr>
            <w:tcW w:w="7682" w:type="dxa"/>
          </w:tcPr>
          <w:p w14:paraId="23291E96" w14:textId="56B2D8F8" w:rsidR="00F16F32" w:rsidRPr="00FF7D83" w:rsidRDefault="001630D4" w:rsidP="003F494F">
            <w:pPr>
              <w:spacing w:line="360" w:lineRule="auto"/>
              <w:jc w:val="both"/>
              <w:rPr>
                <w:rFonts w:cstheme="minorHAnsi"/>
                <w:sz w:val="22"/>
                <w:szCs w:val="22"/>
              </w:rPr>
            </w:pPr>
            <w:r w:rsidRPr="00FF7D83">
              <w:rPr>
                <w:rFonts w:eastAsiaTheme="minorEastAsia" w:cstheme="minorHAnsi"/>
                <w:color w:val="000000" w:themeColor="text1"/>
                <w:kern w:val="24"/>
                <w:sz w:val="22"/>
                <w:szCs w:val="22"/>
                <w:u w:val="single"/>
              </w:rPr>
              <w:t>We suggest</w:t>
            </w:r>
            <w:r w:rsidRPr="00FF7D83">
              <w:rPr>
                <w:rFonts w:eastAsiaTheme="minorEastAsia" w:cstheme="minorHAnsi"/>
                <w:color w:val="000000" w:themeColor="text1"/>
                <w:kern w:val="24"/>
                <w:sz w:val="22"/>
                <w:szCs w:val="22"/>
              </w:rPr>
              <w:t xml:space="preserve"> consideration of </w:t>
            </w:r>
            <w:r w:rsidR="009F25AE">
              <w:rPr>
                <w:rFonts w:eastAsiaTheme="minorEastAsia" w:cstheme="minorHAnsi"/>
                <w:color w:val="000000" w:themeColor="text1"/>
                <w:kern w:val="24"/>
                <w:sz w:val="22"/>
                <w:szCs w:val="22"/>
              </w:rPr>
              <w:t xml:space="preserve">emerging complement inhibitors, </w:t>
            </w:r>
            <w:r w:rsidRPr="00FF7D83">
              <w:rPr>
                <w:rFonts w:eastAsiaTheme="minorEastAsia" w:cstheme="minorHAnsi"/>
                <w:color w:val="000000" w:themeColor="text1"/>
                <w:kern w:val="24"/>
                <w:sz w:val="22"/>
                <w:szCs w:val="22"/>
              </w:rPr>
              <w:t xml:space="preserve">recruitment to clinical trials, off-label treatments available for adults, or the compassionate use of agents under evaluation, in children who have failed to </w:t>
            </w:r>
            <w:r w:rsidR="009F25AE">
              <w:rPr>
                <w:rFonts w:eastAsiaTheme="minorEastAsia" w:cstheme="minorHAnsi"/>
                <w:color w:val="000000" w:themeColor="text1"/>
                <w:kern w:val="24"/>
                <w:sz w:val="22"/>
                <w:szCs w:val="22"/>
              </w:rPr>
              <w:t>achieve adequate response</w:t>
            </w:r>
            <w:r w:rsidRPr="00FF7D83">
              <w:rPr>
                <w:rFonts w:eastAsiaTheme="minorEastAsia" w:cstheme="minorHAnsi"/>
                <w:color w:val="000000" w:themeColor="text1"/>
                <w:kern w:val="24"/>
                <w:sz w:val="22"/>
                <w:szCs w:val="22"/>
              </w:rPr>
              <w:t>.</w:t>
            </w:r>
          </w:p>
        </w:tc>
        <w:tc>
          <w:tcPr>
            <w:tcW w:w="1701" w:type="dxa"/>
          </w:tcPr>
          <w:p w14:paraId="7B871803" w14:textId="68FC0AC8" w:rsidR="00F16F32" w:rsidRPr="00C00DD6" w:rsidRDefault="001630D4" w:rsidP="003F494F">
            <w:pPr>
              <w:spacing w:line="360" w:lineRule="auto"/>
              <w:jc w:val="center"/>
              <w:rPr>
                <w:rFonts w:cstheme="minorHAnsi"/>
                <w:b/>
                <w:sz w:val="22"/>
                <w:szCs w:val="22"/>
              </w:rPr>
            </w:pPr>
            <w:r>
              <w:rPr>
                <w:rFonts w:cstheme="minorHAnsi"/>
                <w:b/>
                <w:sz w:val="22"/>
                <w:szCs w:val="22"/>
              </w:rPr>
              <w:t>2D</w:t>
            </w:r>
          </w:p>
        </w:tc>
      </w:tr>
    </w:tbl>
    <w:p w14:paraId="3170CEB8" w14:textId="77777777" w:rsidR="00257E1D" w:rsidRPr="00C00DD6" w:rsidRDefault="00257E1D" w:rsidP="003F494F">
      <w:pPr>
        <w:spacing w:line="360" w:lineRule="auto"/>
        <w:rPr>
          <w:rFonts w:cstheme="minorHAnsi"/>
          <w:b/>
          <w:bCs/>
          <w:sz w:val="22"/>
          <w:szCs w:val="22"/>
        </w:rPr>
      </w:pPr>
    </w:p>
    <w:p w14:paraId="1011F160" w14:textId="77777777" w:rsidR="002D1F71" w:rsidRDefault="001630D4" w:rsidP="003F494F">
      <w:pPr>
        <w:spacing w:line="360" w:lineRule="auto"/>
        <w:rPr>
          <w:rFonts w:cstheme="minorHAnsi"/>
          <w:b/>
          <w:bCs/>
          <w:sz w:val="22"/>
          <w:szCs w:val="22"/>
        </w:rPr>
      </w:pPr>
      <w:r w:rsidRPr="00C00DD6">
        <w:rPr>
          <w:rFonts w:cstheme="minorHAnsi"/>
          <w:b/>
          <w:bCs/>
          <w:sz w:val="22"/>
          <w:szCs w:val="22"/>
        </w:rPr>
        <w:t>Rationale</w:t>
      </w:r>
    </w:p>
    <w:p w14:paraId="2C765177" w14:textId="31320159" w:rsidR="00257E1D" w:rsidRPr="002D1F71" w:rsidRDefault="001630D4" w:rsidP="003F494F">
      <w:pPr>
        <w:spacing w:line="360" w:lineRule="auto"/>
        <w:jc w:val="both"/>
        <w:rPr>
          <w:rFonts w:cstheme="minorHAnsi"/>
          <w:b/>
          <w:bCs/>
          <w:sz w:val="22"/>
          <w:szCs w:val="22"/>
        </w:rPr>
      </w:pPr>
      <w:r w:rsidRPr="002D1F71">
        <w:rPr>
          <w:rFonts w:cstheme="minorHAnsi"/>
          <w:sz w:val="22"/>
          <w:szCs w:val="22"/>
        </w:rPr>
        <w:t xml:space="preserve">The management of these conditions </w:t>
      </w:r>
      <w:r w:rsidR="00D559BD">
        <w:rPr>
          <w:rFonts w:cstheme="minorHAnsi"/>
          <w:sz w:val="22"/>
          <w:szCs w:val="22"/>
        </w:rPr>
        <w:t xml:space="preserve">in children and young people </w:t>
      </w:r>
      <w:r w:rsidRPr="002D1F71">
        <w:rPr>
          <w:rFonts w:cstheme="minorHAnsi"/>
          <w:sz w:val="22"/>
          <w:szCs w:val="22"/>
        </w:rPr>
        <w:t>are similar to adults</w:t>
      </w:r>
      <w:r w:rsidR="00D559BD">
        <w:rPr>
          <w:rFonts w:cstheme="minorHAnsi"/>
          <w:sz w:val="22"/>
          <w:szCs w:val="22"/>
        </w:rPr>
        <w:t>,</w:t>
      </w:r>
      <w:r w:rsidRPr="002D1F71">
        <w:rPr>
          <w:rFonts w:cstheme="minorHAnsi"/>
          <w:sz w:val="22"/>
          <w:szCs w:val="22"/>
        </w:rPr>
        <w:t xml:space="preserve"> and relatively consistent in the literature </w:t>
      </w:r>
      <w:r w:rsidRPr="002D1F71">
        <w:rPr>
          <w:rFonts w:cstheme="minorHAnsi"/>
          <w:sz w:val="22"/>
          <w:szCs w:val="22"/>
        </w:rPr>
        <w:fldChar w:fldCharType="begin"/>
      </w:r>
      <w:r w:rsidR="00642970">
        <w:rPr>
          <w:rFonts w:cstheme="minorHAnsi"/>
          <w:sz w:val="22"/>
          <w:szCs w:val="22"/>
        </w:rPr>
        <w:instrText xml:space="preserve"> ADDIN ZOTERO_ITEM CSL_CITATION {"citationID":"lF9CUnFb","properties":{"formattedCitation":"(5)","plainCitation":"(5)","noteIndex":0},"citationItems":[{"id":11,"uris":["http://zotero.org/users/local/lvPLY4Gu/items/PZVAFVT2"],"itemData":{"id":11,"type":"article-journal","container-title":"Kidney International","DOI":"10.1016/j.kint.2021.05.021","ISSN":"1523-1755","issue":"4S","journalAbbreviation":"Kidney Int","language":"eng","note":"PMID: 34556256","page":"S1-S276","source":"PubMed","title":"KDIGO 2021 Clinical Practice Guideline for the Management of Glomerular Diseases","volume":"100","author":[{"literal":"Kidney Disease: Improving Global Outcomes (KDIGO) Glomerular Diseases Work Group"}],"issued":{"date-parts":[["2021",10]]}}}],"schema":"https://github.com/citation-style-language/schema/raw/master/csl-citation.json"} </w:instrText>
      </w:r>
      <w:r w:rsidRPr="002D1F71">
        <w:rPr>
          <w:rFonts w:cstheme="minorHAnsi"/>
          <w:sz w:val="22"/>
          <w:szCs w:val="22"/>
        </w:rPr>
        <w:fldChar w:fldCharType="separate"/>
      </w:r>
      <w:r w:rsidR="00642970">
        <w:rPr>
          <w:rFonts w:cstheme="minorHAnsi"/>
          <w:noProof/>
          <w:sz w:val="22"/>
          <w:szCs w:val="22"/>
        </w:rPr>
        <w:t>(5)</w:t>
      </w:r>
      <w:r w:rsidRPr="002D1F71">
        <w:rPr>
          <w:rFonts w:cstheme="minorHAnsi"/>
          <w:sz w:val="22"/>
          <w:szCs w:val="22"/>
        </w:rPr>
        <w:fldChar w:fldCharType="end"/>
      </w:r>
      <w:r w:rsidRPr="002D1F71">
        <w:rPr>
          <w:rFonts w:cstheme="minorHAnsi"/>
          <w:sz w:val="22"/>
          <w:szCs w:val="22"/>
        </w:rPr>
        <w:t>.</w:t>
      </w:r>
      <w:r>
        <w:rPr>
          <w:rFonts w:cstheme="minorHAnsi"/>
          <w:sz w:val="22"/>
          <w:szCs w:val="22"/>
        </w:rPr>
        <w:t xml:space="preserve"> </w:t>
      </w:r>
      <w:r w:rsidR="00EC2D96">
        <w:rPr>
          <w:rFonts w:cstheme="minorHAnsi"/>
          <w:sz w:val="22"/>
          <w:szCs w:val="22"/>
        </w:rPr>
        <w:t xml:space="preserve">Mild patients are managed for proteinuria only with progression to immunosuppression if more significant clinical features </w:t>
      </w:r>
      <w:r w:rsidR="00EC2D96">
        <w:rPr>
          <w:rFonts w:cstheme="minorHAnsi"/>
          <w:sz w:val="22"/>
          <w:szCs w:val="22"/>
        </w:rPr>
        <w:fldChar w:fldCharType="begin"/>
      </w:r>
      <w:r w:rsidR="00642970">
        <w:rPr>
          <w:rFonts w:cstheme="minorHAnsi"/>
          <w:sz w:val="22"/>
          <w:szCs w:val="22"/>
        </w:rPr>
        <w:instrText xml:space="preserve"> ADDIN ZOTERO_ITEM CSL_CITATION {"citationID":"eXuBPvhc","properties":{"formattedCitation":"(110)","plainCitation":"(110)","noteIndex":0},"citationItems":[{"id":172,"uris":["http://zotero.org/users/local/lvPLY4Gu/items/XB9AM46H"],"itemData":{"id":172,"type":"article-journal","abstract":"Background: C3 glomerulopathy (C3G) is an uncommon disease characterized by the deposition of complement factors in the glomeruli due to overactivation and dysregulation of the alternative pathway of complement.Objectives: This study aimed to describe the clinicopathological features, laboratory testing, clinical course, treatment, and outcomes of pediatric patients with C3G.Patients and Methods: We reviewed retrospectively the laboratory testing, kidney biopsy reports, and clinical features of 18 patients at our hospital from 2007 to 2019.Results: There were 18 cases, and the majority of the patients were girls (61.1%). The mean age at diagnosis was 11.3 ± 3.7 (5-17) years, and nephritic-nephrotic syndrome presentation in patients was more common (11 cases, 61.1%). Hematuria was found in 66.7% of the patients, of which the majority had microscopic hematuria (58.3%). Hypertension was observed in 10 (55.6%) patients. The mean glomerular filtration rate (eGFR) was 95.7 ± 47.3 mL/min/1.73 m2, and 24-h urinary protein excretion was 76.2 ± 48.6 mg/m2/h. Sixteen patients (88.9%) received renin-angiotensin-aldosterone system blockers (RASB), and two of them were taking RASB only. The majority of patients (83.3%) were treated with immunosuppressive therapy. Eculizumab was also given to one of them. At the last follow-up, two patients had levels of less than 60 mL/min/1.73 m2 for eGFR. Seven patients with immunosuppressive treatment achieved complete remission.Conclusion: C3G shows a variable clinical presentation and response to immunosuppressive therapy. In the present study, we observed that the most common presentation was nephritic and/or nephrotic syndrome and partially responded to treatment to RASB and immunosuppressants.","container-title":"Acta Clinica Belgica","DOI":"10.1080/17843286.2020.1713450","ISSN":"2295-3337","issue":"4","journalAbbreviation":"Acta Clin Belg","language":"eng","note":"PMID: 31914901","page":"253-257","source":"PubMed","title":"C3 glomerulopathy: experience of a pediatric nephrology center","title-short":"C3 glomerulopathy","volume":"76","author":[{"family":"Yazılıtaş","given":"Fatma"},{"family":"Kargın Çakıcı","given":"Evrim"},{"family":"Kurt Şükür","given":"Eda Didem"},{"family":"Can","given":"Gökçe"},{"family":"Güngör","given":"Tülin"},{"family":"Orhan","given":"Diclehan"},{"family":"Bülbül","given":"Mehmet"}],"issued":{"date-parts":[["2021",8]]}}}],"schema":"https://github.com/citation-style-language/schema/raw/master/csl-citation.json"} </w:instrText>
      </w:r>
      <w:r w:rsidR="00EC2D96">
        <w:rPr>
          <w:rFonts w:cstheme="minorHAnsi"/>
          <w:sz w:val="22"/>
          <w:szCs w:val="22"/>
        </w:rPr>
        <w:fldChar w:fldCharType="separate"/>
      </w:r>
      <w:r w:rsidR="00642970">
        <w:rPr>
          <w:rFonts w:cstheme="minorHAnsi"/>
          <w:noProof/>
          <w:sz w:val="22"/>
          <w:szCs w:val="22"/>
        </w:rPr>
        <w:t>(110)</w:t>
      </w:r>
      <w:r w:rsidR="00EC2D96">
        <w:rPr>
          <w:rFonts w:cstheme="minorHAnsi"/>
          <w:sz w:val="22"/>
          <w:szCs w:val="22"/>
        </w:rPr>
        <w:fldChar w:fldCharType="end"/>
      </w:r>
      <w:r w:rsidR="00EC2D96">
        <w:rPr>
          <w:rFonts w:cstheme="minorHAnsi"/>
          <w:sz w:val="22"/>
          <w:szCs w:val="22"/>
        </w:rPr>
        <w:t xml:space="preserve">. </w:t>
      </w:r>
      <w:r w:rsidR="00346311" w:rsidRPr="002D1F71">
        <w:rPr>
          <w:rFonts w:cstheme="minorHAnsi"/>
          <w:color w:val="181818"/>
          <w:sz w:val="22"/>
          <w:szCs w:val="22"/>
        </w:rPr>
        <w:t xml:space="preserve">Observational data </w:t>
      </w:r>
      <w:r w:rsidR="007C4BBA" w:rsidRPr="002D1F71">
        <w:rPr>
          <w:rFonts w:cstheme="minorHAnsi"/>
          <w:color w:val="181818"/>
          <w:sz w:val="22"/>
          <w:szCs w:val="22"/>
        </w:rPr>
        <w:t xml:space="preserve">and international guidance report </w:t>
      </w:r>
      <w:r w:rsidR="00346311" w:rsidRPr="002D1F71">
        <w:rPr>
          <w:rFonts w:cstheme="minorHAnsi"/>
          <w:color w:val="181818"/>
          <w:sz w:val="22"/>
          <w:szCs w:val="22"/>
        </w:rPr>
        <w:t xml:space="preserve">that MMF </w:t>
      </w:r>
      <w:r w:rsidR="00522775" w:rsidRPr="002D1F71">
        <w:rPr>
          <w:rFonts w:cstheme="minorHAnsi"/>
          <w:color w:val="181818"/>
          <w:sz w:val="22"/>
          <w:szCs w:val="22"/>
        </w:rPr>
        <w:t xml:space="preserve">together with </w:t>
      </w:r>
      <w:r w:rsidR="00522775" w:rsidRPr="002D1F71">
        <w:rPr>
          <w:rFonts w:cstheme="minorHAnsi"/>
          <w:color w:val="181818"/>
          <w:sz w:val="22"/>
          <w:szCs w:val="22"/>
        </w:rPr>
        <w:lastRenderedPageBreak/>
        <w:t xml:space="preserve">corticosteroids </w:t>
      </w:r>
      <w:r w:rsidR="00346311" w:rsidRPr="002D1F71">
        <w:rPr>
          <w:rFonts w:cstheme="minorHAnsi"/>
          <w:color w:val="181818"/>
          <w:sz w:val="22"/>
          <w:szCs w:val="22"/>
        </w:rPr>
        <w:t>decrease</w:t>
      </w:r>
      <w:r w:rsidR="00346311" w:rsidRPr="00C00DD6">
        <w:rPr>
          <w:rFonts w:cstheme="minorHAnsi"/>
          <w:color w:val="181818"/>
          <w:sz w:val="22"/>
          <w:szCs w:val="22"/>
        </w:rPr>
        <w:t xml:space="preserve"> progression to kidney failure compared to other immunosuppressives</w:t>
      </w:r>
      <w:r w:rsidR="007C4BBA">
        <w:rPr>
          <w:rFonts w:cstheme="minorHAnsi"/>
          <w:color w:val="181818"/>
          <w:sz w:val="22"/>
          <w:szCs w:val="22"/>
        </w:rPr>
        <w:t xml:space="preserve"> </w:t>
      </w:r>
      <w:r w:rsidR="007C4BBA">
        <w:rPr>
          <w:rFonts w:cstheme="minorHAnsi"/>
          <w:color w:val="181818"/>
          <w:sz w:val="22"/>
          <w:szCs w:val="22"/>
        </w:rPr>
        <w:fldChar w:fldCharType="begin"/>
      </w:r>
      <w:r w:rsidR="00642970">
        <w:rPr>
          <w:rFonts w:cstheme="minorHAnsi"/>
          <w:color w:val="181818"/>
          <w:sz w:val="22"/>
          <w:szCs w:val="22"/>
        </w:rPr>
        <w:instrText xml:space="preserve"> ADDIN ZOTERO_ITEM CSL_CITATION {"citationID":"2jfCA8uD","properties":{"formattedCitation":"(5,100\\uc0\\u8211{}102,106,108,109,112)","plainCitation":"(5,100–102,106,108,109,112)","noteIndex":0},"citationItems":[{"id":11,"uris":["http://zotero.org/users/local/lvPLY4Gu/items/PZVAFVT2"],"itemData":{"id":11,"type":"article-journal","container-title":"Kidney International","DOI":"10.1016/j.kint.2021.05.021","ISSN":"1523-1755","issue":"4S","journalAbbreviation":"Kidney Int","language":"eng","note":"PMID: 34556256","page":"S1-S276","source":"PubMed","title":"KDIGO 2021 Clinical Practice Guideline for the Management of Glomerular Diseases","volume":"100","author":[{"literal":"Kidney Disease: Improving Global Outcomes (KDIGO) Glomerular Diseases Work Group"}],"issued":{"date-parts":[["2021",10]]}}},{"id":149,"uris":["http://zotero.org/users/local/lvPLY4Gu/items/REP2KSSN"],"itemData":{"id":149,"type":"article-journal","abstract":"BACKGROUND: C3 glomerulopathy (C3G) is characterized by predominant C3 deposits in glomeruli and dysregulation of the alternative pathway of complement. Half of C3G patients have a C3 nephritic factor (C3NeF). C3G incorporated entities with a range of features on microscopy including dense deposit diseases (DDD) and C3 glomerulonephritis (C3GN). The aim of this work was to study children cases of C3G associated with C3NeF.\nMETHODS: We reviewed 18 cases of C3G with a childhood onset associated with C3NeF without identified mutations in CFH, CFI, and MCP genes.\nRESULTS: Clinical histories started with recurrent hematuria for seven patients, nephrotic syndrome for four, acute post-infectious glomerulonephritis for three and acute renal failure for four. Twelve patients had a low C3 at first investigation. Kidney biopsy showed ten C3GN and eight DDD. Twenty-three percent of the patients tested presented elevated sC5b9. Seven patients relapsed 3 to 6 years after the onset. At the end of follow-up, two patients were under dialysis, 11 had a persistent proteinuria, five had none; four patients did not follow any treatment. Steroids were first used in 80 % of cases.\nCONCLUSIONS: C3NeF associated C3G has a heterogeneous presentation and outcome. Anti-proteinuric agents may control the disease during follow-up, even after nephrotic syndrome at the onset. The efficiency of immunosuppressive therapy remains questionable.","container-title":"Pediatric Nephrology (Berlin, Germany)","DOI":"10.1007/s00467-013-2605-6","ISSN":"1432-198X","issue":"1","journalAbbreviation":"Pediatr Nephrol","language":"eng","note":"PMID: 24068526","page":"85-94","source":"PubMed","title":"C3 nephritic factor associated with C3 glomerulopathy in children","volume":"29","author":[{"family":"Nicolas","given":"Camille"},{"family":"Vuiblet","given":"Vincent"},{"family":"Baudouin","given":"Veronique"},{"family":"Macher","given":"Marie-Alice"},{"family":"Vrillon","given":"Isabele"},{"family":"Biebuyck-Gouge","given":"Nathalie"},{"family":"Dehennault","given":"Maud"},{"family":"Gié","given":"Sophie"},{"family":"Morin","given":"Denis"},{"family":"Nivet","given":"Hubert"},{"family":"Nobili","given":"François"},{"family":"Ulinski","given":"Tim"},{"family":"Ranchin","given":"Bruno"},{"family":"Marinozzi","given":"Maria Chiarra"},{"family":"Ngo","given":"Stéphanie"},{"family":"Frémeaux-Bacchi","given":"Véronique"},{"family":"Pietrement","given":"Christine"}],"issued":{"date-parts":[["2014",1]]}}},{"id":151,"uris":["http://zotero.org/users/local/lvPLY4Gu/items/YEL3LMDD"],"itemData":{"id":151,"type":"article-journal","abstract":"BACKGROUND AND OBJECTIVES: Membranoproliferative GN and C3 glomerulopathy are rare and overlapping disorders associated with dysregulation of the alternative complement pathway. Specific etiologic data for pediatric membranoproliferative GN/C3 glomerulopathy are lacking, and outcome data are based on retrospective studies without etiologic data.\nDESIGN, SETTING, PARTICIPANTS, &amp; MEASUREMENTS: A total of 80 prevalent pediatric patients with membranoproliferative GN/C3 glomerulopathy underwent detailed phenotyping and long-term follow-up within the National Registry of Rare Kidney Diseases (RaDaR). Risk factors for kidney survival were determined using a Cox proportional hazards model. Kidney and transplant graft survival was determined using the Kaplan-Meier method.\nRESULTS: Central histology review determined 39 patients with C3 glomerulopathy, 31 with immune-complex membranoproliferative GN, and ten with immune-complex GN. Patients were aged 2-15 (median, 9; interquartile range, 7-11) years. Median complement C3 and C4 levels were 0.31 g/L and 0.14 g/L, respectively; acquired (anticomplement autoantibodies) or genetic alternative pathway abnormalities were detected in 46% and 9% of patients, respectively, across all groups, including those with immune-complex GN. Median follow-up was 5.18 (interquartile range, 2.13-8.08) years. Eleven patients (14%) progressed to kidney failure, with nine transplants performed in eight patients, two of which failed due to recurrent disease. Presence of &gt;50% crescents on the initial biopsy specimen was the sole variable associated with kidney failure in multivariable analysis (hazard ratio, 6.2; 95% confidence interval, 1.05 to 36.6; P&lt;0.05). Three distinct C3 glomerulopathy prognostic groups were identified according to presenting eGFR and &gt;50% crescents on the initial biopsy specimen.\nCONCLUSIONS: Crescentic disease was a key risk factor associated with kidney failure in a national cohort of pediatric patients with membranoproliferative GN/C3 glomerulopathy and immune-complex GN. Presenting eGFR and crescentic disease help define prognostic groups in pediatric C3 glomerulopathy. Acquired abnormalities of the alternative pathway were commonly identified but not a risk factor for kidney failure.","container-title":"Clinical journal of the American Society of Nephrology: CJASN","DOI":"10.2215/CJN.00320121","ISSN":"1555-905X","issue":"11","journalAbbreviation":"Clin J Am Soc Nephrol","language":"eng","note":"PMID: 34551983\nPMCID: PMC8729419","page":"1639-1651","source":"PubMed","title":"C3 Glomerulopathy and Related Disorders in Children: Etiology-Phenotype Correlation and Outcomes","title-short":"C3 Glomerulopathy and Related Disorders in Children","volume":"16","author":[{"family":"Wong","given":"Edwin K. S."},{"family":"Marchbank","given":"Kevin J."},{"family":"Lomax-Browne","given":"Hannah"},{"family":"Pappworth","given":"Isabel Y."},{"family":"Denton","given":"Harriet"},{"family":"Cooke","given":"Katie"},{"family":"Ward","given":"Sophie"},{"family":"McLoughlin","given":"Amy-Claire"},{"family":"Richardson","given":"Grant"},{"family":"Wilson","given":"Valerie"},{"family":"Harris","given":"Claire L."},{"family":"Morgan","given":"B. Paul"},{"family":"Hakobyan","given":"Svetlana"},{"family":"McAlinden","given":"Paul"},{"family":"Gale","given":"Daniel P."},{"family":"Maxwell","given":"Heather"},{"family":"Christian","given":"Martin"},{"family":"Malcomson","given":"Roger"},{"family":"Goodship","given":"Timothy H. J."},{"family":"Marks","given":"Stephen D."},{"family":"Pickering","given":"Matthew C."},{"family":"Kavanagh","given":"David"},{"family":"Cook","given":"H. Terence"},{"family":"Johnson","given":"Sally A."},{"literal":"MPGN/DDD/C3 Glomerulopathy Rare Disease Group and National Study of MPGN/DDD/C3 Glomerulopathy Investigators"}],"issued":{"date-parts":[["2021",11]]}}},{"id":154,"uris":["http://zotero.org/users/local/lvPLY4Gu/items/3CVI8GC2"],"itemData":{"id":154,"type":"article-journal","abstract":"BACKGROUND: Complement component 3 glomerulopathy (C3G) is a disease with limited data in children. We aimed to compare childhood C3G cases with adults. We also studied subgroups of pediatric C3G and predictors of poor outcome.\nMETHODS: This is a 12-year retrospective, single-center cohort, observational study. All cases of C3G were defined based on the 2013 consensus guidelines.\nRESULTS: C3G was diagnosed in 162 patients (119 adults, 43 pediatric) predominantly affecting males. With varied light microscopic patterns, pediatric C3G cases were categorized as follows: 23 C3 glomerulonephritis (C3GN) and 11 dense deposit disease (DDD) on electron microscopy. The pediatric DDD patients were relatively younger with more severe disease at presentation (more crescents in biopsy) but with lesser chronicity in biopsy compared with pediatric C3GN patients; however, both had a similar outcome. On comparing pediatric and adult C3G cases, adults had lower median eGFR and a higher degree of chronicity in the biopsy. The prognosis of C3G was better in pediatric patients. Predictors of kidney failure in pediatric C3G were low eGFR (HR = 0.82, p = 0.05) and severe interstitial fibrosis/tubular atrophy (HR = 1.05, p = 0.02).\nCONCLUSIONS: Electron microscopy-based subgroups of pediatric C3G differ in clinical presentation and course of the disease but have similar prognosis and long-term outcomes. Pediatric C3G differs from adult C3G with respect to presentation, laboratory results, biopsy features, treatment, and outcome, and as such, it should be considered as a separate entity rather than a smaller version of adult C3G.","container-title":"Pediatric Nephrology (Berlin, Germany)","DOI":"10.1007/s00467-020-04768-0","ISSN":"1432-198X","issue":"3","journalAbbreviation":"Pediatr Nephrol","language":"eng","note":"PMID: 33000324","page":"601-610","source":"PubMed","title":"Pediatric C3 glomerulopathy: a 12-year single-center experience","title-short":"Pediatric C3 glomerulopathy","volume":"36","author":[{"family":"Zahir","given":"Zafirah"},{"family":"Wani","given":"Asif Sadiq"},{"family":"Gupta","given":"Amit"},{"family":"Agrawal","given":"Vinita"}],"issued":{"date-parts":[["2021",3]]}}},{"id":163,"uris":["http://zotero.org/users/local/lvPLY4Gu/items/PAMTJMCS"],"itemData":{"id":163,"type":"article-journal","abstract":"BACKGROUND: Membranoproliferative glomerulonephritis (MPGN) is a rare cause of glomerulopathy in children. Recently, a new classification based on immunohistological features has been established. Infections and anomalies in complement-regulating genes, leading to alternative complement pathway activation, are suspected to trigger the disease. Nevertheless, little is known about optimal treatment and outcome in children with immune-complex-MPGN (IC-MPGN) and C3-glomerulopathy (C3G).\nMETHODS: The method used is retrospective analysis of clinical, histological, and genetic characteristics of 14 pediatric patients with MPGN in two medical centers.\nRESULTS: Mean age of the patients was 10.6 ± 4.5 years. Patients were grouped into C3G (n = 6) and IC-MPGN (n = 8). One patient showed a likely pathogenic variant in the CFHR5 gene. All 10 patients had risk polymorphisms in complement-regulating genes. Most patients were treated with ACE inhibition, steroids, and mycophenolate mofetil. Three patients with C3G received eculizumab. Median follow-up was 2.3 years. After 1 year of disease, three patients (two C3G, one IC-MPGN) reached complete, five patients partial (three IC-MPGN, two C3G), and five patients no remission (four IC-MPGN, one C3G). One patient progressed to end-stage renal disease (ESRD) 6 years after disease onset.\nCONCLUSIONS: IC-MPGN and C3G are rare disorders in children. Most patients have signs of complement activation associated with risk polymorphisms or likely pathogenic variants in complement-regulating genes. Steroids and mycophenolate mofetil seem to be effective and for some patients, eculizumab might be a treatment option. Outcome is heterogeneous and precise differentiation between IC-MPGN and C3G is still pending.","container-title":"Pediatric Nephrology (Berlin, Germany)","DOI":"10.1007/s00467-018-4034-z","ISSN":"1432-198X","issue":"12","journalAbbreviation":"Pediatr Nephrol","language":"eng","note":"PMID: 30238151","page":"2289-2298","source":"PubMed","title":"Outcome of membranoproliferative glomerulonephritis and C3-glomerulopathy in children and adolescents","volume":"33","author":[{"family":"Holle","given":"Johannes"},{"family":"Berenberg-Goßler","given":"Lena"},{"family":"Wu","given":"Kaiyin"},{"family":"Beringer","given":"Ortraud"},{"family":"Kropp","given":"Florian"},{"family":"Müller","given":"Dominik"},{"family":"Thumfart","given":"Julia"}],"issued":{"date-parts":[["2018",12]]}}},{"id":167,"uris":["http://zotero.org/users/local/lvPLY4Gu/items/CVBMCS7Y"],"itemData":{"id":167,"type":"article-journal","abstract":"AIM: C3 glomerulonephritis (C3GN) is a recently described disease that is related to membranoproliferative glomerulonephritis (MPGN). We retrospectively compared the frequencies, clinical characteristics, treatment modalities, and outcomes of C3GN and MPGN in a cohort of Japanese children.\nMETHODS: Children who were pathologically diagnosed with MPGN (type I or III) in our hospital were divided into two groups based on immunofluorescence imaging of renal biopsies: children with MPGN induced by classical complement pathway activation (classical MPGN) and children with C3GN.\nRESULTS: Of 14 children with MPGN (five boys), four had classical MPGN, eight had C3GN, and two had unclassifiable glomerulonephritis. Four children with classical MPGN and seven with C3GN received methylprednisolone pulse therapy followed by oral prednisolone for 2 years (MPT+PSL therapy). Subsequently, six of seven children with C3GN received combined therapy (prednisolone, azathioprine, and anticoagulants) for 2 years because they responded poorly to MPT+PSL therapy. At the last follow-up visit, two children with classical MPGN and seven with C3GN had not achieved remission. One child with classical MPGN and five with C3GN had hypocomplementaemia at the last follow-up. None of the children had renal impairment.\nCONCLUSION: More than half of the patients previously diagnosed with MPGN fulfilled the criteria for C3GN in children. C3GN may be more refractory than classical MPGN to immunosuppressant therapy.","container-title":"Nephrology (Carlton, Vic.)","DOI":"10.1111/nep.12382","ISSN":"1440-1797","issue":"4","journalAbbreviation":"Nephrology (Carlton)","language":"eng","note":"PMID: 25524631","page":"286-292","source":"PubMed","title":"Membranoproliferative glomerulonephritis and C3 glomerulonephritis: frequency, clinical features, and outcome in children","title-short":"Membranoproliferative glomerulonephritis and C3 glomerulonephritis","volume":"20","author":[{"family":"Okuda","given":"Yusuke"},{"family":"Ishikura","given":"Kenji"},{"family":"Hamada","given":"Riku"},{"family":"Harada","given":"Ryoko"},{"family":"Sakai","given":"Tomoyuki"},{"family":"Hamasaki","given":"Yuko"},{"family":"Hataya","given":"Hiroshi"},{"family":"Fukuzawa","given":"Ryuji"},{"family":"Ogata","given":"Kentaro"},{"family":"Honda","given":"Masataka"}],"issued":{"date-parts":[["2015",4]]}}},{"id":169,"uris":["http://zotero.org/users/local/lvPLY4Gu/items/7JJTHU5G"],"itemData":{"id":169,"type":"article-journal","abstract":"INTRODUCTION: The reclassification of membranoproliferative glomerulonephritis (MPGN) into immune-complex MPGN (IC-MPGN) and C3 glomerulopathy (C3G) has provided insights into 2 distinct diseases. Although outcomes in adults are poor in both diseases, the pediatric literature is scarce and limited to small, single-center cohorts.\nMETHODS: We conducted a retrospective analysis of 165 pediatric patients across 17 hospitals to compare outcomes between children with IC-MPGN and C3G.\nRESULTS: Forty-two percent of patients initially diagnosed with MPGN were reclassified as C3G after a review of renal biopsy reports. There was a trend toward higher serum creatinine levels in patients with C3G compared with IC-MPGN both at diagnosis (mean 168.9 [range 45.4-292.4] vs. 93.7 [range 70.7-116.6] μmol/l, P = 0.25) and after a mean follow-up time of 4 years (mean 145.0 (range -8.1 to 298.1) vs 99.1 (range 46.3-151.9) μmol/l, P = 0.47), although the estimated glomerular filtration rate (eGFR) was not significantly different. Steroid treatment was associated with a significant improvement in eGFR versus no steroids in C3G (mean +43.0 (range 12.9-73.0) vs. -3.0 (range -23.1 to 17.2) ml/min per 1.73 m2, P = 0.02) but not in IC-MPGN. Overall kidney function was preserved in both groups although hypertension remained prevalent in 42.5% of the cohort at the last follow-up, and the urine protein/creatinine ratio remained elevated (mean 253.8 [range 91.9-415.7] mg/mmol).\nCONCLUSION: This large pediatric IC-MPGN/C3G cohort revealed nearly half of the patients were misclassified, and there may be a trend toward worse renal prognosis in C3G although they may have greater steroid responsiveness. The overall prognosis appears to be more favorable than in adults; however, persistent hypertension and proteinuria suggest suboptimal disease control.","container-title":"Kidney International Reports","DOI":"10.1016/j.ekir.2020.09.019","ISSN":"2468-0249","issue":"12","journalAbbreviation":"Kidney Int Rep","language":"eng","note":"PMID: 33305125\nPMCID: PMC7710848","page":"2313-2324","source":"PubMed","title":"Long-Term Outcomes of C3 Glomerulopathy and Immune-Complex Membranoproliferative Glomerulonephritis in Children","volume":"5","author":[{"family":"Kirpalani","given":"Amrit"},{"family":"Jawa","given":"Natasha"},{"family":"Smoyer","given":"William E."},{"family":"Licht","given":"Christoph"},{"literal":"Midwest Pediatric Nephrology Consortium"}],"issued":{"date-parts":[["2020",12]]}}},{"id":177,"uris":["http://zotero.org/users/local/lvPLY4Gu/items/QMVLF5QB"],"itemData":{"id":177,"type":"article-journal","abstract":"BACKGROUND: Membranoproliferative glomerulonephritis (MPGN) can be divided into immune-complex MPGN (IC-MPGN) and C3 glomerulopathy (C3G), which includes dense deposit disease (DDD) and C3 glomerulonephritis (C3GN). These conditions result from abnormalities in different complement pathways and may lead to different prognoses. However, there are limited studies describing the respective clinical courses.\nMETHODS: In this study, Japanese pediatric patients diagnosed with MPGN based on kidney biopsies conducted between February 2002 and December 2022 were reclassified as having IC-MPGN or C3G (DDD or C3GN). We retrospectively analyzed the clinical characteristics and outcomes of these patients.\nRESULTS: Out of 25 patients with MPGN, three (12.0%) were diagnosed with DDD, 20 (80.0%) with C3GN, and two (8.0%) with IC-MPGN. There were 13 (65.0%) patients and one (33.3%) patient in remission after treatment for C3GN and DDD, respectively, and no patients with IC-MPGN achieved remission. The median follow-up period was 5.3 (2.5-8.9) years, and none of the patients in either group progressed to an estimated glomerular filtration rate &lt; 15 ml/min/1.73 m2. Patients with C3GN presenting mild to moderate proteinuria (n = 8) received a renin-angiotensin system inhibitor (RAS-I) alone, and these patients exhibited a significant decrease in the urinary protein creatinine ratio and a notable increase in serum C3 levels at the last follow-up.\nCONCLUSIONS: Most patients with MPGN were diagnosed with C3GN. The remission rate for C3GN was high, and no patients developed kidney failure during the approximately 5-year follow-up. Additionally, patients with C3GN with mild to moderate proteinuria had good outcomes with RAS-I alone, but continued vigilance is necessary to determine long-term prognosis.","container-title":"Pediatric Nephrology (Berlin, Germany)","DOI":"10.1007/s00467-024-06377-7","ISSN":"1432-198X","issue":"9","journalAbbreviation":"Pediatr Nephrol","language":"eng","note":"PMID: 38662234\nPMCID: PMC11272671","page":"2679-2689","source":"PubMed","title":"Clinical characteristics and outcomes of immune-complex membranoproliferative glomerulonephritis and C3 glomerulopathy in Japanese children","volume":"39","author":[{"family":"Ueda","given":"Chika"},{"family":"Horinouchi","given":"Tomoko"},{"family":"Inoki","given":"Yuta"},{"family":"Ichikawa","given":"Yuta"},{"family":"Tanaka","given":"Yu"},{"family":"Kitakado","given":"Hideaki"},{"family":"Kondo","given":"Atsushi"},{"family":"Sakakibara","given":"Nana"},{"family":"Nagano","given":"China"},{"family":"Yamamura","given":"Tomohiko"},{"family":"Fujimura","given":"Junya"},{"family":"Kamiyoshi","given":"Naohiro"},{"family":"Ishimori","given":"Shingo"},{"family":"Ninchoji","given":"Takeshi"},{"family":"Kaito","given":"Hiroshi"},{"family":"Shima","given":"Yuko"},{"family":"Iijima","given":"Kazumoto"},{"family":"Nozu","given":"Kandai"},{"family":"Yoshikawa","given":"Norishige"}],"issued":{"date-parts":[["2024",9]]}}}],"schema":"https://github.com/citation-style-language/schema/raw/master/csl-citation.json"} </w:instrText>
      </w:r>
      <w:r w:rsidR="007C4BBA">
        <w:rPr>
          <w:rFonts w:cstheme="minorHAnsi"/>
          <w:color w:val="181818"/>
          <w:sz w:val="22"/>
          <w:szCs w:val="22"/>
        </w:rPr>
        <w:fldChar w:fldCharType="separate"/>
      </w:r>
      <w:r w:rsidR="00642970" w:rsidRPr="00642970">
        <w:rPr>
          <w:rFonts w:ascii="Calibri" w:cs="Calibri"/>
          <w:color w:val="000000"/>
          <w:sz w:val="22"/>
        </w:rPr>
        <w:t>(5,100–102,106,108,109,112)</w:t>
      </w:r>
      <w:r w:rsidR="007C4BBA">
        <w:rPr>
          <w:rFonts w:cstheme="minorHAnsi"/>
          <w:color w:val="181818"/>
          <w:sz w:val="22"/>
          <w:szCs w:val="22"/>
        </w:rPr>
        <w:fldChar w:fldCharType="end"/>
      </w:r>
      <w:r w:rsidR="00346311" w:rsidRPr="00C00DD6">
        <w:rPr>
          <w:rFonts w:cstheme="minorHAnsi"/>
          <w:color w:val="181818"/>
          <w:sz w:val="22"/>
          <w:szCs w:val="22"/>
        </w:rPr>
        <w:t xml:space="preserve">. </w:t>
      </w:r>
      <w:r w:rsidR="00AD454E">
        <w:rPr>
          <w:rFonts w:cstheme="minorHAnsi"/>
          <w:color w:val="181818"/>
          <w:sz w:val="22"/>
          <w:szCs w:val="22"/>
        </w:rPr>
        <w:t>Beyond</w:t>
      </w:r>
      <w:r w:rsidR="00346311" w:rsidRPr="00C00DD6">
        <w:rPr>
          <w:rFonts w:cstheme="minorHAnsi"/>
          <w:color w:val="181818"/>
          <w:sz w:val="22"/>
          <w:szCs w:val="22"/>
        </w:rPr>
        <w:t xml:space="preserve"> MMF, treatment </w:t>
      </w:r>
      <w:r w:rsidR="007C4BBA">
        <w:rPr>
          <w:rFonts w:cstheme="minorHAnsi"/>
          <w:color w:val="181818"/>
          <w:sz w:val="22"/>
          <w:szCs w:val="22"/>
        </w:rPr>
        <w:t>options are</w:t>
      </w:r>
      <w:r w:rsidR="00346311" w:rsidRPr="00C00DD6">
        <w:rPr>
          <w:rFonts w:cstheme="minorHAnsi"/>
          <w:color w:val="181818"/>
          <w:sz w:val="22"/>
          <w:szCs w:val="22"/>
        </w:rPr>
        <w:t xml:space="preserve"> not clear</w:t>
      </w:r>
      <w:r w:rsidR="007C4BBA">
        <w:rPr>
          <w:rFonts w:cstheme="minorHAnsi"/>
          <w:color w:val="181818"/>
          <w:sz w:val="22"/>
          <w:szCs w:val="22"/>
        </w:rPr>
        <w:t xml:space="preserve"> </w:t>
      </w:r>
      <w:r>
        <w:rPr>
          <w:rFonts w:cstheme="minorHAnsi"/>
          <w:color w:val="181818"/>
          <w:sz w:val="22"/>
          <w:szCs w:val="22"/>
        </w:rPr>
        <w:t>therefore</w:t>
      </w:r>
      <w:r w:rsidR="007C4BBA">
        <w:rPr>
          <w:rFonts w:cstheme="minorHAnsi"/>
          <w:color w:val="181818"/>
          <w:sz w:val="22"/>
          <w:szCs w:val="22"/>
        </w:rPr>
        <w:t xml:space="preserve"> </w:t>
      </w:r>
      <w:r w:rsidR="00AD454E">
        <w:rPr>
          <w:rFonts w:cstheme="minorHAnsi"/>
          <w:color w:val="181818"/>
          <w:sz w:val="22"/>
          <w:szCs w:val="22"/>
        </w:rPr>
        <w:t>use of</w:t>
      </w:r>
      <w:r w:rsidR="007C4BBA">
        <w:rPr>
          <w:rFonts w:cstheme="minorHAnsi"/>
          <w:color w:val="181818"/>
          <w:sz w:val="22"/>
          <w:szCs w:val="22"/>
        </w:rPr>
        <w:t xml:space="preserve"> immunosuppressive agents used</w:t>
      </w:r>
      <w:r w:rsidR="00AD454E">
        <w:rPr>
          <w:rFonts w:cstheme="minorHAnsi"/>
          <w:color w:val="181818"/>
          <w:sz w:val="22"/>
          <w:szCs w:val="22"/>
        </w:rPr>
        <w:t xml:space="preserve"> for</w:t>
      </w:r>
      <w:r w:rsidR="007C4BBA">
        <w:rPr>
          <w:rFonts w:cstheme="minorHAnsi"/>
          <w:color w:val="181818"/>
          <w:sz w:val="22"/>
          <w:szCs w:val="22"/>
        </w:rPr>
        <w:t xml:space="preserve"> other subtypes of </w:t>
      </w:r>
      <w:r w:rsidR="002A4060">
        <w:rPr>
          <w:rFonts w:cstheme="minorHAnsi"/>
          <w:color w:val="181818"/>
          <w:sz w:val="22"/>
          <w:szCs w:val="22"/>
        </w:rPr>
        <w:t>IM-GD</w:t>
      </w:r>
      <w:r w:rsidR="007C4BBA">
        <w:rPr>
          <w:rFonts w:cstheme="minorHAnsi"/>
          <w:color w:val="181818"/>
          <w:sz w:val="22"/>
          <w:szCs w:val="22"/>
        </w:rPr>
        <w:t xml:space="preserve"> are reflect</w:t>
      </w:r>
      <w:r>
        <w:rPr>
          <w:rFonts w:cstheme="minorHAnsi"/>
          <w:color w:val="181818"/>
          <w:sz w:val="22"/>
          <w:szCs w:val="22"/>
        </w:rPr>
        <w:t>ed in</w:t>
      </w:r>
      <w:r w:rsidR="007C4BBA">
        <w:rPr>
          <w:rFonts w:cstheme="minorHAnsi"/>
          <w:color w:val="181818"/>
          <w:sz w:val="22"/>
          <w:szCs w:val="22"/>
        </w:rPr>
        <w:t xml:space="preserve"> real world evidence </w:t>
      </w:r>
      <w:r w:rsidR="007C4BBA">
        <w:rPr>
          <w:rFonts w:cstheme="minorHAnsi"/>
          <w:color w:val="181818"/>
          <w:sz w:val="22"/>
          <w:szCs w:val="22"/>
        </w:rPr>
        <w:fldChar w:fldCharType="begin"/>
      </w:r>
      <w:r w:rsidR="00642970">
        <w:rPr>
          <w:rFonts w:cstheme="minorHAnsi"/>
          <w:color w:val="181818"/>
          <w:sz w:val="22"/>
          <w:szCs w:val="22"/>
        </w:rPr>
        <w:instrText xml:space="preserve"> ADDIN ZOTERO_ITEM CSL_CITATION {"citationID":"hLnFQj6s","properties":{"formattedCitation":"(100)","plainCitation":"(100)","noteIndex":0},"citationItems":[{"id":149,"uris":["http://zotero.org/users/local/lvPLY4Gu/items/REP2KSSN"],"itemData":{"id":149,"type":"article-journal","abstract":"BACKGROUND: C3 glomerulopathy (C3G) is characterized by predominant C3 deposits in glomeruli and dysregulation of the alternative pathway of complement. Half of C3G patients have a C3 nephritic factor (C3NeF). C3G incorporated entities with a range of features on microscopy including dense deposit diseases (DDD) and C3 glomerulonephritis (C3GN). The aim of this work was to study children cases of C3G associated with C3NeF.\nMETHODS: We reviewed 18 cases of C3G with a childhood onset associated with C3NeF without identified mutations in CFH, CFI, and MCP genes.\nRESULTS: Clinical histories started with recurrent hematuria for seven patients, nephrotic syndrome for four, acute post-infectious glomerulonephritis for three and acute renal failure for four. Twelve patients had a low C3 at first investigation. Kidney biopsy showed ten C3GN and eight DDD. Twenty-three percent of the patients tested presented elevated sC5b9. Seven patients relapsed 3 to 6 years after the onset. At the end of follow-up, two patients were under dialysis, 11 had a persistent proteinuria, five had none; four patients did not follow any treatment. Steroids were first used in 80 % of cases.\nCONCLUSIONS: C3NeF associated C3G has a heterogeneous presentation and outcome. Anti-proteinuric agents may control the disease during follow-up, even after nephrotic syndrome at the onset. The efficiency of immunosuppressive therapy remains questionable.","container-title":"Pediatric Nephrology (Berlin, Germany)","DOI":"10.1007/s00467-013-2605-6","ISSN":"1432-198X","issue":"1","journalAbbreviation":"Pediatr Nephrol","language":"eng","note":"PMID: 24068526","page":"85-94","source":"PubMed","title":"C3 nephritic factor associated with C3 glomerulopathy in children","volume":"29","author":[{"family":"Nicolas","given":"Camille"},{"family":"Vuiblet","given":"Vincent"},{"family":"Baudouin","given":"Veronique"},{"family":"Macher","given":"Marie-Alice"},{"family":"Vrillon","given":"Isabele"},{"family":"Biebuyck-Gouge","given":"Nathalie"},{"family":"Dehennault","given":"Maud"},{"family":"Gié","given":"Sophie"},{"family":"Morin","given":"Denis"},{"family":"Nivet","given":"Hubert"},{"family":"Nobili","given":"François"},{"family":"Ulinski","given":"Tim"},{"family":"Ranchin","given":"Bruno"},{"family":"Marinozzi","given":"Maria Chiarra"},{"family":"Ngo","given":"Stéphanie"},{"family":"Frémeaux-Bacchi","given":"Véronique"},{"family":"Pietrement","given":"Christine"}],"issued":{"date-parts":[["2014",1]]}}}],"schema":"https://github.com/citation-style-language/schema/raw/master/csl-citation.json"} </w:instrText>
      </w:r>
      <w:r w:rsidR="007C4BBA">
        <w:rPr>
          <w:rFonts w:cstheme="minorHAnsi"/>
          <w:color w:val="181818"/>
          <w:sz w:val="22"/>
          <w:szCs w:val="22"/>
        </w:rPr>
        <w:fldChar w:fldCharType="separate"/>
      </w:r>
      <w:r w:rsidR="00642970">
        <w:rPr>
          <w:rFonts w:cstheme="minorHAnsi"/>
          <w:noProof/>
          <w:color w:val="181818"/>
          <w:sz w:val="22"/>
          <w:szCs w:val="22"/>
        </w:rPr>
        <w:t>(100)</w:t>
      </w:r>
      <w:r w:rsidR="007C4BBA">
        <w:rPr>
          <w:rFonts w:cstheme="minorHAnsi"/>
          <w:color w:val="181818"/>
          <w:sz w:val="22"/>
          <w:szCs w:val="22"/>
        </w:rPr>
        <w:fldChar w:fldCharType="end"/>
      </w:r>
      <w:r w:rsidR="00346311" w:rsidRPr="00C00DD6">
        <w:rPr>
          <w:rFonts w:cstheme="minorHAnsi"/>
          <w:color w:val="181818"/>
          <w:sz w:val="22"/>
          <w:szCs w:val="22"/>
        </w:rPr>
        <w:t>. </w:t>
      </w:r>
      <w:r w:rsidR="006A6594">
        <w:rPr>
          <w:rFonts w:cstheme="minorHAnsi"/>
          <w:color w:val="181818"/>
          <w:sz w:val="22"/>
          <w:szCs w:val="22"/>
        </w:rPr>
        <w:t xml:space="preserve">There remain unmet needs for this condition with clinical remission </w:t>
      </w:r>
      <w:r w:rsidR="0077347C">
        <w:rPr>
          <w:rFonts w:cstheme="minorHAnsi"/>
          <w:color w:val="181818"/>
          <w:sz w:val="22"/>
          <w:szCs w:val="22"/>
        </w:rPr>
        <w:t xml:space="preserve">achieved in </w:t>
      </w:r>
      <w:r w:rsidR="006A6594">
        <w:rPr>
          <w:rFonts w:cstheme="minorHAnsi"/>
          <w:color w:val="181818"/>
          <w:sz w:val="22"/>
          <w:szCs w:val="22"/>
        </w:rPr>
        <w:t xml:space="preserve">around </w:t>
      </w:r>
      <w:r w:rsidR="005F740F">
        <w:rPr>
          <w:rFonts w:cstheme="minorHAnsi"/>
          <w:color w:val="181818"/>
          <w:sz w:val="22"/>
          <w:szCs w:val="22"/>
        </w:rPr>
        <w:t xml:space="preserve">60% </w:t>
      </w:r>
      <w:r w:rsidR="005F740F">
        <w:rPr>
          <w:rFonts w:cstheme="minorHAnsi"/>
          <w:color w:val="181818"/>
          <w:sz w:val="22"/>
          <w:szCs w:val="22"/>
        </w:rPr>
        <w:fldChar w:fldCharType="begin"/>
      </w:r>
      <w:r w:rsidR="00642970">
        <w:rPr>
          <w:rFonts w:cstheme="minorHAnsi"/>
          <w:color w:val="181818"/>
          <w:sz w:val="22"/>
          <w:szCs w:val="22"/>
        </w:rPr>
        <w:instrText xml:space="preserve"> ADDIN ZOTERO_ITEM CSL_CITATION {"citationID":"zqKoqg61","properties":{"formattedCitation":"(104)","plainCitation":"(104)","noteIndex":0},"citationItems":[{"id":159,"uris":["http://zotero.org/users/local/lvPLY4Gu/items/B26X7KL3"],"itemData":{"id":159,"type":"article-journal","abstract":"BACKGROUND: C3 glomerulopathy (C3G) is characterized by heterogeneous clinical presentation, outcome, and predominant C3 accumulation in glomeruli without significant IgG. There is scarce outcome data regarding childhood C3G. We describe clinical and pathological features, treatment and outcomes, and risk factors for progression to chronic kidney disease stage 5 (CKD5) in the largest pediatric series with biopsy-proven C3G.\nMETHODS: Sixty pediatric patients with C3G from 21 referral centers in Turkey were included in this retrospective study. Patients were categorized according to CKD stage at last visit as CKD5 or non-CKD5. Demographic data, clinicopathologic findings, treatment, and outcome data were compared and possible risk factors for CKD5 progression determined using Cox proportional hazards model.\nRESULTS: Mean age at diagnosis was 10.6 ± 3.0 years and follow-up time 48.3 ± 36.3 months. Almost half the patients had gross hematuria and hypertension at diagnosis. Nephritic-nephrotic syndrome was the commonest presenting feature (41.6%) and 1/5 of patients presented with nephrotic syndrome. Membranoproliferative glomerulonephritis was the leading injury pattern, while 40 patients had only C3 staining. Patients with DDD had significantly lower baseline serum albumin compared with C3GN. Eighteen patients received eculizumab. Clinical remission was achieved in 68.3%. At last follow-up, 10 patients (16.6%) developed CKD5: they had lower baseline eGFR and albumin and higher frequency of nephrotic syndrome and dialysis requirement than non-CKD5 patients. Lower serum albumin and eGFR at diagnosis were independent predictors for CKD5 development.\nCONCLUSIONS: Children with C3G who have impaired kidney function and hypoalbuminemia at diagnosis should be carefully monitored for risk of progression to CKD5. Graphical abstract.","container-title":"Pediatric Nephrology (Berlin, Germany)","DOI":"10.1007/s00467-020-04799-7","ISSN":"1432-198X","issue":"5","journalAbbreviation":"Pediatr Nephrol","language":"eng","note":"PMID: 33130981","page":"1195-1205","source":"PubMed","title":"Predictors of poor kidney outcome in children with C3 glomerulopathy","volume":"36","author":[{"family":"Pınarbaşı","given":"Ayşe Seda"},{"family":"Dursun","given":"Ismail"},{"family":"Gokce","given":"Ibrahim"},{"family":"Çomak","given":"Elif"},{"family":"Saygılı","given":"Seha"},{"family":"Bayram","given":"Meral Torun"},{"family":"Donmez","given":"Osman"},{"family":"Melek","given":"Engin"},{"family":"Tekcan","given":"Demet"},{"family":"Çiçek","given":"Neslihan"},{"family":"Yılmaz","given":"Dilek"},{"family":"Tabel","given":"Yılmaz"},{"family":"Yıldırım","given":"Zeynep Y."},{"family":"Bahat","given":"Elif"},{"family":"Koyun","given":"Mustafa"},{"family":"Soylu","given":"Alper"},{"family":"Canpolat","given":"Nur"},{"family":"Aksu","given":"Bağdagül"},{"family":"Çelakıl","given":"Mehtap Ezel"},{"family":"Taşdemir","given":"Mehmet"},{"family":"Benzer","given":"Meryem"},{"family":"Özçelik","given":"Gül"},{"family":"Bakkaloğlu","given":"Sevcan A."},{"family":"Düşünsel","given":"Ruhan"}],"issued":{"date-parts":[["2021",5]]}}}],"schema":"https://github.com/citation-style-language/schema/raw/master/csl-citation.json"} </w:instrText>
      </w:r>
      <w:r w:rsidR="005F740F">
        <w:rPr>
          <w:rFonts w:cstheme="minorHAnsi"/>
          <w:color w:val="181818"/>
          <w:sz w:val="22"/>
          <w:szCs w:val="22"/>
        </w:rPr>
        <w:fldChar w:fldCharType="separate"/>
      </w:r>
      <w:r w:rsidR="00642970">
        <w:rPr>
          <w:rFonts w:cstheme="minorHAnsi"/>
          <w:noProof/>
          <w:color w:val="181818"/>
          <w:sz w:val="22"/>
          <w:szCs w:val="22"/>
        </w:rPr>
        <w:t>(104)</w:t>
      </w:r>
      <w:r w:rsidR="005F740F">
        <w:rPr>
          <w:rFonts w:cstheme="minorHAnsi"/>
          <w:color w:val="181818"/>
          <w:sz w:val="22"/>
          <w:szCs w:val="22"/>
        </w:rPr>
        <w:fldChar w:fldCharType="end"/>
      </w:r>
      <w:r w:rsidR="005F740F">
        <w:rPr>
          <w:rFonts w:cstheme="minorHAnsi"/>
          <w:color w:val="181818"/>
          <w:sz w:val="22"/>
          <w:szCs w:val="22"/>
        </w:rPr>
        <w:t xml:space="preserve"> </w:t>
      </w:r>
      <w:r w:rsidR="006A6594">
        <w:rPr>
          <w:rFonts w:cstheme="minorHAnsi"/>
          <w:color w:val="181818"/>
          <w:sz w:val="22"/>
          <w:szCs w:val="22"/>
        </w:rPr>
        <w:t>and patients can progress t</w:t>
      </w:r>
      <w:r w:rsidR="0077347C">
        <w:rPr>
          <w:rFonts w:cstheme="minorHAnsi"/>
          <w:color w:val="181818"/>
          <w:sz w:val="22"/>
          <w:szCs w:val="22"/>
        </w:rPr>
        <w:t>o</w:t>
      </w:r>
      <w:r w:rsidR="006A6594">
        <w:rPr>
          <w:rFonts w:cstheme="minorHAnsi"/>
          <w:color w:val="181818"/>
          <w:sz w:val="22"/>
          <w:szCs w:val="22"/>
        </w:rPr>
        <w:t xml:space="preserve"> CKD despite broad spectrum immunosuppression </w:t>
      </w:r>
      <w:r w:rsidR="006A6594">
        <w:rPr>
          <w:rFonts w:cstheme="minorHAnsi"/>
          <w:color w:val="181818"/>
          <w:sz w:val="22"/>
          <w:szCs w:val="22"/>
        </w:rPr>
        <w:fldChar w:fldCharType="begin"/>
      </w:r>
      <w:r w:rsidR="00642970">
        <w:rPr>
          <w:rFonts w:cstheme="minorHAnsi"/>
          <w:color w:val="181818"/>
          <w:sz w:val="22"/>
          <w:szCs w:val="22"/>
        </w:rPr>
        <w:instrText xml:space="preserve"> ADDIN ZOTERO_ITEM CSL_CITATION {"citationID":"vwRA9sm6","properties":{"formattedCitation":"(103)","plainCitation":"(103)","noteIndex":0},"citationItems":[{"id":156,"uris":["http://zotero.org/users/local/lvPLY4Gu/items/BMFIV94F"],"itemData":{"id":156,"type":"article-journal","abstract":"BACKGROUND: The prognostic factors, the outcome and the most favorable treatment regimen are not entirely known for children with membranoproliferative glomerulonephritis (MPGN). MPGN is a rarely observed disease more prevalent in adolescents, so we aimed to review the clinical and histological properties, treatments and the outcome of our patients who were diagnosed as MPGN.\nMETHODS: Fifty-one children - diagnosed with MPGN - were selected from biopsy records in Dr. Sami Ulus Maternity and Children's Hospital Pediatric Nephrology Department from January 1999 to January 2011. A retrospective analysis was made of 33 regularly followed children.\nRESULTS: Thirty-three patients were identified, 13 female and 20 male. Their age groups at presentation ranged from 4 to 15 years. The following duration was 26-144 months (mean 74). Following the initial treatment, 20 (60%) patients achieved complete remission. Six patients with nephrotic syndrome and one with non-nephrotic proteinuria showed partial remission. The condition of one patient with nephrotic syndrome was unchanged with the persisting symptoms. The one patient with nephrotic syndrome and four others with non-nephrotic proteinuria did not respond to initial treatment as their renal functions decreased gradually.\nCONCLUSION: We concluded that only degree of tubulointerstitial damage on the initial biopsy is determinative for prognosis of childhood MPGN. If the patient receives high doses of steroid therapy in the early stages, their treatment is more likely to be successful. The effect of immunosuppressive treatment on MPGN is not clear.","container-title":"Renal Failure","DOI":"10.3109/0886022X.2014.929843","ISSN":"1525-6049","issue":"8","journalAbbreviation":"Ren Fail","language":"eng","note":"PMID: 25065413","page":"1221-1225","source":"PubMed","title":"The relation between treatment and prognosis of childhood membranoproliferative glomerulonephritis","volume":"36","author":[{"family":"Çaltik Yilmaz","given":"Aysun"},{"family":"Aydog","given":"Özlem"},{"family":"Akyüz","given":"Sare Gülfem"},{"family":"Bülbül","given":"Mehmet"},{"family":"Demircin","given":"Gülay"},{"family":"Öner","given":"Ayşe"}],"issued":{"date-parts":[["2014",9]]}}}],"schema":"https://github.com/citation-style-language/schema/raw/master/csl-citation.json"} </w:instrText>
      </w:r>
      <w:r w:rsidR="006A6594">
        <w:rPr>
          <w:rFonts w:cstheme="minorHAnsi"/>
          <w:color w:val="181818"/>
          <w:sz w:val="22"/>
          <w:szCs w:val="22"/>
        </w:rPr>
        <w:fldChar w:fldCharType="separate"/>
      </w:r>
      <w:r w:rsidR="00642970">
        <w:rPr>
          <w:rFonts w:cstheme="minorHAnsi"/>
          <w:noProof/>
          <w:color w:val="181818"/>
          <w:sz w:val="22"/>
          <w:szCs w:val="22"/>
        </w:rPr>
        <w:t>(103)</w:t>
      </w:r>
      <w:r w:rsidR="006A6594">
        <w:rPr>
          <w:rFonts w:cstheme="minorHAnsi"/>
          <w:color w:val="181818"/>
          <w:sz w:val="22"/>
          <w:szCs w:val="22"/>
        </w:rPr>
        <w:fldChar w:fldCharType="end"/>
      </w:r>
      <w:r w:rsidR="006A6594">
        <w:rPr>
          <w:rFonts w:cstheme="minorHAnsi"/>
          <w:color w:val="181818"/>
          <w:sz w:val="22"/>
          <w:szCs w:val="22"/>
        </w:rPr>
        <w:t xml:space="preserve">. </w:t>
      </w:r>
      <w:r w:rsidR="005F740F">
        <w:rPr>
          <w:rFonts w:cstheme="minorHAnsi"/>
          <w:color w:val="181818"/>
          <w:sz w:val="22"/>
          <w:szCs w:val="22"/>
        </w:rPr>
        <w:t xml:space="preserve">There is some evidence to support complement pathway inhibition </w:t>
      </w:r>
      <w:r w:rsidR="005F740F">
        <w:rPr>
          <w:rFonts w:cstheme="minorHAnsi"/>
          <w:color w:val="181818"/>
          <w:sz w:val="22"/>
          <w:szCs w:val="22"/>
        </w:rPr>
        <w:fldChar w:fldCharType="begin"/>
      </w:r>
      <w:r w:rsidR="00642970">
        <w:rPr>
          <w:rFonts w:cstheme="minorHAnsi"/>
          <w:color w:val="181818"/>
          <w:sz w:val="22"/>
          <w:szCs w:val="22"/>
        </w:rPr>
        <w:instrText xml:space="preserve"> ADDIN ZOTERO_ITEM CSL_CITATION {"citationID":"PsYWvhcE","properties":{"formattedCitation":"(104)","plainCitation":"(104)","noteIndex":0},"citationItems":[{"id":159,"uris":["http://zotero.org/users/local/lvPLY4Gu/items/B26X7KL3"],"itemData":{"id":159,"type":"article-journal","abstract":"BACKGROUND: C3 glomerulopathy (C3G) is characterized by heterogeneous clinical presentation, outcome, and predominant C3 accumulation in glomeruli without significant IgG. There is scarce outcome data regarding childhood C3G. We describe clinical and pathological features, treatment and outcomes, and risk factors for progression to chronic kidney disease stage 5 (CKD5) in the largest pediatric series with biopsy-proven C3G.\nMETHODS: Sixty pediatric patients with C3G from 21 referral centers in Turkey were included in this retrospective study. Patients were categorized according to CKD stage at last visit as CKD5 or non-CKD5. Demographic data, clinicopathologic findings, treatment, and outcome data were compared and possible risk factors for CKD5 progression determined using Cox proportional hazards model.\nRESULTS: Mean age at diagnosis was 10.6 ± 3.0 years and follow-up time 48.3 ± 36.3 months. Almost half the patients had gross hematuria and hypertension at diagnosis. Nephritic-nephrotic syndrome was the commonest presenting feature (41.6%) and 1/5 of patients presented with nephrotic syndrome. Membranoproliferative glomerulonephritis was the leading injury pattern, while 40 patients had only C3 staining. Patients with DDD had significantly lower baseline serum albumin compared with C3GN. Eighteen patients received eculizumab. Clinical remission was achieved in 68.3%. At last follow-up, 10 patients (16.6%) developed CKD5: they had lower baseline eGFR and albumin and higher frequency of nephrotic syndrome and dialysis requirement than non-CKD5 patients. Lower serum albumin and eGFR at diagnosis were independent predictors for CKD5 development.\nCONCLUSIONS: Children with C3G who have impaired kidney function and hypoalbuminemia at diagnosis should be carefully monitored for risk of progression to CKD5. Graphical abstract.","container-title":"Pediatric Nephrology (Berlin, Germany)","DOI":"10.1007/s00467-020-04799-7","ISSN":"1432-198X","issue":"5","journalAbbreviation":"Pediatr Nephrol","language":"eng","note":"PMID: 33130981","page":"1195-1205","source":"PubMed","title":"Predictors of poor kidney outcome in children with C3 glomerulopathy","volume":"36","author":[{"family":"Pınarbaşı","given":"Ayşe Seda"},{"family":"Dursun","given":"Ismail"},{"family":"Gokce","given":"Ibrahim"},{"family":"Çomak","given":"Elif"},{"family":"Saygılı","given":"Seha"},{"family":"Bayram","given":"Meral Torun"},{"family":"Donmez","given":"Osman"},{"family":"Melek","given":"Engin"},{"family":"Tekcan","given":"Demet"},{"family":"Çiçek","given":"Neslihan"},{"family":"Yılmaz","given":"Dilek"},{"family":"Tabel","given":"Yılmaz"},{"family":"Yıldırım","given":"Zeynep Y."},{"family":"Bahat","given":"Elif"},{"family":"Koyun","given":"Mustafa"},{"family":"Soylu","given":"Alper"},{"family":"Canpolat","given":"Nur"},{"family":"Aksu","given":"Bağdagül"},{"family":"Çelakıl","given":"Mehtap Ezel"},{"family":"Taşdemir","given":"Mehmet"},{"family":"Benzer","given":"Meryem"},{"family":"Özçelik","given":"Gül"},{"family":"Bakkaloğlu","given":"Sevcan A."},{"family":"Düşünsel","given":"Ruhan"}],"issued":{"date-parts":[["2021",5]]}}}],"schema":"https://github.com/citation-style-language/schema/raw/master/csl-citation.json"} </w:instrText>
      </w:r>
      <w:r w:rsidR="005F740F">
        <w:rPr>
          <w:rFonts w:cstheme="minorHAnsi"/>
          <w:color w:val="181818"/>
          <w:sz w:val="22"/>
          <w:szCs w:val="22"/>
        </w:rPr>
        <w:fldChar w:fldCharType="separate"/>
      </w:r>
      <w:r w:rsidR="00642970">
        <w:rPr>
          <w:rFonts w:cstheme="minorHAnsi"/>
          <w:noProof/>
          <w:color w:val="181818"/>
          <w:sz w:val="22"/>
          <w:szCs w:val="22"/>
        </w:rPr>
        <w:t>(104)</w:t>
      </w:r>
      <w:r w:rsidR="005F740F">
        <w:rPr>
          <w:rFonts w:cstheme="minorHAnsi"/>
          <w:color w:val="181818"/>
          <w:sz w:val="22"/>
          <w:szCs w:val="22"/>
        </w:rPr>
        <w:fldChar w:fldCharType="end"/>
      </w:r>
      <w:r w:rsidR="005F740F">
        <w:rPr>
          <w:rFonts w:cstheme="minorHAnsi"/>
          <w:color w:val="181818"/>
          <w:sz w:val="22"/>
          <w:szCs w:val="22"/>
        </w:rPr>
        <w:t xml:space="preserve"> and high quality c</w:t>
      </w:r>
      <w:r w:rsidR="007C4BBA">
        <w:rPr>
          <w:rFonts w:cstheme="minorHAnsi"/>
          <w:color w:val="181818"/>
          <w:sz w:val="22"/>
          <w:szCs w:val="22"/>
        </w:rPr>
        <w:t xml:space="preserve">linical trials evaluating more specific treatments using complement pathway inhibition are underway </w:t>
      </w:r>
      <w:r w:rsidR="007C4BBA">
        <w:rPr>
          <w:rFonts w:cstheme="minorHAnsi"/>
          <w:color w:val="181818"/>
          <w:sz w:val="22"/>
          <w:szCs w:val="22"/>
        </w:rPr>
        <w:fldChar w:fldCharType="begin"/>
      </w:r>
      <w:r w:rsidR="00642970">
        <w:rPr>
          <w:rFonts w:cstheme="minorHAnsi"/>
          <w:color w:val="181818"/>
          <w:sz w:val="22"/>
          <w:szCs w:val="22"/>
        </w:rPr>
        <w:instrText xml:space="preserve"> ADDIN ZOTERO_ITEM CSL_CITATION {"citationID":"YEJOk9tL","properties":{"formattedCitation":"(152)","plainCitation":"(152)","noteIndex":0},"citationItems":[{"id":367,"uris":["http://zotero.org/users/local/lvPLY4Gu/items/EX5WN9FJ"],"itemData":{"id":367,"type":"article-journal","abstract":"INTRODUCTION: Immune complex-mediated membranoproliferative glomerulonephritis (IC-MPGN) is an ultra-rare, fast-progressing kidney disease that may be idiopathic (primary) or secondary to chronic infection, autoimmune disorders, or monoclonal gammopathies. Dysregulation of the alternative complement pathway is implicated in the pathophysiology of IC-MPGN; and currently, there are no approved targeted treatments. Iptacopan is an oral, highly potent proximal complement inhibitor that specifically binds to factor B and inhibits the alternative pathway (AP).\nMETHODS: This randomized, double-blind, placebo-controlled phase 3 study (APPARENT; NCT05755386) will evaluate the efficacy and safety of iptacopan in patients with idiopathic (primary) IC-MPGN, enrolling up to 68 patients (minimum of 10 adolescents) aged 12 to 60 years with biopsy-confirmed IC-MPGN, proteinuria ≥1 g/g, and estimated glomerular filtration rate (eGFR) ≥30 ml/min per 1.73 m2. All patients will receive maximally tolerated angiotensin-converting enzyme inhibitor/angiotensin receptor blocker and vaccination against encapsulated bacteria. Patients with any organ transplant, progressive crescentic glomerulonephritis, or kidney biopsy with &gt;50% interstitial fibrosis/tubular atrophy, will be excluded. Patients will be randomized 1:1 to receive either iptacopan 200 mg twice daily (bid) or placebo for 6 months, followed by open-label treatment with iptacopan 200 mg bid for all patients for 6 months. The primary objective of the study is to evaluate the efficacy of iptacopan versus placebo in proteinuria reduction measured as urine protein-to-creatinine ratio (UPCR) (24-h urine) at 6 months. Key secondary end points will assess kidney function measured by eGFR, patients who achieve a proteinuria-eGFR composite end point, and patient-reported fatigue.\nCONCLUSION: This study will provide evidence toward the efficacy and safety of iptacopan in idiopathic (primary) IC-MPGN.","container-title":"Kidney International Reports","DOI":"10.1016/j.ekir.2023.10.022","ISSN":"2468-0249","issue":"1","journalAbbreviation":"Kidney Int Rep","language":"eng","note":"PMID: 38312795\nPMCID: PMC10831369","page":"64-72","source":"PubMed","title":"Iptacopan in Idiopathic Immune Complex-Mediated Membranoproliferative Glomerulonephritis: Protocol of the APPARENT Multicenter, Randomized Phase 3 Study","title-short":"Iptacopan in Idiopathic Immune Complex-Mediated Membranoproliferative Glomerulonephritis","volume":"9","author":[{"family":"Vivarelli","given":"Marina"},{"family":"Bomback","given":"Andrew S."},{"family":"Meier","given":"Matthias"},{"family":"Wang","given":"Yaqin"},{"family":"Webb","given":"Nicholas J. A."},{"family":"Veldandi","given":"Uday Kiran"},{"family":"Smith","given":"Richard J. H."},{"family":"Kavanagh","given":"David"}],"issued":{"date-parts":[["2024",1]]}}}],"schema":"https://github.com/citation-style-language/schema/raw/master/csl-citation.json"} </w:instrText>
      </w:r>
      <w:r w:rsidR="007C4BBA">
        <w:rPr>
          <w:rFonts w:cstheme="minorHAnsi"/>
          <w:color w:val="181818"/>
          <w:sz w:val="22"/>
          <w:szCs w:val="22"/>
        </w:rPr>
        <w:fldChar w:fldCharType="separate"/>
      </w:r>
      <w:r w:rsidR="00642970">
        <w:rPr>
          <w:rFonts w:cstheme="minorHAnsi"/>
          <w:noProof/>
          <w:color w:val="181818"/>
          <w:sz w:val="22"/>
          <w:szCs w:val="22"/>
        </w:rPr>
        <w:t>(152)</w:t>
      </w:r>
      <w:r w:rsidR="007C4BBA">
        <w:rPr>
          <w:rFonts w:cstheme="minorHAnsi"/>
          <w:color w:val="181818"/>
          <w:sz w:val="22"/>
          <w:szCs w:val="22"/>
        </w:rPr>
        <w:fldChar w:fldCharType="end"/>
      </w:r>
      <w:r w:rsidR="0077347C">
        <w:rPr>
          <w:rFonts w:cstheme="minorHAnsi"/>
          <w:color w:val="181818"/>
          <w:sz w:val="22"/>
          <w:szCs w:val="22"/>
        </w:rPr>
        <w:t>. These</w:t>
      </w:r>
      <w:r w:rsidR="007C4BBA">
        <w:rPr>
          <w:rFonts w:cstheme="minorHAnsi"/>
          <w:color w:val="181818"/>
          <w:sz w:val="22"/>
          <w:szCs w:val="22"/>
        </w:rPr>
        <w:t xml:space="preserve"> should provide evidence to support future updates. </w:t>
      </w:r>
      <w:r w:rsidR="00C10E79">
        <w:rPr>
          <w:rFonts w:cstheme="minorHAnsi"/>
          <w:color w:val="181818"/>
          <w:sz w:val="22"/>
          <w:szCs w:val="22"/>
        </w:rPr>
        <w:t>When considering emerging therapies or for the management of atypical cases, we suggest discussion with the National Renal Complement Therapies Centre (</w:t>
      </w:r>
      <w:r w:rsidR="00C10E79" w:rsidRPr="00C10E79">
        <w:rPr>
          <w:rFonts w:cstheme="minorHAnsi"/>
          <w:color w:val="181818"/>
          <w:sz w:val="22"/>
          <w:szCs w:val="22"/>
        </w:rPr>
        <w:t>https://www.atypicalhus.co.uk</w:t>
      </w:r>
      <w:r w:rsidR="00C10E79">
        <w:rPr>
          <w:rFonts w:cstheme="minorHAnsi"/>
          <w:color w:val="181818"/>
          <w:sz w:val="22"/>
          <w:szCs w:val="22"/>
        </w:rPr>
        <w:t xml:space="preserve">).  </w:t>
      </w:r>
    </w:p>
    <w:p w14:paraId="2E266D21" w14:textId="77777777" w:rsidR="00257E1D" w:rsidRPr="00C00DD6" w:rsidRDefault="00257E1D" w:rsidP="003F494F">
      <w:pPr>
        <w:spacing w:line="360" w:lineRule="auto"/>
        <w:rPr>
          <w:rFonts w:cstheme="minorHAnsi"/>
          <w:b/>
          <w:bCs/>
          <w:sz w:val="22"/>
          <w:szCs w:val="22"/>
        </w:rPr>
      </w:pPr>
    </w:p>
    <w:p w14:paraId="526B7C65" w14:textId="52B826F0" w:rsidR="00257E1D" w:rsidRPr="00C00DD6" w:rsidRDefault="001630D4" w:rsidP="003F494F">
      <w:pPr>
        <w:spacing w:line="360" w:lineRule="auto"/>
        <w:rPr>
          <w:rFonts w:cstheme="minorHAnsi"/>
          <w:b/>
          <w:bCs/>
          <w:sz w:val="22"/>
          <w:szCs w:val="22"/>
        </w:rPr>
      </w:pPr>
      <w:r>
        <w:rPr>
          <w:rFonts w:eastAsia="Arial" w:cstheme="minorHAnsi"/>
          <w:b/>
          <w:sz w:val="22"/>
          <w:szCs w:val="22"/>
          <w:u w:val="single"/>
          <w:lang w:val="en" w:eastAsia="en-GB"/>
        </w:rPr>
        <w:t xml:space="preserve">GN subtype 8: </w:t>
      </w:r>
      <w:r w:rsidR="00EA336E">
        <w:rPr>
          <w:rFonts w:cstheme="minorHAnsi"/>
          <w:b/>
          <w:bCs/>
          <w:sz w:val="22"/>
          <w:szCs w:val="22"/>
          <w:u w:val="single"/>
        </w:rPr>
        <w:t>P</w:t>
      </w:r>
      <w:r w:rsidRPr="00C00DD6">
        <w:rPr>
          <w:rFonts w:cstheme="minorHAnsi"/>
          <w:b/>
          <w:bCs/>
          <w:sz w:val="22"/>
          <w:szCs w:val="22"/>
          <w:u w:val="single"/>
        </w:rPr>
        <w:t>ost infectious glomerulonephritis</w:t>
      </w:r>
      <w:r>
        <w:rPr>
          <w:rFonts w:cstheme="minorHAnsi"/>
          <w:b/>
          <w:bCs/>
          <w:sz w:val="22"/>
          <w:szCs w:val="22"/>
          <w:u w:val="single"/>
        </w:rPr>
        <w:t xml:space="preserve"> (PIGN)</w:t>
      </w:r>
    </w:p>
    <w:p w14:paraId="7C97AF52" w14:textId="77777777" w:rsidR="009A0FD0" w:rsidRPr="00C00DD6" w:rsidRDefault="009A0FD0" w:rsidP="003F494F">
      <w:pPr>
        <w:spacing w:line="360" w:lineRule="auto"/>
        <w:rPr>
          <w:rFonts w:cstheme="minorHAnsi"/>
          <w:b/>
          <w:bCs/>
          <w:sz w:val="22"/>
          <w:szCs w:val="22"/>
        </w:rPr>
      </w:pPr>
    </w:p>
    <w:p w14:paraId="47969B42" w14:textId="6FF5D2F9" w:rsidR="006A162A" w:rsidRDefault="001630D4" w:rsidP="003F494F">
      <w:pPr>
        <w:spacing w:line="360" w:lineRule="auto"/>
        <w:rPr>
          <w:rFonts w:eastAsia="Arial" w:cstheme="minorHAnsi"/>
          <w:b/>
          <w:sz w:val="22"/>
          <w:szCs w:val="22"/>
          <w:lang w:val="en" w:eastAsia="en-GB"/>
        </w:rPr>
      </w:pPr>
      <w:r w:rsidRPr="00C00DD6">
        <w:rPr>
          <w:rFonts w:eastAsia="Arial" w:cstheme="minorHAnsi"/>
          <w:b/>
          <w:sz w:val="22"/>
          <w:szCs w:val="22"/>
          <w:lang w:val="en" w:eastAsia="en-GB"/>
        </w:rPr>
        <w:t>Definitions</w:t>
      </w:r>
    </w:p>
    <w:p w14:paraId="79766CA7" w14:textId="0E2A6903" w:rsidR="00E34BCA" w:rsidRPr="00C00DD6" w:rsidRDefault="001630D4" w:rsidP="003F494F">
      <w:pPr>
        <w:spacing w:line="360" w:lineRule="auto"/>
        <w:jc w:val="both"/>
        <w:rPr>
          <w:rFonts w:cstheme="minorHAnsi"/>
          <w:b/>
          <w:bCs/>
          <w:sz w:val="22"/>
          <w:szCs w:val="22"/>
        </w:rPr>
      </w:pPr>
      <w:r>
        <w:rPr>
          <w:rFonts w:eastAsia="Arial" w:cstheme="minorHAnsi"/>
          <w:sz w:val="22"/>
          <w:szCs w:val="22"/>
          <w:lang w:val="en" w:eastAsia="en-GB"/>
        </w:rPr>
        <w:t>To</w:t>
      </w:r>
      <w:r w:rsidRPr="00117750">
        <w:rPr>
          <w:rFonts w:eastAsia="Arial" w:cstheme="minorHAnsi"/>
          <w:sz w:val="22"/>
          <w:szCs w:val="22"/>
          <w:lang w:val="en" w:eastAsia="en-GB"/>
        </w:rPr>
        <w:t xml:space="preserve"> align </w:t>
      </w:r>
      <w:r>
        <w:rPr>
          <w:rFonts w:eastAsia="Arial" w:cstheme="minorHAnsi"/>
          <w:sz w:val="22"/>
          <w:szCs w:val="22"/>
          <w:lang w:val="en" w:eastAsia="en-GB"/>
        </w:rPr>
        <w:t>terminology</w:t>
      </w:r>
      <w:r w:rsidRPr="00117750">
        <w:rPr>
          <w:rFonts w:eastAsia="Arial" w:cstheme="minorHAnsi"/>
          <w:sz w:val="22"/>
          <w:szCs w:val="22"/>
          <w:lang w:val="en" w:eastAsia="en-GB"/>
        </w:rPr>
        <w:t>, we suggest that the following definitions for</w:t>
      </w:r>
      <w:r>
        <w:rPr>
          <w:rFonts w:eastAsia="Arial" w:cstheme="minorHAnsi"/>
          <w:sz w:val="22"/>
          <w:szCs w:val="22"/>
          <w:lang w:val="en" w:eastAsia="en-GB"/>
        </w:rPr>
        <w:t xml:space="preserve"> PIGN </w:t>
      </w:r>
      <w:r w:rsidRPr="00117750">
        <w:rPr>
          <w:rFonts w:eastAsia="Arial" w:cstheme="minorHAnsi"/>
          <w:sz w:val="22"/>
          <w:szCs w:val="22"/>
          <w:lang w:val="en" w:eastAsia="en-GB"/>
        </w:rPr>
        <w:t xml:space="preserve">are </w:t>
      </w:r>
      <w:r>
        <w:rPr>
          <w:rFonts w:eastAsia="Arial" w:cstheme="minorHAnsi"/>
          <w:sz w:val="22"/>
          <w:szCs w:val="22"/>
          <w:lang w:val="en" w:eastAsia="en-GB"/>
        </w:rPr>
        <w:t>used.</w:t>
      </w:r>
      <w:r w:rsidRPr="00601B86">
        <w:rPr>
          <w:rFonts w:eastAsia="Arial" w:cstheme="minorHAnsi"/>
          <w:sz w:val="22"/>
          <w:szCs w:val="22"/>
          <w:lang w:val="en" w:eastAsia="en-GB"/>
        </w:rPr>
        <w:t xml:space="preserve"> </w:t>
      </w:r>
      <w:r w:rsidRPr="00117750">
        <w:rPr>
          <w:rFonts w:eastAsia="Arial" w:cstheme="minorHAnsi"/>
          <w:sz w:val="22"/>
          <w:szCs w:val="22"/>
          <w:lang w:val="en" w:eastAsia="en-GB"/>
        </w:rPr>
        <w:t xml:space="preserve">Definitions are taken from the </w:t>
      </w:r>
      <w:r>
        <w:rPr>
          <w:rFonts w:eastAsia="Arial" w:cstheme="minorHAnsi"/>
          <w:sz w:val="22"/>
          <w:szCs w:val="22"/>
          <w:lang w:val="en" w:eastAsia="en-GB"/>
        </w:rPr>
        <w:t>KDIGO</w:t>
      </w:r>
      <w:r w:rsidRPr="00117750">
        <w:rPr>
          <w:rFonts w:eastAsia="Arial" w:cstheme="minorHAnsi"/>
          <w:sz w:val="22"/>
          <w:szCs w:val="22"/>
          <w:lang w:val="en" w:eastAsia="en-GB"/>
        </w:rPr>
        <w:t xml:space="preserve"> guidelines</w:t>
      </w:r>
      <w:r>
        <w:rPr>
          <w:rFonts w:eastAsia="Arial" w:cstheme="minorHAnsi"/>
          <w:sz w:val="22"/>
          <w:szCs w:val="22"/>
          <w:lang w:val="en" w:eastAsia="en-GB"/>
        </w:rPr>
        <w:t xml:space="preserve"> </w:t>
      </w:r>
      <w:r w:rsidRPr="00117750">
        <w:rPr>
          <w:rFonts w:eastAsia="Arial" w:cstheme="minorHAnsi"/>
          <w:sz w:val="22"/>
          <w:szCs w:val="22"/>
          <w:lang w:val="en" w:eastAsia="en-GB"/>
        </w:rPr>
        <w:t xml:space="preserve">with minor modifications </w:t>
      </w:r>
      <w:r>
        <w:rPr>
          <w:rFonts w:eastAsia="Arial" w:cstheme="minorHAnsi"/>
          <w:sz w:val="22"/>
          <w:szCs w:val="22"/>
          <w:lang w:val="en" w:eastAsia="en-GB"/>
        </w:rPr>
        <w:t xml:space="preserve">by the GDG </w:t>
      </w:r>
      <w:r w:rsidRPr="00117750">
        <w:rPr>
          <w:rFonts w:eastAsia="Arial" w:cstheme="minorHAnsi"/>
          <w:sz w:val="22"/>
          <w:szCs w:val="22"/>
          <w:lang w:val="en" w:eastAsia="en-GB"/>
        </w:rPr>
        <w:t>for standard UK practice</w:t>
      </w:r>
      <w:r w:rsidR="00A13B72">
        <w:rPr>
          <w:rFonts w:eastAsia="Arial" w:cstheme="minorHAnsi"/>
          <w:sz w:val="22"/>
          <w:szCs w:val="22"/>
          <w:lang w:val="en" w:eastAsia="en-GB"/>
        </w:rPr>
        <w:t xml:space="preserve"> </w:t>
      </w:r>
      <w:r w:rsidR="00A13B72">
        <w:rPr>
          <w:rFonts w:eastAsia="Arial" w:cstheme="minorHAnsi"/>
          <w:sz w:val="22"/>
          <w:szCs w:val="22"/>
          <w:lang w:val="en" w:eastAsia="en-GB"/>
        </w:rPr>
        <w:fldChar w:fldCharType="begin"/>
      </w:r>
      <w:r w:rsidR="00642970">
        <w:rPr>
          <w:rFonts w:eastAsia="Arial" w:cstheme="minorHAnsi"/>
          <w:sz w:val="22"/>
          <w:szCs w:val="22"/>
          <w:lang w:val="en" w:eastAsia="en-GB"/>
        </w:rPr>
        <w:instrText xml:space="preserve"> ADDIN ZOTERO_ITEM CSL_CITATION {"citationID":"63flNMu7","properties":{"formattedCitation":"(5)","plainCitation":"(5)","noteIndex":0},"citationItems":[{"id":11,"uris":["http://zotero.org/users/local/lvPLY4Gu/items/PZVAFVT2"],"itemData":{"id":11,"type":"article-journal","container-title":"Kidney International","DOI":"10.1016/j.kint.2021.05.021","ISSN":"1523-1755","issue":"4S","journalAbbreviation":"Kidney Int","language":"eng","note":"PMID: 34556256","page":"S1-S276","source":"PubMed","title":"KDIGO 2021 Clinical Practice Guideline for the Management of Glomerular Diseases","volume":"100","author":[{"literal":"Kidney Disease: Improving Global Outcomes (KDIGO) Glomerular Diseases Work Group"}],"issued":{"date-parts":[["2021",10]]}}}],"schema":"https://github.com/citation-style-language/schema/raw/master/csl-citation.json"} </w:instrText>
      </w:r>
      <w:r w:rsidR="00A13B72">
        <w:rPr>
          <w:rFonts w:eastAsia="Arial" w:cstheme="minorHAnsi"/>
          <w:sz w:val="22"/>
          <w:szCs w:val="22"/>
          <w:lang w:val="en" w:eastAsia="en-GB"/>
        </w:rPr>
        <w:fldChar w:fldCharType="separate"/>
      </w:r>
      <w:r w:rsidR="00642970">
        <w:rPr>
          <w:rFonts w:eastAsia="Arial" w:cstheme="minorHAnsi"/>
          <w:noProof/>
          <w:sz w:val="22"/>
          <w:szCs w:val="22"/>
          <w:lang w:val="en" w:eastAsia="en-GB"/>
        </w:rPr>
        <w:t>(5)</w:t>
      </w:r>
      <w:r w:rsidR="00A13B72">
        <w:rPr>
          <w:rFonts w:eastAsia="Arial" w:cstheme="minorHAnsi"/>
          <w:sz w:val="22"/>
          <w:szCs w:val="22"/>
          <w:lang w:val="en" w:eastAsia="en-GB"/>
        </w:rPr>
        <w:fldChar w:fldCharType="end"/>
      </w:r>
      <w:r w:rsidRPr="00117750">
        <w:rPr>
          <w:rFonts w:eastAsia="Arial" w:cstheme="minorHAnsi"/>
          <w:sz w:val="22"/>
          <w:szCs w:val="22"/>
          <w:lang w:val="en" w:eastAsia="en-GB"/>
        </w:rPr>
        <w:t xml:space="preserve">.  </w:t>
      </w:r>
      <w:r w:rsidR="00FF7D83">
        <w:rPr>
          <w:rFonts w:eastAsia="Arial" w:cstheme="minorHAnsi"/>
          <w:sz w:val="22"/>
          <w:szCs w:val="22"/>
          <w:lang w:val="en" w:eastAsia="en-GB"/>
        </w:rPr>
        <w:t xml:space="preserve">For the purposes of UK practice the recommendations are focused on post streptococcal </w:t>
      </w:r>
      <w:r w:rsidR="00C10E79">
        <w:rPr>
          <w:rFonts w:eastAsia="Arial" w:cstheme="minorHAnsi"/>
          <w:sz w:val="22"/>
          <w:szCs w:val="22"/>
          <w:lang w:val="en" w:eastAsia="en-GB"/>
        </w:rPr>
        <w:t xml:space="preserve">as the infectious cause of </w:t>
      </w:r>
      <w:r w:rsidR="00FF7D83">
        <w:rPr>
          <w:rFonts w:eastAsia="Arial" w:cstheme="minorHAnsi"/>
          <w:sz w:val="22"/>
          <w:szCs w:val="22"/>
          <w:lang w:val="en" w:eastAsia="en-GB"/>
        </w:rPr>
        <w:t>glomerulonephritis however the GDG acknowledge the many other infections that may act as triggers</w:t>
      </w:r>
      <w:r w:rsidR="0077347C">
        <w:rPr>
          <w:rFonts w:eastAsia="Arial" w:cstheme="minorHAnsi"/>
          <w:sz w:val="22"/>
          <w:szCs w:val="22"/>
          <w:lang w:val="en" w:eastAsia="en-GB"/>
        </w:rPr>
        <w:t xml:space="preserve"> and are especially relevant in other global settings</w:t>
      </w:r>
      <w:r w:rsidR="00FF7D83">
        <w:rPr>
          <w:rFonts w:eastAsia="Arial" w:cstheme="minorHAnsi"/>
          <w:sz w:val="22"/>
          <w:szCs w:val="22"/>
          <w:lang w:val="en" w:eastAsia="en-GB"/>
        </w:rPr>
        <w:t xml:space="preserve">. </w:t>
      </w:r>
    </w:p>
    <w:p w14:paraId="5F5366C4" w14:textId="77777777" w:rsidR="006A162A" w:rsidRPr="00C00DD6" w:rsidRDefault="006A162A" w:rsidP="003F494F">
      <w:pPr>
        <w:spacing w:line="360" w:lineRule="auto"/>
        <w:rPr>
          <w:rFonts w:cstheme="minorHAnsi"/>
          <w:b/>
          <w:bCs/>
          <w:sz w:val="22"/>
          <w:szCs w:val="22"/>
        </w:rPr>
      </w:pPr>
    </w:p>
    <w:tbl>
      <w:tblPr>
        <w:tblStyle w:val="TableGrid"/>
        <w:tblW w:w="0" w:type="auto"/>
        <w:tblLook w:val="04A0" w:firstRow="1" w:lastRow="0" w:firstColumn="1" w:lastColumn="0" w:noHBand="0" w:noVBand="1"/>
      </w:tblPr>
      <w:tblGrid>
        <w:gridCol w:w="1129"/>
        <w:gridCol w:w="9214"/>
      </w:tblGrid>
      <w:tr w:rsidR="00837E18" w14:paraId="2FB95DAB" w14:textId="77777777" w:rsidTr="00CF116C">
        <w:tc>
          <w:tcPr>
            <w:tcW w:w="10343" w:type="dxa"/>
            <w:gridSpan w:val="2"/>
          </w:tcPr>
          <w:p w14:paraId="1563C641" w14:textId="1E8D5C4C" w:rsidR="006A162A" w:rsidRPr="00C00DD6" w:rsidRDefault="001630D4" w:rsidP="003F494F">
            <w:pPr>
              <w:spacing w:before="240" w:line="360" w:lineRule="auto"/>
              <w:rPr>
                <w:rFonts w:eastAsia="Arial" w:cstheme="minorHAnsi"/>
                <w:b/>
                <w:sz w:val="22"/>
                <w:szCs w:val="22"/>
                <w:lang w:val="en" w:eastAsia="en-GB"/>
              </w:rPr>
            </w:pPr>
            <w:r w:rsidRPr="00C00DD6">
              <w:rPr>
                <w:rFonts w:eastAsia="Arial" w:cstheme="minorHAnsi"/>
                <w:b/>
                <w:sz w:val="22"/>
                <w:szCs w:val="22"/>
                <w:lang w:val="en" w:eastAsia="en-GB"/>
              </w:rPr>
              <w:t xml:space="preserve">Diagnosis </w:t>
            </w:r>
          </w:p>
        </w:tc>
      </w:tr>
      <w:tr w:rsidR="00837E18" w14:paraId="69043DDF" w14:textId="77777777" w:rsidTr="006A162A">
        <w:tc>
          <w:tcPr>
            <w:tcW w:w="1129" w:type="dxa"/>
          </w:tcPr>
          <w:p w14:paraId="754B297B" w14:textId="77777777" w:rsidR="006A162A" w:rsidRPr="00C00DD6" w:rsidRDefault="001630D4" w:rsidP="003F494F">
            <w:pPr>
              <w:spacing w:before="240" w:line="360" w:lineRule="auto"/>
              <w:rPr>
                <w:rFonts w:eastAsia="Arial" w:cstheme="minorHAnsi"/>
                <w:sz w:val="22"/>
                <w:szCs w:val="22"/>
                <w:lang w:val="en" w:eastAsia="en-GB"/>
              </w:rPr>
            </w:pPr>
            <w:r w:rsidRPr="00C00DD6">
              <w:rPr>
                <w:rFonts w:eastAsia="Arial" w:cstheme="minorHAnsi"/>
                <w:sz w:val="22"/>
                <w:szCs w:val="22"/>
                <w:lang w:val="en" w:eastAsia="en-GB"/>
              </w:rPr>
              <w:t>a</w:t>
            </w:r>
          </w:p>
        </w:tc>
        <w:tc>
          <w:tcPr>
            <w:tcW w:w="9214" w:type="dxa"/>
          </w:tcPr>
          <w:p w14:paraId="62F4EBBB" w14:textId="60853E65" w:rsidR="006A162A" w:rsidRPr="00C00DD6" w:rsidRDefault="00C10E79" w:rsidP="003F494F">
            <w:pPr>
              <w:spacing w:before="240" w:line="360" w:lineRule="auto"/>
              <w:rPr>
                <w:rFonts w:eastAsia="Arial" w:cstheme="minorHAnsi"/>
                <w:sz w:val="22"/>
                <w:szCs w:val="22"/>
                <w:lang w:val="en" w:eastAsia="en-GB"/>
              </w:rPr>
            </w:pPr>
            <w:r>
              <w:rPr>
                <w:rFonts w:cstheme="minorHAnsi"/>
                <w:sz w:val="22"/>
                <w:szCs w:val="22"/>
              </w:rPr>
              <w:t>A diagnosis of p</w:t>
            </w:r>
            <w:r w:rsidR="001630D4" w:rsidRPr="00C00DD6">
              <w:rPr>
                <w:rFonts w:cstheme="minorHAnsi"/>
                <w:sz w:val="22"/>
                <w:szCs w:val="22"/>
              </w:rPr>
              <w:t xml:space="preserve">ost </w:t>
            </w:r>
            <w:r>
              <w:rPr>
                <w:rFonts w:cstheme="minorHAnsi"/>
                <w:sz w:val="22"/>
                <w:szCs w:val="22"/>
              </w:rPr>
              <w:t>infectious</w:t>
            </w:r>
            <w:r w:rsidRPr="00C00DD6">
              <w:rPr>
                <w:rFonts w:cstheme="minorHAnsi"/>
                <w:sz w:val="22"/>
                <w:szCs w:val="22"/>
              </w:rPr>
              <w:t xml:space="preserve"> </w:t>
            </w:r>
            <w:r w:rsidR="001630D4" w:rsidRPr="00C00DD6">
              <w:rPr>
                <w:rFonts w:cstheme="minorHAnsi"/>
                <w:sz w:val="22"/>
                <w:szCs w:val="22"/>
              </w:rPr>
              <w:t xml:space="preserve">GN </w:t>
            </w:r>
            <w:r>
              <w:rPr>
                <w:rFonts w:cstheme="minorHAnsi"/>
                <w:sz w:val="22"/>
                <w:szCs w:val="22"/>
              </w:rPr>
              <w:t>(PIGN) can be made when there is evidence of nephritis that is assumed to be secondary to</w:t>
            </w:r>
            <w:r w:rsidR="001630D4" w:rsidRPr="00C00DD6">
              <w:rPr>
                <w:rFonts w:cstheme="minorHAnsi"/>
                <w:sz w:val="22"/>
                <w:szCs w:val="22"/>
              </w:rPr>
              <w:t xml:space="preserve"> immune mediated glomerular injury </w:t>
            </w:r>
            <w:r>
              <w:rPr>
                <w:rFonts w:cstheme="minorHAnsi"/>
                <w:sz w:val="22"/>
                <w:szCs w:val="22"/>
              </w:rPr>
              <w:t>due to the</w:t>
            </w:r>
            <w:r w:rsidR="001630D4" w:rsidRPr="00C00DD6">
              <w:rPr>
                <w:rFonts w:cstheme="minorHAnsi"/>
                <w:sz w:val="22"/>
                <w:szCs w:val="22"/>
              </w:rPr>
              <w:t xml:space="preserve"> host respo</w:t>
            </w:r>
            <w:r>
              <w:rPr>
                <w:rFonts w:cstheme="minorHAnsi"/>
                <w:sz w:val="22"/>
                <w:szCs w:val="22"/>
              </w:rPr>
              <w:t>n</w:t>
            </w:r>
            <w:r w:rsidR="001630D4" w:rsidRPr="00C00DD6">
              <w:rPr>
                <w:rFonts w:cstheme="minorHAnsi"/>
                <w:sz w:val="22"/>
                <w:szCs w:val="22"/>
              </w:rPr>
              <w:t>se to streptococcal infection</w:t>
            </w:r>
            <w:r>
              <w:rPr>
                <w:rFonts w:cstheme="minorHAnsi"/>
                <w:sz w:val="22"/>
                <w:szCs w:val="22"/>
              </w:rPr>
              <w:t xml:space="preserve"> and after the exclusion of other causes</w:t>
            </w:r>
            <w:r w:rsidR="00FF7D83">
              <w:rPr>
                <w:rFonts w:cstheme="minorHAnsi"/>
                <w:sz w:val="22"/>
                <w:szCs w:val="22"/>
              </w:rPr>
              <w:t>.</w:t>
            </w:r>
          </w:p>
        </w:tc>
      </w:tr>
      <w:tr w:rsidR="00837E18" w14:paraId="11EB630A" w14:textId="77777777" w:rsidTr="006A162A">
        <w:tc>
          <w:tcPr>
            <w:tcW w:w="1129" w:type="dxa"/>
          </w:tcPr>
          <w:p w14:paraId="62C68527" w14:textId="77777777" w:rsidR="006A162A" w:rsidRPr="00C00DD6" w:rsidRDefault="001630D4" w:rsidP="003F494F">
            <w:pPr>
              <w:spacing w:before="240" w:line="360" w:lineRule="auto"/>
              <w:rPr>
                <w:rFonts w:eastAsia="Arial" w:cstheme="minorHAnsi"/>
                <w:sz w:val="22"/>
                <w:szCs w:val="22"/>
                <w:lang w:val="en" w:eastAsia="en-GB"/>
              </w:rPr>
            </w:pPr>
            <w:r w:rsidRPr="00C00DD6">
              <w:rPr>
                <w:rFonts w:eastAsia="Arial" w:cstheme="minorHAnsi"/>
                <w:sz w:val="22"/>
                <w:szCs w:val="22"/>
                <w:lang w:val="en" w:eastAsia="en-GB"/>
              </w:rPr>
              <w:t>b</w:t>
            </w:r>
          </w:p>
        </w:tc>
        <w:tc>
          <w:tcPr>
            <w:tcW w:w="9214" w:type="dxa"/>
          </w:tcPr>
          <w:p w14:paraId="74EF0DA5" w14:textId="152D65B6" w:rsidR="006A162A" w:rsidRPr="00C00DD6" w:rsidRDefault="001630D4" w:rsidP="003F494F">
            <w:pPr>
              <w:spacing w:before="240" w:line="360" w:lineRule="auto"/>
              <w:rPr>
                <w:rFonts w:eastAsia="Arial" w:cstheme="minorHAnsi"/>
                <w:sz w:val="22"/>
                <w:szCs w:val="22"/>
                <w:lang w:val="en" w:eastAsia="en-GB"/>
              </w:rPr>
            </w:pPr>
            <w:r w:rsidRPr="00C00DD6">
              <w:rPr>
                <w:rFonts w:eastAsiaTheme="minorEastAsia" w:cstheme="minorHAnsi"/>
                <w:color w:val="000000" w:themeColor="text1"/>
                <w:kern w:val="24"/>
                <w:sz w:val="22"/>
                <w:szCs w:val="22"/>
              </w:rPr>
              <w:t xml:space="preserve">Post </w:t>
            </w:r>
            <w:r w:rsidR="00C10E79">
              <w:rPr>
                <w:rFonts w:eastAsiaTheme="minorEastAsia" w:cstheme="minorHAnsi"/>
                <w:color w:val="000000" w:themeColor="text1"/>
                <w:kern w:val="24"/>
                <w:sz w:val="22"/>
                <w:szCs w:val="22"/>
              </w:rPr>
              <w:t>infectious</w:t>
            </w:r>
            <w:r w:rsidR="00C10E79" w:rsidRPr="00C00DD6">
              <w:rPr>
                <w:rFonts w:eastAsiaTheme="minorEastAsia" w:cstheme="minorHAnsi"/>
                <w:color w:val="000000" w:themeColor="text1"/>
                <w:kern w:val="24"/>
                <w:sz w:val="22"/>
                <w:szCs w:val="22"/>
              </w:rPr>
              <w:t xml:space="preserve"> </w:t>
            </w:r>
            <w:r w:rsidRPr="00C00DD6">
              <w:rPr>
                <w:rFonts w:eastAsiaTheme="minorEastAsia" w:cstheme="minorHAnsi"/>
                <w:color w:val="000000" w:themeColor="text1"/>
                <w:kern w:val="24"/>
                <w:sz w:val="22"/>
                <w:szCs w:val="22"/>
              </w:rPr>
              <w:t xml:space="preserve">GN should be suspected in the setting of </w:t>
            </w:r>
            <w:r w:rsidR="00FF7D83">
              <w:rPr>
                <w:rFonts w:eastAsiaTheme="minorEastAsia" w:cstheme="minorHAnsi"/>
                <w:color w:val="000000" w:themeColor="text1"/>
                <w:kern w:val="24"/>
                <w:sz w:val="22"/>
                <w:szCs w:val="22"/>
              </w:rPr>
              <w:t xml:space="preserve">acute nephritis with </w:t>
            </w:r>
            <w:r w:rsidRPr="00C00DD6">
              <w:rPr>
                <w:rFonts w:eastAsiaTheme="minorEastAsia" w:cstheme="minorHAnsi"/>
                <w:color w:val="000000" w:themeColor="text1"/>
                <w:kern w:val="24"/>
                <w:sz w:val="22"/>
                <w:szCs w:val="22"/>
              </w:rPr>
              <w:t xml:space="preserve">a recent pharyngitis or </w:t>
            </w:r>
            <w:r w:rsidR="0077347C">
              <w:rPr>
                <w:rFonts w:eastAsiaTheme="minorEastAsia" w:cstheme="minorHAnsi"/>
                <w:color w:val="000000" w:themeColor="text1"/>
                <w:kern w:val="24"/>
                <w:sz w:val="22"/>
                <w:szCs w:val="22"/>
              </w:rPr>
              <w:t>cellulitis</w:t>
            </w:r>
            <w:r w:rsidR="00C10E79">
              <w:rPr>
                <w:rFonts w:eastAsiaTheme="minorEastAsia" w:cstheme="minorHAnsi"/>
                <w:color w:val="000000" w:themeColor="text1"/>
                <w:kern w:val="24"/>
                <w:sz w:val="22"/>
                <w:szCs w:val="22"/>
              </w:rPr>
              <w:t xml:space="preserve"> that has occurred within the past 2 weeks</w:t>
            </w:r>
            <w:r w:rsidR="00FF7D83">
              <w:rPr>
                <w:rFonts w:eastAsiaTheme="minorEastAsia" w:cstheme="minorHAnsi"/>
                <w:color w:val="000000" w:themeColor="text1"/>
                <w:kern w:val="24"/>
                <w:sz w:val="22"/>
                <w:szCs w:val="22"/>
              </w:rPr>
              <w:t xml:space="preserve">. </w:t>
            </w:r>
          </w:p>
        </w:tc>
      </w:tr>
      <w:tr w:rsidR="00837E18" w14:paraId="652D7A05" w14:textId="77777777" w:rsidTr="006A162A">
        <w:tc>
          <w:tcPr>
            <w:tcW w:w="1129" w:type="dxa"/>
          </w:tcPr>
          <w:p w14:paraId="72931725" w14:textId="6F4387C9" w:rsidR="006A162A" w:rsidRPr="00C00DD6" w:rsidRDefault="001630D4" w:rsidP="003F494F">
            <w:pPr>
              <w:spacing w:before="240" w:line="360" w:lineRule="auto"/>
              <w:rPr>
                <w:rFonts w:eastAsia="Arial" w:cstheme="minorHAnsi"/>
                <w:sz w:val="22"/>
                <w:szCs w:val="22"/>
                <w:lang w:val="en" w:eastAsia="en-GB"/>
              </w:rPr>
            </w:pPr>
            <w:r>
              <w:rPr>
                <w:rFonts w:eastAsia="Arial" w:cstheme="minorHAnsi"/>
                <w:sz w:val="22"/>
                <w:szCs w:val="22"/>
                <w:lang w:val="en" w:eastAsia="en-GB"/>
              </w:rPr>
              <w:t>c</w:t>
            </w:r>
          </w:p>
        </w:tc>
        <w:tc>
          <w:tcPr>
            <w:tcW w:w="9214" w:type="dxa"/>
          </w:tcPr>
          <w:p w14:paraId="0FEBD3EA" w14:textId="5247AB55" w:rsidR="006A162A" w:rsidRPr="00C00DD6" w:rsidRDefault="001630D4" w:rsidP="003F494F">
            <w:pPr>
              <w:spacing w:before="240" w:line="360" w:lineRule="auto"/>
              <w:rPr>
                <w:rFonts w:eastAsiaTheme="minorEastAsia" w:cstheme="minorHAnsi"/>
                <w:color w:val="000000" w:themeColor="text1"/>
                <w:kern w:val="24"/>
                <w:sz w:val="22"/>
                <w:szCs w:val="22"/>
              </w:rPr>
            </w:pPr>
            <w:r w:rsidRPr="00C00DD6">
              <w:rPr>
                <w:rFonts w:eastAsiaTheme="minorEastAsia" w:cstheme="minorHAnsi"/>
                <w:color w:val="000000" w:themeColor="text1"/>
                <w:kern w:val="24"/>
                <w:sz w:val="22"/>
                <w:szCs w:val="22"/>
              </w:rPr>
              <w:t xml:space="preserve">If there is no history of pharyngitis or </w:t>
            </w:r>
            <w:r w:rsidR="0077347C">
              <w:rPr>
                <w:rFonts w:eastAsiaTheme="minorEastAsia" w:cstheme="minorHAnsi"/>
                <w:color w:val="000000" w:themeColor="text1"/>
                <w:kern w:val="24"/>
                <w:sz w:val="22"/>
                <w:szCs w:val="22"/>
              </w:rPr>
              <w:t>cellulitis</w:t>
            </w:r>
            <w:r w:rsidRPr="00C00DD6">
              <w:rPr>
                <w:rFonts w:eastAsiaTheme="minorEastAsia" w:cstheme="minorHAnsi"/>
                <w:color w:val="000000" w:themeColor="text1"/>
                <w:kern w:val="24"/>
                <w:sz w:val="22"/>
                <w:szCs w:val="22"/>
              </w:rPr>
              <w:t xml:space="preserve">, </w:t>
            </w:r>
            <w:r w:rsidR="00FF7D83">
              <w:rPr>
                <w:rFonts w:eastAsiaTheme="minorEastAsia" w:cstheme="minorHAnsi"/>
                <w:color w:val="000000" w:themeColor="text1"/>
                <w:kern w:val="24"/>
                <w:sz w:val="22"/>
                <w:szCs w:val="22"/>
              </w:rPr>
              <w:t xml:space="preserve">and post infectious nephritis is the likely diagnosis, an </w:t>
            </w:r>
            <w:r w:rsidRPr="00C00DD6">
              <w:rPr>
                <w:rFonts w:eastAsiaTheme="minorEastAsia" w:cstheme="minorHAnsi"/>
                <w:color w:val="000000" w:themeColor="text1"/>
                <w:kern w:val="24"/>
                <w:sz w:val="22"/>
                <w:szCs w:val="22"/>
              </w:rPr>
              <w:t>alternative source of infection should be considered (</w:t>
            </w:r>
            <w:r w:rsidRPr="00C00DD6">
              <w:rPr>
                <w:rFonts w:cstheme="minorHAnsi"/>
                <w:sz w:val="22"/>
                <w:szCs w:val="22"/>
              </w:rPr>
              <w:t>other bacterial, viral, fungal, protozoal, and helminthic infections).</w:t>
            </w:r>
          </w:p>
        </w:tc>
      </w:tr>
      <w:tr w:rsidR="00837E18" w14:paraId="4B1E3AA7" w14:textId="77777777" w:rsidTr="006A162A">
        <w:tc>
          <w:tcPr>
            <w:tcW w:w="1129" w:type="dxa"/>
          </w:tcPr>
          <w:p w14:paraId="3311FC5C" w14:textId="527140DB" w:rsidR="006A162A" w:rsidRPr="00C00DD6" w:rsidRDefault="001630D4" w:rsidP="003F494F">
            <w:pPr>
              <w:spacing w:before="240" w:line="360" w:lineRule="auto"/>
              <w:rPr>
                <w:rFonts w:eastAsia="Arial" w:cstheme="minorHAnsi"/>
                <w:sz w:val="22"/>
                <w:szCs w:val="22"/>
                <w:lang w:val="en" w:eastAsia="en-GB"/>
              </w:rPr>
            </w:pPr>
            <w:r>
              <w:rPr>
                <w:rFonts w:eastAsia="Arial" w:cstheme="minorHAnsi"/>
                <w:sz w:val="22"/>
                <w:szCs w:val="22"/>
                <w:lang w:val="en" w:eastAsia="en-GB"/>
              </w:rPr>
              <w:t>d</w:t>
            </w:r>
          </w:p>
        </w:tc>
        <w:tc>
          <w:tcPr>
            <w:tcW w:w="9214" w:type="dxa"/>
          </w:tcPr>
          <w:p w14:paraId="1D45F5E9" w14:textId="0775F1CB" w:rsidR="00FF7D83" w:rsidRPr="00C00DD6" w:rsidRDefault="001630D4" w:rsidP="003F494F">
            <w:pPr>
              <w:spacing w:line="360" w:lineRule="auto"/>
              <w:rPr>
                <w:rFonts w:cstheme="minorHAnsi"/>
                <w:sz w:val="22"/>
                <w:szCs w:val="22"/>
              </w:rPr>
            </w:pPr>
            <w:r>
              <w:rPr>
                <w:rFonts w:cstheme="minorHAnsi"/>
                <w:sz w:val="22"/>
                <w:szCs w:val="22"/>
              </w:rPr>
              <w:t>A k</w:t>
            </w:r>
            <w:r w:rsidRPr="00C00DD6">
              <w:rPr>
                <w:rFonts w:cstheme="minorHAnsi"/>
                <w:sz w:val="22"/>
                <w:szCs w:val="22"/>
              </w:rPr>
              <w:t>idney biopsy is not recommended to diagnose P</w:t>
            </w:r>
            <w:r w:rsidR="00C10E79">
              <w:rPr>
                <w:rFonts w:cstheme="minorHAnsi"/>
                <w:sz w:val="22"/>
                <w:szCs w:val="22"/>
              </w:rPr>
              <w:t>I</w:t>
            </w:r>
            <w:r w:rsidRPr="00C00DD6">
              <w:rPr>
                <w:rFonts w:cstheme="minorHAnsi"/>
                <w:sz w:val="22"/>
                <w:szCs w:val="22"/>
              </w:rPr>
              <w:t>GN however it should be considered under the following circumstances:</w:t>
            </w:r>
          </w:p>
          <w:p w14:paraId="008BD805" w14:textId="4374F3A7" w:rsidR="00C10E79" w:rsidRPr="0077347C" w:rsidRDefault="001630D4" w:rsidP="0077347C">
            <w:pPr>
              <w:pStyle w:val="ListParagraph"/>
              <w:numPr>
                <w:ilvl w:val="0"/>
                <w:numId w:val="20"/>
              </w:numPr>
              <w:spacing w:line="360" w:lineRule="auto"/>
              <w:rPr>
                <w:rFonts w:cstheme="minorHAnsi"/>
                <w:sz w:val="22"/>
                <w:szCs w:val="22"/>
              </w:rPr>
            </w:pPr>
            <w:r w:rsidRPr="00C00DD6">
              <w:rPr>
                <w:rFonts w:eastAsiaTheme="minorEastAsia" w:cstheme="minorHAnsi"/>
                <w:sz w:val="22"/>
                <w:szCs w:val="22"/>
              </w:rPr>
              <w:t xml:space="preserve">Progressive or rapid decline in </w:t>
            </w:r>
            <w:r w:rsidR="00CE54F5">
              <w:rPr>
                <w:rFonts w:eastAsiaTheme="minorEastAsia" w:cstheme="minorHAnsi"/>
                <w:sz w:val="22"/>
                <w:szCs w:val="22"/>
              </w:rPr>
              <w:t>kidney</w:t>
            </w:r>
            <w:r w:rsidR="00CE54F5" w:rsidRPr="00C00DD6">
              <w:rPr>
                <w:rFonts w:eastAsiaTheme="minorEastAsia" w:cstheme="minorHAnsi"/>
                <w:sz w:val="22"/>
                <w:szCs w:val="22"/>
              </w:rPr>
              <w:t xml:space="preserve"> </w:t>
            </w:r>
            <w:r w:rsidRPr="00C00DD6">
              <w:rPr>
                <w:rFonts w:eastAsiaTheme="minorEastAsia" w:cstheme="minorHAnsi"/>
                <w:sz w:val="22"/>
                <w:szCs w:val="22"/>
              </w:rPr>
              <w:t>function</w:t>
            </w:r>
          </w:p>
          <w:p w14:paraId="79FC35CB" w14:textId="31BA50A2" w:rsidR="00FF7D83" w:rsidRPr="003F494F" w:rsidRDefault="00C10E79" w:rsidP="003F494F">
            <w:pPr>
              <w:pStyle w:val="ListParagraph"/>
              <w:numPr>
                <w:ilvl w:val="0"/>
                <w:numId w:val="33"/>
              </w:numPr>
              <w:spacing w:before="240" w:line="360" w:lineRule="auto"/>
              <w:rPr>
                <w:rFonts w:eastAsia="Arial" w:cstheme="minorHAnsi"/>
                <w:sz w:val="22"/>
                <w:szCs w:val="22"/>
                <w:lang w:val="en" w:eastAsia="en-GB"/>
              </w:rPr>
            </w:pPr>
            <w:r>
              <w:rPr>
                <w:rFonts w:eastAsiaTheme="minorEastAsia" w:cstheme="minorHAnsi"/>
                <w:sz w:val="22"/>
                <w:szCs w:val="22"/>
              </w:rPr>
              <w:t>Severe (</w:t>
            </w:r>
            <w:r w:rsidRPr="00CF77EA">
              <w:rPr>
                <w:rFonts w:eastAsia="Arial" w:cstheme="minorHAnsi"/>
                <w:sz w:val="22"/>
                <w:szCs w:val="22"/>
                <w:lang w:val="en" w:eastAsia="en-GB"/>
              </w:rPr>
              <w:t>nephrotic state (proteinuria, oedema, low serum albumin)</w:t>
            </w:r>
            <w:r>
              <w:rPr>
                <w:rFonts w:eastAsia="Arial" w:cstheme="minorHAnsi"/>
                <w:sz w:val="22"/>
                <w:szCs w:val="22"/>
                <w:lang w:val="en" w:eastAsia="en-GB"/>
              </w:rPr>
              <w:t xml:space="preserve"> or eGFR 30-60 </w:t>
            </w:r>
            <w:r w:rsidRPr="000344E3">
              <w:rPr>
                <w:rFonts w:eastAsia="Arial" w:cstheme="minorHAnsi"/>
                <w:sz w:val="22"/>
                <w:szCs w:val="22"/>
                <w:lang w:val="en" w:eastAsia="en-GB"/>
              </w:rPr>
              <w:t>ml/min/m</w:t>
            </w:r>
            <w:r w:rsidRPr="000344E3">
              <w:rPr>
                <w:rFonts w:eastAsia="Arial" w:cstheme="minorHAnsi"/>
                <w:sz w:val="22"/>
                <w:szCs w:val="22"/>
                <w:vertAlign w:val="superscript"/>
                <w:lang w:val="en" w:eastAsia="en-GB"/>
              </w:rPr>
              <w:t>2</w:t>
            </w:r>
            <w:r w:rsidRPr="003F494F">
              <w:rPr>
                <w:rFonts w:eastAsia="Arial" w:cstheme="minorHAnsi"/>
                <w:sz w:val="22"/>
                <w:szCs w:val="22"/>
                <w:lang w:val="en" w:eastAsia="en-GB"/>
              </w:rPr>
              <w:t>)</w:t>
            </w:r>
            <w:r>
              <w:rPr>
                <w:rFonts w:eastAsia="Arial" w:cstheme="minorHAnsi"/>
                <w:sz w:val="22"/>
                <w:szCs w:val="22"/>
                <w:vertAlign w:val="superscript"/>
                <w:lang w:val="en" w:eastAsia="en-GB"/>
              </w:rPr>
              <w:t xml:space="preserve"> </w:t>
            </w:r>
            <w:r>
              <w:rPr>
                <w:rFonts w:eastAsiaTheme="minorEastAsia" w:cstheme="minorHAnsi"/>
                <w:sz w:val="22"/>
                <w:szCs w:val="22"/>
              </w:rPr>
              <w:t xml:space="preserve">or moderate features (persisting proteinuria </w:t>
            </w:r>
            <w:r>
              <w:rPr>
                <w:rFonts w:eastAsia="Arial" w:cstheme="minorHAnsi"/>
                <w:sz w:val="22"/>
                <w:szCs w:val="22"/>
                <w:lang w:val="en" w:eastAsia="en-GB"/>
              </w:rPr>
              <w:t xml:space="preserve">UPCR &gt;100mg/mmol, without </w:t>
            </w:r>
            <w:r>
              <w:rPr>
                <w:rFonts w:eastAsia="Arial" w:cstheme="minorHAnsi"/>
                <w:sz w:val="22"/>
                <w:szCs w:val="22"/>
                <w:lang w:val="en" w:eastAsia="en-GB"/>
              </w:rPr>
              <w:lastRenderedPageBreak/>
              <w:t xml:space="preserve">nephrotic </w:t>
            </w:r>
            <w:proofErr w:type="gramStart"/>
            <w:r>
              <w:rPr>
                <w:rFonts w:eastAsia="Arial" w:cstheme="minorHAnsi"/>
                <w:sz w:val="22"/>
                <w:szCs w:val="22"/>
                <w:lang w:val="en" w:eastAsia="en-GB"/>
              </w:rPr>
              <w:t>state</w:t>
            </w:r>
            <w:r w:rsidRPr="000344E3">
              <w:rPr>
                <w:rFonts w:eastAsia="Arial" w:cstheme="minorHAnsi"/>
                <w:sz w:val="22"/>
                <w:szCs w:val="22"/>
                <w:lang w:val="en" w:eastAsia="en-GB"/>
              </w:rPr>
              <w:t xml:space="preserve"> </w:t>
            </w:r>
            <w:r>
              <w:rPr>
                <w:rFonts w:eastAsia="Arial" w:cstheme="minorHAnsi"/>
                <w:sz w:val="22"/>
                <w:szCs w:val="22"/>
                <w:vertAlign w:val="superscript"/>
                <w:lang w:val="en" w:eastAsia="en-GB"/>
              </w:rPr>
              <w:t xml:space="preserve"> </w:t>
            </w:r>
            <w:r>
              <w:rPr>
                <w:rFonts w:eastAsia="Arial" w:cstheme="minorHAnsi"/>
                <w:sz w:val="22"/>
                <w:szCs w:val="22"/>
                <w:lang w:val="en" w:eastAsia="en-GB"/>
              </w:rPr>
              <w:t>or</w:t>
            </w:r>
            <w:proofErr w:type="gramEnd"/>
            <w:r>
              <w:rPr>
                <w:rFonts w:eastAsia="Arial" w:cstheme="minorHAnsi"/>
                <w:sz w:val="22"/>
                <w:szCs w:val="22"/>
                <w:lang w:val="en" w:eastAsia="en-GB"/>
              </w:rPr>
              <w:t xml:space="preserve"> </w:t>
            </w:r>
            <w:r w:rsidRPr="000344E3">
              <w:rPr>
                <w:rFonts w:eastAsia="Arial" w:cstheme="minorHAnsi"/>
                <w:sz w:val="22"/>
                <w:szCs w:val="22"/>
                <w:lang w:val="en" w:eastAsia="en-GB"/>
              </w:rPr>
              <w:t xml:space="preserve">eGFR </w:t>
            </w:r>
            <w:r>
              <w:rPr>
                <w:rFonts w:eastAsia="Arial" w:cstheme="minorHAnsi"/>
                <w:sz w:val="22"/>
                <w:szCs w:val="22"/>
                <w:lang w:val="en" w:eastAsia="en-GB"/>
              </w:rPr>
              <w:t>6</w:t>
            </w:r>
            <w:r w:rsidRPr="000344E3">
              <w:rPr>
                <w:rFonts w:eastAsia="Arial" w:cstheme="minorHAnsi"/>
                <w:sz w:val="22"/>
                <w:szCs w:val="22"/>
                <w:lang w:val="en" w:eastAsia="en-GB"/>
              </w:rPr>
              <w:t>0</w:t>
            </w:r>
            <w:r>
              <w:rPr>
                <w:rFonts w:eastAsia="Arial" w:cstheme="minorHAnsi"/>
                <w:sz w:val="22"/>
                <w:szCs w:val="22"/>
                <w:lang w:val="en" w:eastAsia="en-GB"/>
              </w:rPr>
              <w:t>-</w:t>
            </w:r>
            <w:r w:rsidRPr="000344E3">
              <w:rPr>
                <w:rFonts w:eastAsia="Arial" w:cstheme="minorHAnsi"/>
                <w:sz w:val="22"/>
                <w:szCs w:val="22"/>
                <w:lang w:val="en" w:eastAsia="en-GB"/>
              </w:rPr>
              <w:t>90</w:t>
            </w:r>
            <w:r>
              <w:rPr>
                <w:rFonts w:eastAsia="Arial" w:cstheme="minorHAnsi"/>
                <w:sz w:val="22"/>
                <w:szCs w:val="22"/>
                <w:lang w:val="en" w:eastAsia="en-GB"/>
              </w:rPr>
              <w:t xml:space="preserve"> </w:t>
            </w:r>
            <w:r w:rsidRPr="00CF77EA">
              <w:rPr>
                <w:rFonts w:eastAsia="Arial" w:cstheme="minorHAnsi"/>
                <w:sz w:val="22"/>
                <w:szCs w:val="22"/>
                <w:lang w:val="en" w:eastAsia="en-GB"/>
              </w:rPr>
              <w:t>ml/min/m</w:t>
            </w:r>
            <w:r w:rsidRPr="00CF77EA">
              <w:rPr>
                <w:rFonts w:eastAsia="Arial" w:cstheme="minorHAnsi"/>
                <w:sz w:val="22"/>
                <w:szCs w:val="22"/>
                <w:vertAlign w:val="superscript"/>
                <w:lang w:val="en" w:eastAsia="en-GB"/>
              </w:rPr>
              <w:t>2</w:t>
            </w:r>
            <w:r>
              <w:rPr>
                <w:rFonts w:eastAsia="Arial" w:cstheme="minorHAnsi"/>
                <w:sz w:val="22"/>
                <w:szCs w:val="22"/>
                <w:lang w:val="en" w:eastAsia="en-GB"/>
              </w:rPr>
              <w:t xml:space="preserve">) that demonstrates worsening or fails to improve during the acute phase (&lt;3 months from diagnosis). </w:t>
            </w:r>
          </w:p>
          <w:p w14:paraId="031B73A7" w14:textId="665CE2E8" w:rsidR="0077347C" w:rsidRPr="0077347C" w:rsidRDefault="0077347C" w:rsidP="003F494F">
            <w:pPr>
              <w:pStyle w:val="ListParagraph"/>
              <w:numPr>
                <w:ilvl w:val="0"/>
                <w:numId w:val="20"/>
              </w:numPr>
              <w:spacing w:line="360" w:lineRule="auto"/>
              <w:rPr>
                <w:rFonts w:cstheme="minorHAnsi"/>
                <w:sz w:val="22"/>
                <w:szCs w:val="22"/>
              </w:rPr>
            </w:pPr>
            <w:r w:rsidRPr="00C00DD6">
              <w:rPr>
                <w:rFonts w:eastAsiaTheme="minorEastAsia" w:cstheme="minorHAnsi"/>
                <w:sz w:val="22"/>
                <w:szCs w:val="22"/>
              </w:rPr>
              <w:t xml:space="preserve">Normal </w:t>
            </w:r>
            <w:r>
              <w:rPr>
                <w:rFonts w:eastAsiaTheme="minorEastAsia" w:cstheme="minorHAnsi"/>
                <w:sz w:val="22"/>
                <w:szCs w:val="22"/>
              </w:rPr>
              <w:t xml:space="preserve">serum </w:t>
            </w:r>
            <w:proofErr w:type="gramStart"/>
            <w:r w:rsidRPr="00C00DD6">
              <w:rPr>
                <w:rFonts w:eastAsiaTheme="minorEastAsia" w:cstheme="minorHAnsi"/>
                <w:sz w:val="22"/>
                <w:szCs w:val="22"/>
              </w:rPr>
              <w:t>complement</w:t>
            </w:r>
            <w:proofErr w:type="gramEnd"/>
            <w:r w:rsidRPr="00C00DD6">
              <w:rPr>
                <w:rFonts w:eastAsiaTheme="minorEastAsia" w:cstheme="minorHAnsi"/>
                <w:sz w:val="22"/>
                <w:szCs w:val="22"/>
              </w:rPr>
              <w:t xml:space="preserve"> </w:t>
            </w:r>
            <w:r>
              <w:rPr>
                <w:rFonts w:eastAsiaTheme="minorEastAsia" w:cstheme="minorHAnsi"/>
                <w:sz w:val="22"/>
                <w:szCs w:val="22"/>
              </w:rPr>
              <w:t xml:space="preserve">C3 </w:t>
            </w:r>
            <w:r w:rsidRPr="00C00DD6">
              <w:rPr>
                <w:rFonts w:eastAsiaTheme="minorEastAsia" w:cstheme="minorHAnsi"/>
                <w:sz w:val="22"/>
                <w:szCs w:val="22"/>
              </w:rPr>
              <w:t xml:space="preserve">levels </w:t>
            </w:r>
            <w:r>
              <w:rPr>
                <w:rFonts w:eastAsiaTheme="minorEastAsia" w:cstheme="minorHAnsi"/>
                <w:sz w:val="22"/>
                <w:szCs w:val="22"/>
              </w:rPr>
              <w:t>throughout the disease course</w:t>
            </w:r>
            <w:r w:rsidRPr="00C00DD6">
              <w:rPr>
                <w:rFonts w:eastAsiaTheme="minorEastAsia" w:cstheme="minorHAnsi"/>
                <w:sz w:val="22"/>
                <w:szCs w:val="22"/>
              </w:rPr>
              <w:t xml:space="preserve"> or </w:t>
            </w:r>
            <w:r>
              <w:rPr>
                <w:rFonts w:eastAsiaTheme="minorEastAsia" w:cstheme="minorHAnsi"/>
                <w:sz w:val="22"/>
                <w:szCs w:val="22"/>
              </w:rPr>
              <w:t xml:space="preserve">a </w:t>
            </w:r>
            <w:r w:rsidRPr="00C00DD6">
              <w:rPr>
                <w:rFonts w:eastAsiaTheme="minorEastAsia" w:cstheme="minorHAnsi"/>
                <w:sz w:val="22"/>
                <w:szCs w:val="22"/>
              </w:rPr>
              <w:t xml:space="preserve">failure of </w:t>
            </w:r>
            <w:r>
              <w:rPr>
                <w:rFonts w:eastAsiaTheme="minorEastAsia" w:cstheme="minorHAnsi"/>
                <w:sz w:val="22"/>
                <w:szCs w:val="22"/>
              </w:rPr>
              <w:t xml:space="preserve">the </w:t>
            </w:r>
            <w:r w:rsidRPr="00C00DD6">
              <w:rPr>
                <w:rFonts w:eastAsiaTheme="minorEastAsia" w:cstheme="minorHAnsi"/>
                <w:sz w:val="22"/>
                <w:szCs w:val="22"/>
              </w:rPr>
              <w:t xml:space="preserve">complement C3 </w:t>
            </w:r>
            <w:r>
              <w:rPr>
                <w:rFonts w:eastAsiaTheme="minorEastAsia" w:cstheme="minorHAnsi"/>
                <w:sz w:val="22"/>
                <w:szCs w:val="22"/>
              </w:rPr>
              <w:t xml:space="preserve">levels </w:t>
            </w:r>
            <w:r w:rsidRPr="00C00DD6">
              <w:rPr>
                <w:rFonts w:eastAsiaTheme="minorEastAsia" w:cstheme="minorHAnsi"/>
                <w:sz w:val="22"/>
                <w:szCs w:val="22"/>
              </w:rPr>
              <w:t>to recover</w:t>
            </w:r>
            <w:r>
              <w:rPr>
                <w:rFonts w:eastAsiaTheme="minorEastAsia" w:cstheme="minorHAnsi"/>
                <w:sz w:val="22"/>
                <w:szCs w:val="22"/>
              </w:rPr>
              <w:t xml:space="preserve"> at 3 months after the initial diagnosis</w:t>
            </w:r>
            <w:r w:rsidRPr="00C00DD6">
              <w:rPr>
                <w:rFonts w:eastAsiaTheme="minorEastAsia" w:cstheme="minorHAnsi"/>
                <w:sz w:val="22"/>
                <w:szCs w:val="22"/>
              </w:rPr>
              <w:t>.</w:t>
            </w:r>
            <w:r>
              <w:rPr>
                <w:rFonts w:eastAsiaTheme="minorEastAsia" w:cstheme="minorHAnsi"/>
                <w:sz w:val="22"/>
                <w:szCs w:val="22"/>
              </w:rPr>
              <w:t xml:space="preserve"> </w:t>
            </w:r>
          </w:p>
          <w:p w14:paraId="1E093E62" w14:textId="78CD352B" w:rsidR="0077347C" w:rsidRPr="0077347C" w:rsidRDefault="0077347C" w:rsidP="003F494F">
            <w:pPr>
              <w:pStyle w:val="ListParagraph"/>
              <w:numPr>
                <w:ilvl w:val="0"/>
                <w:numId w:val="20"/>
              </w:numPr>
              <w:spacing w:line="360" w:lineRule="auto"/>
              <w:rPr>
                <w:rFonts w:cstheme="minorHAnsi"/>
                <w:sz w:val="22"/>
                <w:szCs w:val="22"/>
              </w:rPr>
            </w:pPr>
            <w:r w:rsidRPr="003F494F">
              <w:rPr>
                <w:rFonts w:eastAsiaTheme="minorEastAsia" w:cstheme="minorHAnsi"/>
                <w:sz w:val="22"/>
                <w:szCs w:val="22"/>
              </w:rPr>
              <w:t>Positive autoantibodies, ANA, dsDNA, anti-GBM or ANCA</w:t>
            </w:r>
          </w:p>
          <w:p w14:paraId="5BA89BB7" w14:textId="582AF590" w:rsidR="00FF7D83" w:rsidRPr="00C00DD6" w:rsidRDefault="001630D4" w:rsidP="003F494F">
            <w:pPr>
              <w:pStyle w:val="ListParagraph"/>
              <w:numPr>
                <w:ilvl w:val="0"/>
                <w:numId w:val="20"/>
              </w:numPr>
              <w:spacing w:line="360" w:lineRule="auto"/>
              <w:rPr>
                <w:rFonts w:cstheme="minorHAnsi"/>
                <w:sz w:val="22"/>
                <w:szCs w:val="22"/>
              </w:rPr>
            </w:pPr>
            <w:r w:rsidRPr="00C00DD6">
              <w:rPr>
                <w:rFonts w:eastAsiaTheme="minorEastAsia" w:cstheme="minorHAnsi"/>
                <w:sz w:val="22"/>
                <w:szCs w:val="22"/>
              </w:rPr>
              <w:t xml:space="preserve">Concerns regarding </w:t>
            </w:r>
            <w:r>
              <w:rPr>
                <w:rFonts w:eastAsiaTheme="minorEastAsia" w:cstheme="minorHAnsi"/>
                <w:sz w:val="22"/>
                <w:szCs w:val="22"/>
              </w:rPr>
              <w:t>other</w:t>
            </w:r>
            <w:r w:rsidRPr="00C00DD6">
              <w:rPr>
                <w:rFonts w:eastAsiaTheme="minorEastAsia" w:cstheme="minorHAnsi"/>
                <w:sz w:val="22"/>
                <w:szCs w:val="22"/>
              </w:rPr>
              <w:t xml:space="preserve"> diagnos</w:t>
            </w:r>
            <w:r>
              <w:rPr>
                <w:rFonts w:eastAsiaTheme="minorEastAsia" w:cstheme="minorHAnsi"/>
                <w:sz w:val="22"/>
                <w:szCs w:val="22"/>
              </w:rPr>
              <w:t>e</w:t>
            </w:r>
            <w:r w:rsidRPr="00C00DD6">
              <w:rPr>
                <w:rFonts w:eastAsiaTheme="minorEastAsia" w:cstheme="minorHAnsi"/>
                <w:sz w:val="22"/>
                <w:szCs w:val="22"/>
              </w:rPr>
              <w:t>s</w:t>
            </w:r>
            <w:r>
              <w:rPr>
                <w:rFonts w:eastAsiaTheme="minorEastAsia" w:cstheme="minorHAnsi"/>
                <w:sz w:val="22"/>
                <w:szCs w:val="22"/>
              </w:rPr>
              <w:t>, for example</w:t>
            </w:r>
          </w:p>
          <w:p w14:paraId="540B2884" w14:textId="203B8796" w:rsidR="006A162A" w:rsidRPr="0077347C" w:rsidRDefault="001630D4" w:rsidP="003F494F">
            <w:pPr>
              <w:pStyle w:val="ListParagraph"/>
              <w:numPr>
                <w:ilvl w:val="0"/>
                <w:numId w:val="19"/>
              </w:numPr>
              <w:spacing w:line="360" w:lineRule="auto"/>
              <w:rPr>
                <w:rFonts w:cstheme="minorHAnsi"/>
                <w:sz w:val="22"/>
                <w:szCs w:val="22"/>
              </w:rPr>
            </w:pPr>
            <w:r w:rsidRPr="00C00DD6">
              <w:rPr>
                <w:rFonts w:eastAsiaTheme="minorEastAsia" w:cstheme="minorHAnsi"/>
                <w:sz w:val="22"/>
                <w:szCs w:val="22"/>
              </w:rPr>
              <w:t>Extra-renal manifestations of systemic disease</w:t>
            </w:r>
          </w:p>
        </w:tc>
      </w:tr>
      <w:tr w:rsidR="00837E18" w14:paraId="7F893EE5" w14:textId="77777777" w:rsidTr="006A162A">
        <w:tc>
          <w:tcPr>
            <w:tcW w:w="1129" w:type="dxa"/>
          </w:tcPr>
          <w:p w14:paraId="6E850913" w14:textId="21B042E7" w:rsidR="006A162A" w:rsidRPr="00C00DD6" w:rsidRDefault="001630D4" w:rsidP="003F494F">
            <w:pPr>
              <w:spacing w:before="240" w:line="360" w:lineRule="auto"/>
              <w:rPr>
                <w:rFonts w:eastAsia="Arial" w:cstheme="minorHAnsi"/>
                <w:sz w:val="22"/>
                <w:szCs w:val="22"/>
                <w:lang w:val="en" w:eastAsia="en-GB"/>
              </w:rPr>
            </w:pPr>
            <w:r>
              <w:rPr>
                <w:rFonts w:eastAsia="Arial" w:cstheme="minorHAnsi"/>
                <w:sz w:val="22"/>
                <w:szCs w:val="22"/>
                <w:lang w:val="en" w:eastAsia="en-GB"/>
              </w:rPr>
              <w:lastRenderedPageBreak/>
              <w:t>e</w:t>
            </w:r>
          </w:p>
        </w:tc>
        <w:tc>
          <w:tcPr>
            <w:tcW w:w="9214" w:type="dxa"/>
          </w:tcPr>
          <w:p w14:paraId="00BA20CE" w14:textId="22600065" w:rsidR="006A162A" w:rsidRPr="00FF7D83" w:rsidRDefault="001630D4" w:rsidP="003F494F">
            <w:pPr>
              <w:spacing w:line="360" w:lineRule="auto"/>
              <w:rPr>
                <w:rFonts w:cstheme="minorHAnsi"/>
                <w:sz w:val="22"/>
                <w:szCs w:val="22"/>
              </w:rPr>
            </w:pPr>
            <w:r w:rsidRPr="00FF7D83">
              <w:rPr>
                <w:rFonts w:eastAsiaTheme="minorEastAsia" w:cstheme="minorHAnsi"/>
                <w:color w:val="000000" w:themeColor="text1"/>
                <w:kern w:val="24"/>
                <w:sz w:val="22"/>
                <w:szCs w:val="22"/>
              </w:rPr>
              <w:t xml:space="preserve">Persistent microscopic haematuria is common in </w:t>
            </w:r>
            <w:proofErr w:type="gramStart"/>
            <w:r w:rsidRPr="00FF7D83">
              <w:rPr>
                <w:rFonts w:eastAsiaTheme="minorEastAsia" w:cstheme="minorHAnsi"/>
                <w:color w:val="000000" w:themeColor="text1"/>
                <w:kern w:val="24"/>
                <w:sz w:val="22"/>
                <w:szCs w:val="22"/>
              </w:rPr>
              <w:t>P</w:t>
            </w:r>
            <w:r>
              <w:rPr>
                <w:rFonts w:eastAsiaTheme="minorEastAsia" w:cstheme="minorHAnsi"/>
                <w:color w:val="000000" w:themeColor="text1"/>
                <w:kern w:val="24"/>
                <w:sz w:val="22"/>
                <w:szCs w:val="22"/>
              </w:rPr>
              <w:t>I</w:t>
            </w:r>
            <w:r w:rsidRPr="00FF7D83">
              <w:rPr>
                <w:rFonts w:eastAsiaTheme="minorEastAsia" w:cstheme="minorHAnsi"/>
                <w:color w:val="000000" w:themeColor="text1"/>
                <w:kern w:val="24"/>
                <w:sz w:val="22"/>
                <w:szCs w:val="22"/>
              </w:rPr>
              <w:t>GN</w:t>
            </w:r>
            <w:proofErr w:type="gramEnd"/>
            <w:r w:rsidRPr="00FF7D83">
              <w:rPr>
                <w:rFonts w:eastAsiaTheme="minorEastAsia" w:cstheme="minorHAnsi"/>
                <w:color w:val="000000" w:themeColor="text1"/>
                <w:kern w:val="24"/>
                <w:sz w:val="22"/>
                <w:szCs w:val="22"/>
              </w:rPr>
              <w:t xml:space="preserve"> and </w:t>
            </w:r>
            <w:r>
              <w:rPr>
                <w:rFonts w:eastAsiaTheme="minorEastAsia" w:cstheme="minorHAnsi"/>
                <w:color w:val="000000" w:themeColor="text1"/>
                <w:kern w:val="24"/>
                <w:sz w:val="22"/>
                <w:szCs w:val="22"/>
              </w:rPr>
              <w:t xml:space="preserve">this </w:t>
            </w:r>
            <w:r w:rsidRPr="00FF7D83">
              <w:rPr>
                <w:rFonts w:eastAsiaTheme="minorEastAsia" w:cstheme="minorHAnsi"/>
                <w:color w:val="000000" w:themeColor="text1"/>
                <w:kern w:val="24"/>
                <w:sz w:val="22"/>
                <w:szCs w:val="22"/>
              </w:rPr>
              <w:t xml:space="preserve">may persist for up to 2 years.  </w:t>
            </w:r>
            <w:r>
              <w:rPr>
                <w:rFonts w:eastAsiaTheme="minorEastAsia" w:cstheme="minorHAnsi"/>
                <w:color w:val="000000" w:themeColor="text1"/>
                <w:kern w:val="24"/>
                <w:sz w:val="22"/>
                <w:szCs w:val="22"/>
              </w:rPr>
              <w:t>If this is an isolated finding i</w:t>
            </w:r>
            <w:r w:rsidRPr="00FF7D83">
              <w:rPr>
                <w:rFonts w:eastAsiaTheme="minorEastAsia" w:cstheme="minorHAnsi"/>
                <w:color w:val="000000" w:themeColor="text1"/>
                <w:kern w:val="24"/>
                <w:sz w:val="22"/>
                <w:szCs w:val="22"/>
              </w:rPr>
              <w:t xml:space="preserve">t is </w:t>
            </w:r>
            <w:r>
              <w:rPr>
                <w:rFonts w:eastAsiaTheme="minorEastAsia" w:cstheme="minorHAnsi"/>
                <w:color w:val="000000" w:themeColor="text1"/>
                <w:kern w:val="24"/>
                <w:sz w:val="22"/>
                <w:szCs w:val="22"/>
              </w:rPr>
              <w:t xml:space="preserve">generally not considered </w:t>
            </w:r>
            <w:r w:rsidRPr="00FF7D83">
              <w:rPr>
                <w:rFonts w:eastAsiaTheme="minorEastAsia" w:cstheme="minorHAnsi"/>
                <w:color w:val="000000" w:themeColor="text1"/>
                <w:kern w:val="24"/>
                <w:sz w:val="22"/>
                <w:szCs w:val="22"/>
              </w:rPr>
              <w:t xml:space="preserve">an indication </w:t>
            </w:r>
            <w:r>
              <w:rPr>
                <w:rFonts w:eastAsiaTheme="minorEastAsia" w:cstheme="minorHAnsi"/>
                <w:color w:val="000000" w:themeColor="text1"/>
                <w:kern w:val="24"/>
                <w:sz w:val="22"/>
                <w:szCs w:val="22"/>
              </w:rPr>
              <w:t>to perform a</w:t>
            </w:r>
            <w:r w:rsidRPr="00FF7D83">
              <w:rPr>
                <w:rFonts w:eastAsiaTheme="minorEastAsia" w:cstheme="minorHAnsi"/>
                <w:color w:val="000000" w:themeColor="text1"/>
                <w:kern w:val="24"/>
                <w:sz w:val="22"/>
                <w:szCs w:val="22"/>
              </w:rPr>
              <w:t xml:space="preserve"> kidney biopsy</w:t>
            </w:r>
            <w:r>
              <w:rPr>
                <w:rFonts w:eastAsiaTheme="minorEastAsia" w:cstheme="minorHAnsi"/>
                <w:color w:val="000000" w:themeColor="text1"/>
                <w:kern w:val="24"/>
                <w:sz w:val="22"/>
                <w:szCs w:val="22"/>
              </w:rPr>
              <w:t xml:space="preserve">. </w:t>
            </w:r>
          </w:p>
        </w:tc>
      </w:tr>
    </w:tbl>
    <w:p w14:paraId="2705AFC4" w14:textId="77777777" w:rsidR="006A162A" w:rsidRPr="00C00DD6" w:rsidRDefault="006A162A" w:rsidP="003F494F">
      <w:pPr>
        <w:spacing w:line="360" w:lineRule="auto"/>
        <w:rPr>
          <w:rFonts w:eastAsiaTheme="minorEastAsia" w:cstheme="minorHAnsi"/>
          <w:b/>
          <w:bCs/>
          <w:color w:val="000000" w:themeColor="text1"/>
          <w:kern w:val="24"/>
          <w:sz w:val="22"/>
          <w:szCs w:val="22"/>
          <w:lang w:val="en-US"/>
        </w:rPr>
      </w:pPr>
    </w:p>
    <w:p w14:paraId="6C794E1E" w14:textId="7BB28415" w:rsidR="006A162A" w:rsidRPr="00C00DD6" w:rsidRDefault="001630D4" w:rsidP="003F494F">
      <w:pPr>
        <w:spacing w:line="360" w:lineRule="auto"/>
        <w:rPr>
          <w:rFonts w:cstheme="minorHAnsi"/>
          <w:b/>
          <w:bCs/>
          <w:sz w:val="22"/>
          <w:szCs w:val="22"/>
          <w:lang w:val="en" w:eastAsia="en-GB"/>
        </w:rPr>
      </w:pPr>
      <w:r w:rsidRPr="00C00DD6">
        <w:rPr>
          <w:rFonts w:cstheme="minorHAnsi"/>
          <w:b/>
          <w:bCs/>
          <w:sz w:val="22"/>
          <w:szCs w:val="22"/>
          <w:lang w:val="en" w:eastAsia="en-GB"/>
        </w:rPr>
        <w:t>Management of post infectious GN</w:t>
      </w:r>
    </w:p>
    <w:p w14:paraId="7D0FC447" w14:textId="77777777" w:rsidR="00EF3EE0" w:rsidRPr="00C00DD6" w:rsidRDefault="00EF3EE0" w:rsidP="003F494F">
      <w:pPr>
        <w:pStyle w:val="NormalWeb"/>
        <w:spacing w:before="0" w:beforeAutospacing="0" w:after="0" w:afterAutospacing="0" w:line="360" w:lineRule="auto"/>
        <w:rPr>
          <w:rFonts w:asciiTheme="minorHAnsi" w:eastAsiaTheme="minorEastAsia" w:hAnsiTheme="minorHAnsi" w:cstheme="minorHAnsi"/>
          <w:color w:val="000000" w:themeColor="text1"/>
          <w:kern w:val="24"/>
          <w:sz w:val="22"/>
          <w:szCs w:val="22"/>
          <w:lang w:val="en-US"/>
        </w:rPr>
      </w:pPr>
    </w:p>
    <w:tbl>
      <w:tblPr>
        <w:tblStyle w:val="TableGrid"/>
        <w:tblW w:w="10348" w:type="dxa"/>
        <w:tblInd w:w="-5" w:type="dxa"/>
        <w:tblLook w:val="04A0" w:firstRow="1" w:lastRow="0" w:firstColumn="1" w:lastColumn="0" w:noHBand="0" w:noVBand="1"/>
      </w:tblPr>
      <w:tblGrid>
        <w:gridCol w:w="1034"/>
        <w:gridCol w:w="7471"/>
        <w:gridCol w:w="1843"/>
      </w:tblGrid>
      <w:tr w:rsidR="00837E18" w14:paraId="734CF9D2" w14:textId="77777777" w:rsidTr="00C00DD6">
        <w:tc>
          <w:tcPr>
            <w:tcW w:w="1034" w:type="dxa"/>
          </w:tcPr>
          <w:p w14:paraId="479C5E12" w14:textId="7452544C" w:rsidR="006A162A" w:rsidRPr="00C00DD6" w:rsidRDefault="001630D4" w:rsidP="003F494F">
            <w:pPr>
              <w:spacing w:line="360" w:lineRule="auto"/>
              <w:rPr>
                <w:rFonts w:cstheme="minorHAnsi"/>
                <w:b/>
                <w:sz w:val="22"/>
                <w:szCs w:val="22"/>
              </w:rPr>
            </w:pPr>
            <w:r w:rsidRPr="00C00DD6">
              <w:rPr>
                <w:rFonts w:cstheme="minorHAnsi"/>
                <w:b/>
                <w:sz w:val="22"/>
                <w:szCs w:val="22"/>
              </w:rPr>
              <w:t>Number</w:t>
            </w:r>
          </w:p>
        </w:tc>
        <w:tc>
          <w:tcPr>
            <w:tcW w:w="7471" w:type="dxa"/>
          </w:tcPr>
          <w:p w14:paraId="54D1AB2F" w14:textId="642E3D66" w:rsidR="006A162A" w:rsidRPr="00C00DD6" w:rsidRDefault="001630D4" w:rsidP="003F494F">
            <w:pPr>
              <w:spacing w:line="360" w:lineRule="auto"/>
              <w:rPr>
                <w:rFonts w:cstheme="minorHAnsi"/>
                <w:b/>
                <w:sz w:val="22"/>
                <w:szCs w:val="22"/>
              </w:rPr>
            </w:pPr>
            <w:r w:rsidRPr="00C00DD6">
              <w:rPr>
                <w:rFonts w:cstheme="minorHAnsi"/>
                <w:b/>
                <w:sz w:val="22"/>
                <w:szCs w:val="22"/>
              </w:rPr>
              <w:t>RECOMMENDATION</w:t>
            </w:r>
          </w:p>
        </w:tc>
        <w:tc>
          <w:tcPr>
            <w:tcW w:w="1843" w:type="dxa"/>
          </w:tcPr>
          <w:p w14:paraId="30BD9013" w14:textId="1B123DCA" w:rsidR="006A162A" w:rsidRPr="00C00DD6" w:rsidRDefault="001630D4" w:rsidP="003F494F">
            <w:pPr>
              <w:spacing w:line="360" w:lineRule="auto"/>
              <w:jc w:val="center"/>
              <w:rPr>
                <w:rFonts w:cstheme="minorHAnsi"/>
                <w:b/>
                <w:sz w:val="22"/>
                <w:szCs w:val="22"/>
              </w:rPr>
            </w:pPr>
            <w:r w:rsidRPr="00A13B72">
              <w:rPr>
                <w:rFonts w:cstheme="minorHAnsi"/>
                <w:b/>
                <w:sz w:val="22"/>
                <w:szCs w:val="22"/>
              </w:rPr>
              <w:t>Grade</w:t>
            </w:r>
          </w:p>
        </w:tc>
      </w:tr>
      <w:tr w:rsidR="00837E18" w14:paraId="5223FF09" w14:textId="77777777" w:rsidTr="00C00DD6">
        <w:tc>
          <w:tcPr>
            <w:tcW w:w="1034" w:type="dxa"/>
          </w:tcPr>
          <w:p w14:paraId="6B18F415" w14:textId="35DC46C7" w:rsidR="00EF3EE0" w:rsidRPr="00C00DD6" w:rsidRDefault="001630D4" w:rsidP="003F494F">
            <w:pPr>
              <w:spacing w:line="360" w:lineRule="auto"/>
              <w:rPr>
                <w:rFonts w:cstheme="minorHAnsi"/>
                <w:sz w:val="22"/>
                <w:szCs w:val="22"/>
              </w:rPr>
            </w:pPr>
            <w:r>
              <w:rPr>
                <w:rFonts w:cstheme="minorHAnsi"/>
                <w:sz w:val="22"/>
                <w:szCs w:val="22"/>
              </w:rPr>
              <w:t>PIGN 8</w:t>
            </w:r>
            <w:r w:rsidR="00F16F32" w:rsidRPr="00C00DD6">
              <w:rPr>
                <w:rFonts w:cstheme="minorHAnsi"/>
                <w:sz w:val="22"/>
                <w:szCs w:val="22"/>
              </w:rPr>
              <w:t>.1</w:t>
            </w:r>
          </w:p>
        </w:tc>
        <w:tc>
          <w:tcPr>
            <w:tcW w:w="7471" w:type="dxa"/>
          </w:tcPr>
          <w:p w14:paraId="289081FE" w14:textId="13B36602" w:rsidR="00EF3EE0" w:rsidRPr="00C00DD6" w:rsidRDefault="001630D4" w:rsidP="003F494F">
            <w:pPr>
              <w:spacing w:line="360" w:lineRule="auto"/>
              <w:rPr>
                <w:rFonts w:eastAsiaTheme="minorEastAsia" w:cstheme="minorHAnsi"/>
                <w:color w:val="000000" w:themeColor="text1"/>
                <w:kern w:val="24"/>
                <w:sz w:val="22"/>
                <w:szCs w:val="22"/>
              </w:rPr>
            </w:pPr>
            <w:r w:rsidRPr="00FF7D83">
              <w:rPr>
                <w:rFonts w:eastAsiaTheme="minorEastAsia" w:cstheme="minorHAnsi"/>
                <w:color w:val="000000" w:themeColor="text1"/>
                <w:kern w:val="24"/>
                <w:sz w:val="22"/>
                <w:szCs w:val="22"/>
                <w:u w:val="single"/>
              </w:rPr>
              <w:t>We recommend</w:t>
            </w:r>
            <w:r w:rsidRPr="00C00DD6">
              <w:rPr>
                <w:rFonts w:eastAsiaTheme="minorEastAsia" w:cstheme="minorHAnsi"/>
                <w:color w:val="000000" w:themeColor="text1"/>
                <w:kern w:val="24"/>
                <w:sz w:val="22"/>
                <w:szCs w:val="22"/>
              </w:rPr>
              <w:t xml:space="preserve"> </w:t>
            </w:r>
            <w:r w:rsidR="00FF7D83">
              <w:rPr>
                <w:rFonts w:eastAsiaTheme="minorEastAsia" w:cstheme="minorHAnsi"/>
                <w:color w:val="000000" w:themeColor="text1"/>
                <w:kern w:val="24"/>
                <w:sz w:val="22"/>
                <w:szCs w:val="22"/>
              </w:rPr>
              <w:t>conservative</w:t>
            </w:r>
            <w:r w:rsidRPr="00C00DD6">
              <w:rPr>
                <w:rFonts w:eastAsiaTheme="minorEastAsia" w:cstheme="minorHAnsi"/>
                <w:color w:val="000000" w:themeColor="text1"/>
                <w:kern w:val="24"/>
                <w:sz w:val="22"/>
                <w:szCs w:val="22"/>
              </w:rPr>
              <w:t xml:space="preserve"> treatment in </w:t>
            </w:r>
            <w:r w:rsidR="00FF7D83">
              <w:rPr>
                <w:rFonts w:eastAsiaTheme="minorEastAsia" w:cstheme="minorHAnsi"/>
                <w:color w:val="000000" w:themeColor="text1"/>
                <w:kern w:val="24"/>
                <w:sz w:val="22"/>
                <w:szCs w:val="22"/>
              </w:rPr>
              <w:t>most</w:t>
            </w:r>
            <w:r w:rsidRPr="00C00DD6">
              <w:rPr>
                <w:rFonts w:eastAsiaTheme="minorEastAsia" w:cstheme="minorHAnsi"/>
                <w:color w:val="000000" w:themeColor="text1"/>
                <w:kern w:val="24"/>
                <w:sz w:val="22"/>
                <w:szCs w:val="22"/>
              </w:rPr>
              <w:t xml:space="preserve"> cases</w:t>
            </w:r>
            <w:r w:rsidR="00FF7D83">
              <w:rPr>
                <w:rFonts w:eastAsiaTheme="minorEastAsia" w:cstheme="minorHAnsi"/>
                <w:color w:val="000000" w:themeColor="text1"/>
                <w:kern w:val="24"/>
                <w:sz w:val="22"/>
                <w:szCs w:val="22"/>
              </w:rPr>
              <w:t xml:space="preserve"> of acute PIGN which includes the management of</w:t>
            </w:r>
            <w:r w:rsidRPr="00C00DD6">
              <w:rPr>
                <w:rFonts w:eastAsiaTheme="minorEastAsia" w:cstheme="minorHAnsi"/>
                <w:color w:val="000000" w:themeColor="text1"/>
                <w:kern w:val="24"/>
                <w:sz w:val="22"/>
                <w:szCs w:val="22"/>
              </w:rPr>
              <w:t xml:space="preserve"> fluid overload, hypertension</w:t>
            </w:r>
            <w:r w:rsidR="00FF7D83">
              <w:rPr>
                <w:rFonts w:eastAsiaTheme="minorEastAsia" w:cstheme="minorHAnsi"/>
                <w:color w:val="000000" w:themeColor="text1"/>
                <w:kern w:val="24"/>
                <w:sz w:val="22"/>
                <w:szCs w:val="22"/>
              </w:rPr>
              <w:t>, low salt diet,</w:t>
            </w:r>
            <w:r w:rsidRPr="00C00DD6">
              <w:rPr>
                <w:rFonts w:eastAsiaTheme="minorEastAsia" w:cstheme="minorHAnsi"/>
                <w:color w:val="000000" w:themeColor="text1"/>
                <w:kern w:val="24"/>
                <w:sz w:val="22"/>
                <w:szCs w:val="22"/>
              </w:rPr>
              <w:t xml:space="preserve"> and electrolyte imbalance</w:t>
            </w:r>
            <w:r w:rsidR="00FF7D83">
              <w:rPr>
                <w:rFonts w:eastAsiaTheme="minorEastAsia" w:cstheme="minorHAnsi"/>
                <w:color w:val="000000" w:themeColor="text1"/>
                <w:kern w:val="24"/>
                <w:sz w:val="22"/>
                <w:szCs w:val="22"/>
              </w:rPr>
              <w:t>s.</w:t>
            </w:r>
          </w:p>
        </w:tc>
        <w:tc>
          <w:tcPr>
            <w:tcW w:w="1843" w:type="dxa"/>
          </w:tcPr>
          <w:p w14:paraId="4AD7C16B" w14:textId="6235C435" w:rsidR="00EF3EE0" w:rsidRPr="00C00DD6" w:rsidRDefault="001630D4" w:rsidP="003F494F">
            <w:pPr>
              <w:spacing w:line="360" w:lineRule="auto"/>
              <w:jc w:val="center"/>
              <w:rPr>
                <w:rFonts w:cstheme="minorHAnsi"/>
                <w:b/>
                <w:sz w:val="22"/>
                <w:szCs w:val="22"/>
              </w:rPr>
            </w:pPr>
            <w:r>
              <w:rPr>
                <w:rFonts w:cstheme="minorHAnsi"/>
                <w:b/>
                <w:sz w:val="22"/>
                <w:szCs w:val="22"/>
              </w:rPr>
              <w:t>1C</w:t>
            </w:r>
          </w:p>
        </w:tc>
      </w:tr>
      <w:tr w:rsidR="00837E18" w14:paraId="51B2B9F6" w14:textId="77777777" w:rsidTr="00C00DD6">
        <w:tc>
          <w:tcPr>
            <w:tcW w:w="1034" w:type="dxa"/>
          </w:tcPr>
          <w:p w14:paraId="49FBDBF4" w14:textId="663A659B" w:rsidR="00EF3EE0" w:rsidRPr="00C00DD6" w:rsidRDefault="001630D4" w:rsidP="003F494F">
            <w:pPr>
              <w:spacing w:line="360" w:lineRule="auto"/>
              <w:rPr>
                <w:rFonts w:cstheme="minorHAnsi"/>
                <w:sz w:val="22"/>
                <w:szCs w:val="22"/>
              </w:rPr>
            </w:pPr>
            <w:r>
              <w:rPr>
                <w:rFonts w:cstheme="minorHAnsi"/>
                <w:sz w:val="22"/>
                <w:szCs w:val="22"/>
              </w:rPr>
              <w:t>PIGN 8.2</w:t>
            </w:r>
          </w:p>
        </w:tc>
        <w:tc>
          <w:tcPr>
            <w:tcW w:w="7471" w:type="dxa"/>
          </w:tcPr>
          <w:p w14:paraId="5E31F7C1" w14:textId="4A4B0651" w:rsidR="00EF3EE0" w:rsidRPr="00C00DD6" w:rsidRDefault="001630D4" w:rsidP="003F494F">
            <w:pPr>
              <w:spacing w:line="360" w:lineRule="auto"/>
              <w:rPr>
                <w:rFonts w:eastAsiaTheme="minorEastAsia" w:cstheme="minorHAnsi"/>
                <w:color w:val="000000" w:themeColor="text1"/>
                <w:kern w:val="24"/>
                <w:sz w:val="22"/>
                <w:szCs w:val="22"/>
              </w:rPr>
            </w:pPr>
            <w:r w:rsidRPr="00FF7D83">
              <w:rPr>
                <w:rFonts w:eastAsiaTheme="minorEastAsia" w:cstheme="minorHAnsi"/>
                <w:color w:val="000000" w:themeColor="text1"/>
                <w:kern w:val="24"/>
                <w:sz w:val="22"/>
                <w:szCs w:val="22"/>
                <w:u w:val="single"/>
              </w:rPr>
              <w:t xml:space="preserve">We </w:t>
            </w:r>
            <w:r w:rsidR="00C06141">
              <w:rPr>
                <w:rFonts w:eastAsiaTheme="minorEastAsia" w:cstheme="minorHAnsi"/>
                <w:color w:val="000000" w:themeColor="text1"/>
                <w:kern w:val="24"/>
                <w:sz w:val="22"/>
                <w:szCs w:val="22"/>
                <w:u w:val="single"/>
              </w:rPr>
              <w:t xml:space="preserve">do not </w:t>
            </w:r>
            <w:r w:rsidRPr="00FF7D83">
              <w:rPr>
                <w:rFonts w:eastAsiaTheme="minorEastAsia" w:cstheme="minorHAnsi"/>
                <w:color w:val="000000" w:themeColor="text1"/>
                <w:kern w:val="24"/>
                <w:sz w:val="22"/>
                <w:szCs w:val="22"/>
                <w:u w:val="single"/>
              </w:rPr>
              <w:t>recommend</w:t>
            </w:r>
            <w:r w:rsidRPr="00C00DD6">
              <w:rPr>
                <w:rFonts w:eastAsiaTheme="minorEastAsia" w:cstheme="minorHAnsi"/>
                <w:color w:val="000000" w:themeColor="text1"/>
                <w:kern w:val="24"/>
                <w:sz w:val="22"/>
                <w:szCs w:val="22"/>
              </w:rPr>
              <w:t xml:space="preserve"> </w:t>
            </w:r>
            <w:r w:rsidR="00C06141">
              <w:rPr>
                <w:rFonts w:eastAsiaTheme="minorEastAsia" w:cstheme="minorHAnsi"/>
                <w:color w:val="000000" w:themeColor="text1"/>
                <w:kern w:val="24"/>
                <w:sz w:val="22"/>
                <w:szCs w:val="22"/>
              </w:rPr>
              <w:t>routine use of</w:t>
            </w:r>
            <w:r w:rsidRPr="00C00DD6">
              <w:rPr>
                <w:rFonts w:eastAsiaTheme="minorEastAsia" w:cstheme="minorHAnsi"/>
                <w:color w:val="000000" w:themeColor="text1"/>
                <w:kern w:val="24"/>
                <w:sz w:val="22"/>
                <w:szCs w:val="22"/>
              </w:rPr>
              <w:t xml:space="preserve"> immunosuppression in </w:t>
            </w:r>
            <w:r w:rsidR="006A162A" w:rsidRPr="00C00DD6">
              <w:rPr>
                <w:rFonts w:eastAsiaTheme="minorEastAsia" w:cstheme="minorHAnsi"/>
                <w:color w:val="000000" w:themeColor="text1"/>
                <w:kern w:val="24"/>
                <w:sz w:val="22"/>
                <w:szCs w:val="22"/>
              </w:rPr>
              <w:t xml:space="preserve">all </w:t>
            </w:r>
            <w:r w:rsidR="00FF7D83">
              <w:rPr>
                <w:rFonts w:eastAsiaTheme="minorEastAsia" w:cstheme="minorHAnsi"/>
                <w:color w:val="000000" w:themeColor="text1"/>
                <w:kern w:val="24"/>
                <w:sz w:val="22"/>
                <w:szCs w:val="22"/>
              </w:rPr>
              <w:t>CYP</w:t>
            </w:r>
            <w:r w:rsidRPr="00C00DD6">
              <w:rPr>
                <w:rFonts w:eastAsiaTheme="minorEastAsia" w:cstheme="minorHAnsi"/>
                <w:color w:val="000000" w:themeColor="text1"/>
                <w:kern w:val="24"/>
                <w:sz w:val="22"/>
                <w:szCs w:val="22"/>
              </w:rPr>
              <w:t xml:space="preserve"> with P</w:t>
            </w:r>
            <w:r w:rsidR="00FF7D83">
              <w:rPr>
                <w:rFonts w:eastAsiaTheme="minorEastAsia" w:cstheme="minorHAnsi"/>
                <w:color w:val="000000" w:themeColor="text1"/>
                <w:kern w:val="24"/>
                <w:sz w:val="22"/>
                <w:szCs w:val="22"/>
              </w:rPr>
              <w:t>I</w:t>
            </w:r>
            <w:r w:rsidRPr="00C00DD6">
              <w:rPr>
                <w:rFonts w:eastAsiaTheme="minorEastAsia" w:cstheme="minorHAnsi"/>
                <w:color w:val="000000" w:themeColor="text1"/>
                <w:kern w:val="24"/>
                <w:sz w:val="22"/>
                <w:szCs w:val="22"/>
              </w:rPr>
              <w:t>GN</w:t>
            </w:r>
            <w:r w:rsidR="00FF7D83">
              <w:rPr>
                <w:rFonts w:eastAsiaTheme="minorEastAsia" w:cstheme="minorHAnsi"/>
                <w:color w:val="000000" w:themeColor="text1"/>
                <w:kern w:val="24"/>
                <w:sz w:val="22"/>
                <w:szCs w:val="22"/>
              </w:rPr>
              <w:t>.</w:t>
            </w:r>
            <w:r w:rsidRPr="00C00DD6">
              <w:rPr>
                <w:rFonts w:eastAsiaTheme="minorEastAsia" w:cstheme="minorHAnsi"/>
                <w:color w:val="000000" w:themeColor="text1"/>
                <w:kern w:val="24"/>
                <w:sz w:val="22"/>
                <w:szCs w:val="22"/>
              </w:rPr>
              <w:t xml:space="preserve"> </w:t>
            </w:r>
          </w:p>
        </w:tc>
        <w:tc>
          <w:tcPr>
            <w:tcW w:w="1843" w:type="dxa"/>
          </w:tcPr>
          <w:p w14:paraId="3DFA9855" w14:textId="21EECA02" w:rsidR="00EF3EE0" w:rsidRPr="00C00DD6" w:rsidRDefault="001630D4" w:rsidP="003F494F">
            <w:pPr>
              <w:spacing w:line="360" w:lineRule="auto"/>
              <w:jc w:val="center"/>
              <w:rPr>
                <w:rFonts w:cstheme="minorHAnsi"/>
                <w:b/>
                <w:sz w:val="22"/>
                <w:szCs w:val="22"/>
              </w:rPr>
            </w:pPr>
            <w:r>
              <w:rPr>
                <w:rFonts w:cstheme="minorHAnsi"/>
                <w:b/>
                <w:sz w:val="22"/>
                <w:szCs w:val="22"/>
              </w:rPr>
              <w:t>1C</w:t>
            </w:r>
          </w:p>
        </w:tc>
      </w:tr>
      <w:tr w:rsidR="00837E18" w14:paraId="47B74186" w14:textId="77777777" w:rsidTr="00C00DD6">
        <w:tc>
          <w:tcPr>
            <w:tcW w:w="1034" w:type="dxa"/>
          </w:tcPr>
          <w:p w14:paraId="56C84737" w14:textId="44251213" w:rsidR="00FF7D83" w:rsidRDefault="001630D4" w:rsidP="003F494F">
            <w:pPr>
              <w:spacing w:line="360" w:lineRule="auto"/>
              <w:rPr>
                <w:rFonts w:cstheme="minorHAnsi"/>
                <w:sz w:val="22"/>
                <w:szCs w:val="22"/>
              </w:rPr>
            </w:pPr>
            <w:r>
              <w:rPr>
                <w:rFonts w:cstheme="minorHAnsi"/>
                <w:sz w:val="22"/>
                <w:szCs w:val="22"/>
              </w:rPr>
              <w:t>PIGN 8.</w:t>
            </w:r>
            <w:r w:rsidR="003F494F">
              <w:rPr>
                <w:rFonts w:cstheme="minorHAnsi"/>
                <w:sz w:val="22"/>
                <w:szCs w:val="22"/>
              </w:rPr>
              <w:t>3</w:t>
            </w:r>
          </w:p>
        </w:tc>
        <w:tc>
          <w:tcPr>
            <w:tcW w:w="7471" w:type="dxa"/>
          </w:tcPr>
          <w:p w14:paraId="5C60E717" w14:textId="2BF8C03D" w:rsidR="00FF7D83" w:rsidRPr="00FF7D83" w:rsidRDefault="001630D4" w:rsidP="003F494F">
            <w:pPr>
              <w:spacing w:line="360" w:lineRule="auto"/>
              <w:rPr>
                <w:rFonts w:eastAsiaTheme="minorEastAsia" w:cstheme="minorHAnsi"/>
                <w:color w:val="000000" w:themeColor="text1"/>
                <w:kern w:val="24"/>
                <w:sz w:val="22"/>
                <w:szCs w:val="22"/>
                <w:u w:val="single"/>
              </w:rPr>
            </w:pPr>
            <w:r w:rsidRPr="00FF7D83">
              <w:rPr>
                <w:rFonts w:eastAsiaTheme="minorEastAsia" w:cstheme="minorHAnsi"/>
                <w:color w:val="000000" w:themeColor="text1"/>
                <w:kern w:val="24"/>
                <w:sz w:val="22"/>
                <w:szCs w:val="22"/>
                <w:u w:val="single"/>
              </w:rPr>
              <w:t>We suggest</w:t>
            </w:r>
            <w:r w:rsidRPr="00C00DD6">
              <w:rPr>
                <w:rFonts w:eastAsiaTheme="minorEastAsia" w:cstheme="minorHAnsi"/>
                <w:color w:val="000000" w:themeColor="text1"/>
                <w:kern w:val="24"/>
                <w:sz w:val="22"/>
                <w:szCs w:val="22"/>
              </w:rPr>
              <w:t xml:space="preserve"> that children with </w:t>
            </w:r>
            <w:r>
              <w:rPr>
                <w:rFonts w:eastAsiaTheme="minorEastAsia" w:cstheme="minorHAnsi"/>
                <w:color w:val="000000" w:themeColor="text1"/>
                <w:kern w:val="24"/>
                <w:sz w:val="22"/>
                <w:szCs w:val="22"/>
              </w:rPr>
              <w:t xml:space="preserve">persisting or worsening nephritis together with </w:t>
            </w:r>
            <w:r w:rsidRPr="00C00DD6">
              <w:rPr>
                <w:rFonts w:eastAsiaTheme="minorEastAsia" w:cstheme="minorHAnsi"/>
                <w:color w:val="000000" w:themeColor="text1"/>
                <w:kern w:val="24"/>
                <w:sz w:val="22"/>
                <w:szCs w:val="22"/>
              </w:rPr>
              <w:t xml:space="preserve">histological features </w:t>
            </w:r>
            <w:r w:rsidR="00B50FCF">
              <w:rPr>
                <w:rFonts w:eastAsiaTheme="minorEastAsia" w:cstheme="minorHAnsi"/>
                <w:color w:val="000000" w:themeColor="text1"/>
                <w:kern w:val="24"/>
                <w:sz w:val="22"/>
                <w:szCs w:val="22"/>
              </w:rPr>
              <w:t>of disease activity</w:t>
            </w:r>
            <w:r w:rsidRPr="00C00DD6">
              <w:rPr>
                <w:rFonts w:eastAsiaTheme="minorEastAsia" w:cstheme="minorHAnsi"/>
                <w:color w:val="000000" w:themeColor="text1"/>
                <w:kern w:val="24"/>
                <w:sz w:val="22"/>
                <w:szCs w:val="22"/>
              </w:rPr>
              <w:t xml:space="preserve"> may warrant</w:t>
            </w:r>
            <w:r>
              <w:rPr>
                <w:rFonts w:eastAsiaTheme="minorEastAsia" w:cstheme="minorHAnsi"/>
                <w:color w:val="000000" w:themeColor="text1"/>
                <w:kern w:val="24"/>
                <w:sz w:val="22"/>
                <w:szCs w:val="22"/>
              </w:rPr>
              <w:t xml:space="preserve"> </w:t>
            </w:r>
            <w:r w:rsidRPr="00C00DD6">
              <w:rPr>
                <w:rFonts w:eastAsiaTheme="minorEastAsia" w:cstheme="minorHAnsi"/>
                <w:color w:val="000000" w:themeColor="text1"/>
                <w:kern w:val="24"/>
                <w:sz w:val="22"/>
                <w:szCs w:val="22"/>
              </w:rPr>
              <w:t>the use of immunosuppression</w:t>
            </w:r>
            <w:r>
              <w:rPr>
                <w:rFonts w:eastAsiaTheme="minorEastAsia" w:cstheme="minorHAnsi"/>
                <w:color w:val="000000" w:themeColor="text1"/>
                <w:kern w:val="24"/>
                <w:sz w:val="22"/>
                <w:szCs w:val="22"/>
              </w:rPr>
              <w:t>.</w:t>
            </w:r>
          </w:p>
        </w:tc>
        <w:tc>
          <w:tcPr>
            <w:tcW w:w="1843" w:type="dxa"/>
          </w:tcPr>
          <w:p w14:paraId="0C8E3C98" w14:textId="0FC074EE" w:rsidR="00FF7D83" w:rsidRDefault="001630D4" w:rsidP="003F494F">
            <w:pPr>
              <w:spacing w:line="360" w:lineRule="auto"/>
              <w:jc w:val="center"/>
              <w:rPr>
                <w:rFonts w:cstheme="minorHAnsi"/>
                <w:b/>
                <w:sz w:val="22"/>
                <w:szCs w:val="22"/>
              </w:rPr>
            </w:pPr>
            <w:r>
              <w:rPr>
                <w:rFonts w:cstheme="minorHAnsi"/>
                <w:b/>
                <w:sz w:val="22"/>
                <w:szCs w:val="22"/>
              </w:rPr>
              <w:t>2C</w:t>
            </w:r>
          </w:p>
        </w:tc>
      </w:tr>
      <w:tr w:rsidR="00837E18" w14:paraId="09583124" w14:textId="77777777" w:rsidTr="00C00DD6">
        <w:tc>
          <w:tcPr>
            <w:tcW w:w="1034" w:type="dxa"/>
          </w:tcPr>
          <w:p w14:paraId="627507D5" w14:textId="5D333DF0" w:rsidR="00F16F32" w:rsidRPr="00C00DD6" w:rsidRDefault="001630D4" w:rsidP="003F494F">
            <w:pPr>
              <w:spacing w:line="360" w:lineRule="auto"/>
              <w:rPr>
                <w:rFonts w:cstheme="minorHAnsi"/>
                <w:sz w:val="22"/>
                <w:szCs w:val="22"/>
              </w:rPr>
            </w:pPr>
            <w:r>
              <w:rPr>
                <w:rFonts w:cstheme="minorHAnsi"/>
                <w:sz w:val="22"/>
                <w:szCs w:val="22"/>
              </w:rPr>
              <w:t>PIGN 8.</w:t>
            </w:r>
            <w:r w:rsidR="003F494F">
              <w:rPr>
                <w:rFonts w:cstheme="minorHAnsi"/>
                <w:sz w:val="22"/>
                <w:szCs w:val="22"/>
              </w:rPr>
              <w:t>4</w:t>
            </w:r>
          </w:p>
        </w:tc>
        <w:tc>
          <w:tcPr>
            <w:tcW w:w="7471" w:type="dxa"/>
          </w:tcPr>
          <w:p w14:paraId="3EBA4EA5" w14:textId="299A5E30" w:rsidR="00F16F32" w:rsidRPr="00C00DD6" w:rsidRDefault="001630D4" w:rsidP="003F494F">
            <w:pPr>
              <w:spacing w:line="360" w:lineRule="auto"/>
              <w:rPr>
                <w:rFonts w:eastAsiaTheme="minorEastAsia" w:cstheme="minorHAnsi"/>
                <w:color w:val="000000" w:themeColor="text1"/>
                <w:kern w:val="24"/>
                <w:sz w:val="22"/>
                <w:szCs w:val="22"/>
              </w:rPr>
            </w:pPr>
            <w:r w:rsidRPr="00FF7D83">
              <w:rPr>
                <w:rFonts w:eastAsiaTheme="minorEastAsia" w:cstheme="minorHAnsi"/>
                <w:color w:val="000000" w:themeColor="text1"/>
                <w:kern w:val="24"/>
                <w:sz w:val="22"/>
                <w:szCs w:val="22"/>
                <w:u w:val="single"/>
              </w:rPr>
              <w:t>We suggest</w:t>
            </w:r>
            <w:r w:rsidRPr="00C00DD6">
              <w:rPr>
                <w:rFonts w:eastAsiaTheme="minorEastAsia" w:cstheme="minorHAnsi"/>
                <w:color w:val="000000" w:themeColor="text1"/>
                <w:kern w:val="24"/>
                <w:sz w:val="22"/>
                <w:szCs w:val="22"/>
              </w:rPr>
              <w:t xml:space="preserve"> the use of corticosteroids</w:t>
            </w:r>
            <w:r w:rsidR="0077347C">
              <w:rPr>
                <w:rFonts w:eastAsiaTheme="minorEastAsia" w:cstheme="minorHAnsi"/>
                <w:color w:val="000000" w:themeColor="text1"/>
                <w:kern w:val="24"/>
                <w:sz w:val="22"/>
                <w:szCs w:val="22"/>
              </w:rPr>
              <w:t>, either intravenous or oral depending on the clinical situation,</w:t>
            </w:r>
            <w:r w:rsidRPr="00C00DD6">
              <w:rPr>
                <w:rFonts w:eastAsiaTheme="minorEastAsia" w:cstheme="minorHAnsi"/>
                <w:color w:val="000000" w:themeColor="text1"/>
                <w:kern w:val="24"/>
                <w:sz w:val="22"/>
                <w:szCs w:val="22"/>
              </w:rPr>
              <w:t xml:space="preserve"> as a first line treatment in children who are deemed appropriate for immunosuppression</w:t>
            </w:r>
            <w:r w:rsidR="00FF7D83">
              <w:rPr>
                <w:rFonts w:eastAsiaTheme="minorEastAsia" w:cstheme="minorHAnsi"/>
                <w:color w:val="000000" w:themeColor="text1"/>
                <w:kern w:val="24"/>
                <w:sz w:val="22"/>
                <w:szCs w:val="22"/>
              </w:rPr>
              <w:t>.</w:t>
            </w:r>
            <w:r w:rsidRPr="00C00DD6">
              <w:rPr>
                <w:rFonts w:eastAsiaTheme="minorEastAsia" w:cstheme="minorHAnsi"/>
                <w:color w:val="000000" w:themeColor="text1"/>
                <w:kern w:val="24"/>
                <w:sz w:val="22"/>
                <w:szCs w:val="22"/>
              </w:rPr>
              <w:t xml:space="preserve"> </w:t>
            </w:r>
          </w:p>
        </w:tc>
        <w:tc>
          <w:tcPr>
            <w:tcW w:w="1843" w:type="dxa"/>
          </w:tcPr>
          <w:p w14:paraId="0C67E8BC" w14:textId="53D55F1C" w:rsidR="00F16F32" w:rsidRPr="00C00DD6" w:rsidRDefault="001630D4" w:rsidP="003F494F">
            <w:pPr>
              <w:spacing w:line="360" w:lineRule="auto"/>
              <w:jc w:val="center"/>
              <w:rPr>
                <w:rFonts w:cstheme="minorHAnsi"/>
                <w:b/>
                <w:sz w:val="22"/>
                <w:szCs w:val="22"/>
              </w:rPr>
            </w:pPr>
            <w:r>
              <w:rPr>
                <w:rFonts w:cstheme="minorHAnsi"/>
                <w:b/>
                <w:sz w:val="22"/>
                <w:szCs w:val="22"/>
              </w:rPr>
              <w:t>2C</w:t>
            </w:r>
          </w:p>
        </w:tc>
      </w:tr>
      <w:tr w:rsidR="00837E18" w14:paraId="1EB9340C" w14:textId="77777777" w:rsidTr="00C00DD6">
        <w:tc>
          <w:tcPr>
            <w:tcW w:w="1034" w:type="dxa"/>
          </w:tcPr>
          <w:p w14:paraId="7CC867D4" w14:textId="11DC14A1" w:rsidR="006A162A" w:rsidRPr="00C00DD6" w:rsidRDefault="001630D4" w:rsidP="003F494F">
            <w:pPr>
              <w:spacing w:line="360" w:lineRule="auto"/>
              <w:rPr>
                <w:rFonts w:cstheme="minorHAnsi"/>
                <w:sz w:val="22"/>
                <w:szCs w:val="22"/>
              </w:rPr>
            </w:pPr>
            <w:r>
              <w:rPr>
                <w:rFonts w:cstheme="minorHAnsi"/>
                <w:sz w:val="22"/>
                <w:szCs w:val="22"/>
              </w:rPr>
              <w:t>PIGN 8.</w:t>
            </w:r>
            <w:r w:rsidR="003F494F">
              <w:rPr>
                <w:rFonts w:cstheme="minorHAnsi"/>
                <w:sz w:val="22"/>
                <w:szCs w:val="22"/>
              </w:rPr>
              <w:t>5</w:t>
            </w:r>
          </w:p>
        </w:tc>
        <w:tc>
          <w:tcPr>
            <w:tcW w:w="7471" w:type="dxa"/>
          </w:tcPr>
          <w:p w14:paraId="2F442F65" w14:textId="3BAE9FB8" w:rsidR="006A162A" w:rsidRPr="00C00DD6" w:rsidRDefault="001630D4" w:rsidP="003F494F">
            <w:pPr>
              <w:spacing w:line="360" w:lineRule="auto"/>
              <w:rPr>
                <w:rFonts w:eastAsiaTheme="minorEastAsia" w:cstheme="minorHAnsi"/>
                <w:color w:val="000000" w:themeColor="text1"/>
                <w:kern w:val="24"/>
                <w:sz w:val="22"/>
                <w:szCs w:val="22"/>
              </w:rPr>
            </w:pPr>
            <w:r w:rsidRPr="00FF7D83">
              <w:rPr>
                <w:rFonts w:eastAsiaTheme="minorEastAsia" w:cstheme="minorHAnsi"/>
                <w:color w:val="000000" w:themeColor="text1"/>
                <w:kern w:val="24"/>
                <w:sz w:val="22"/>
                <w:szCs w:val="22"/>
                <w:u w:val="single"/>
              </w:rPr>
              <w:t>We recommend</w:t>
            </w:r>
            <w:r w:rsidRPr="00C00DD6">
              <w:rPr>
                <w:rFonts w:eastAsiaTheme="minorEastAsia" w:cstheme="minorHAnsi"/>
                <w:color w:val="000000" w:themeColor="text1"/>
                <w:kern w:val="24"/>
                <w:sz w:val="22"/>
                <w:szCs w:val="22"/>
              </w:rPr>
              <w:t xml:space="preserve"> that children with a rapidly deteriorating kidney function should be treated as RPGN</w:t>
            </w:r>
            <w:r w:rsidR="00FF7D83">
              <w:rPr>
                <w:rFonts w:eastAsiaTheme="minorEastAsia" w:cstheme="minorHAnsi"/>
                <w:color w:val="000000" w:themeColor="text1"/>
                <w:kern w:val="24"/>
                <w:sz w:val="22"/>
                <w:szCs w:val="22"/>
              </w:rPr>
              <w:t>.</w:t>
            </w:r>
          </w:p>
        </w:tc>
        <w:tc>
          <w:tcPr>
            <w:tcW w:w="1843" w:type="dxa"/>
          </w:tcPr>
          <w:p w14:paraId="65DB0770" w14:textId="055CE070" w:rsidR="006A162A" w:rsidRPr="00C00DD6" w:rsidRDefault="001630D4" w:rsidP="003F494F">
            <w:pPr>
              <w:spacing w:line="360" w:lineRule="auto"/>
              <w:jc w:val="center"/>
              <w:rPr>
                <w:rFonts w:cstheme="minorHAnsi"/>
                <w:b/>
                <w:sz w:val="22"/>
                <w:szCs w:val="22"/>
              </w:rPr>
            </w:pPr>
            <w:r>
              <w:rPr>
                <w:rFonts w:cstheme="minorHAnsi"/>
                <w:b/>
                <w:sz w:val="22"/>
                <w:szCs w:val="22"/>
              </w:rPr>
              <w:t>1C</w:t>
            </w:r>
          </w:p>
        </w:tc>
      </w:tr>
    </w:tbl>
    <w:p w14:paraId="75BA2C4A" w14:textId="77777777" w:rsidR="00EF3EE0" w:rsidRPr="00C00DD6" w:rsidRDefault="00EF3EE0" w:rsidP="003F494F">
      <w:pPr>
        <w:spacing w:line="360" w:lineRule="auto"/>
        <w:rPr>
          <w:rFonts w:eastAsia="Times New Roman" w:cstheme="minorHAnsi"/>
          <w:sz w:val="22"/>
          <w:szCs w:val="22"/>
          <w:lang w:eastAsia="en-GB"/>
        </w:rPr>
      </w:pPr>
    </w:p>
    <w:p w14:paraId="2D5BEA86" w14:textId="77777777" w:rsidR="006A162A" w:rsidRPr="00C00DD6" w:rsidRDefault="001630D4" w:rsidP="003F494F">
      <w:pPr>
        <w:spacing w:line="360" w:lineRule="auto"/>
        <w:rPr>
          <w:rFonts w:eastAsiaTheme="minorEastAsia" w:cstheme="minorHAnsi"/>
          <w:b/>
          <w:bCs/>
          <w:color w:val="000000" w:themeColor="text1"/>
          <w:kern w:val="24"/>
          <w:sz w:val="22"/>
          <w:szCs w:val="22"/>
          <w:lang w:val="en-US"/>
        </w:rPr>
      </w:pPr>
      <w:r w:rsidRPr="00C00DD6">
        <w:rPr>
          <w:rFonts w:eastAsiaTheme="minorEastAsia" w:cstheme="minorHAnsi"/>
          <w:b/>
          <w:bCs/>
          <w:color w:val="000000" w:themeColor="text1"/>
          <w:kern w:val="24"/>
          <w:sz w:val="22"/>
          <w:szCs w:val="22"/>
          <w:lang w:val="en-US"/>
        </w:rPr>
        <w:t>Rationale</w:t>
      </w:r>
    </w:p>
    <w:p w14:paraId="115D5493" w14:textId="47A73154" w:rsidR="00913B14" w:rsidRPr="00247C74" w:rsidRDefault="001630D4" w:rsidP="003F494F">
      <w:pPr>
        <w:spacing w:line="360" w:lineRule="auto"/>
        <w:jc w:val="both"/>
        <w:rPr>
          <w:rFonts w:eastAsiaTheme="minorEastAsia" w:cstheme="minorHAnsi"/>
          <w:color w:val="000000" w:themeColor="text1"/>
          <w:kern w:val="24"/>
          <w:sz w:val="22"/>
          <w:szCs w:val="22"/>
        </w:rPr>
      </w:pPr>
      <w:r>
        <w:rPr>
          <w:rFonts w:eastAsiaTheme="minorEastAsia" w:cstheme="minorHAnsi"/>
          <w:color w:val="000000" w:themeColor="text1"/>
          <w:kern w:val="24"/>
          <w:sz w:val="22"/>
          <w:szCs w:val="22"/>
        </w:rPr>
        <w:t xml:space="preserve">The GDG decided to include the management of post infectious </w:t>
      </w:r>
      <w:r w:rsidR="002A4060">
        <w:rPr>
          <w:rFonts w:eastAsiaTheme="minorEastAsia" w:cstheme="minorHAnsi"/>
          <w:color w:val="000000" w:themeColor="text1"/>
          <w:kern w:val="24"/>
          <w:sz w:val="22"/>
          <w:szCs w:val="22"/>
        </w:rPr>
        <w:t>IM-GD</w:t>
      </w:r>
      <w:r>
        <w:rPr>
          <w:rFonts w:eastAsiaTheme="minorEastAsia" w:cstheme="minorHAnsi"/>
          <w:color w:val="000000" w:themeColor="text1"/>
          <w:kern w:val="24"/>
          <w:sz w:val="22"/>
          <w:szCs w:val="22"/>
        </w:rPr>
        <w:t xml:space="preserve"> to be focused on post streptococcal disease as the most common cause in this </w:t>
      </w:r>
      <w:r w:rsidR="0077347C">
        <w:rPr>
          <w:rFonts w:eastAsiaTheme="minorEastAsia" w:cstheme="minorHAnsi"/>
          <w:color w:val="000000" w:themeColor="text1"/>
          <w:kern w:val="24"/>
          <w:sz w:val="22"/>
          <w:szCs w:val="22"/>
        </w:rPr>
        <w:t>country</w:t>
      </w:r>
      <w:r>
        <w:rPr>
          <w:rFonts w:eastAsiaTheme="minorEastAsia" w:cstheme="minorHAnsi"/>
          <w:color w:val="000000" w:themeColor="text1"/>
          <w:kern w:val="24"/>
          <w:sz w:val="22"/>
          <w:szCs w:val="22"/>
        </w:rPr>
        <w:t xml:space="preserve">. Conservative management was universally consistent in the GDG, literature, and guidelines </w:t>
      </w:r>
      <w:r>
        <w:rPr>
          <w:rFonts w:eastAsiaTheme="minorEastAsia" w:cstheme="minorHAnsi"/>
          <w:color w:val="000000" w:themeColor="text1"/>
          <w:kern w:val="24"/>
          <w:sz w:val="22"/>
          <w:szCs w:val="22"/>
        </w:rPr>
        <w:fldChar w:fldCharType="begin"/>
      </w:r>
      <w:r w:rsidR="00642970">
        <w:rPr>
          <w:rFonts w:eastAsiaTheme="minorEastAsia" w:cstheme="minorHAnsi"/>
          <w:color w:val="000000" w:themeColor="text1"/>
          <w:kern w:val="24"/>
          <w:sz w:val="22"/>
          <w:szCs w:val="22"/>
        </w:rPr>
        <w:instrText xml:space="preserve"> ADDIN ZOTERO_ITEM CSL_CITATION {"citationID":"gPJlynIU","properties":{"formattedCitation":"(5,113)","plainCitation":"(5,113)","noteIndex":0},"citationItems":[{"id":11,"uris":["http://zotero.org/users/local/lvPLY4Gu/items/PZVAFVT2"],"itemData":{"id":11,"type":"article-journal","container-title":"Kidney International","DOI":"10.1016/j.kint.2021.05.021","ISSN":"1523-1755","issue":"4S","journalAbbreviation":"Kidney Int","language":"eng","note":"PMID: 34556256","page":"S1-S276","source":"PubMed","title":"KDIGO 2021 Clinical Practice Guideline for the Management of Glomerular Diseases","volume":"100","author":[{"literal":"Kidney Disease: Improving Global Outcomes (KDIGO) Glomerular Diseases Work Group"}],"issued":{"date-parts":[["2021",10]]}}},{"id":137,"uris":["http://zotero.org/users/local/lvPLY4Gu/items/B7KTUW7Z"],"itemData":{"id":137,"type":"article-journal","abstract":"INTRODUCTION: Post-streptococcal glomerulonephritis is a kidney disease that occurs after infection with a certain strain of streptococcal bacteria. It has a high hospitalization rate, especially in developing countries. It is characterized by the sudden appearance of edema, hematuria, proteinuria, and hypertension. The objective of this retrospective descriptive study conducted at James L. Gordon Memorial Hospital in Olongapo, Zambales, Philippines, is to analyze the demographic distribution, clinical presentation, complication, and outcome of acute post-streptococcal glomerulonephritis (APSGN) in a pediatric population.  Methods: A retrospective descriptive study was done in patients (below 18 years of age) admitted with the diagnosis of post-streptococcal glomerulonephritis during a five-year period in the pediatric ward of a tertiary hospital in the Philippines. All patients underwent detailed clinical history and examination and were closely monitored during treatment. The course of disease progression was closely monitored and recorded.\nRESULTS: Seventy-seven children were treated for APSGN with a mean age of 7.8 years and with standard deviation of 3.85. Edema and gross hematuria were noted in 53 (68.8%) and 24 (31.1%) cases, respectively. Hypertension was present in 54 patients (70.1%). Among those 54 patients, 49 (63.6%) patients developed acute renal injury (based on normal creatinine for age), three cases (3.8%) had pleural effusion, and two patients (2.5%) developed hypertensive encephalopathy. All patients underwent KUB (kidneys, ureters, and bladder) ultrasound, among which 13 (16.88%) had diffuse parenchymal swelling which improved and eventually were discharged. Increased blood urea nitrogen (BUN) was noted in 60-65% of patients. Hypoalbuminemia and lower hemoglobin were also quite common. There was no mortality during treatment and hospital stay.\nCONCLUSIONS: APSGN remains one of the most common causes of glomerulonephritis in the region. Edema, hypertension, and hematuria were the most common presenting features. Early identification and comprehensive monitoring and management are required to prevent morbidity and mortality. The prognosis is generally good if early treatment is done.","container-title":"Cureus","DOI":"10.7759/cureus.56082","ISSN":"2168-8184","issue":"3","journalAbbreviation":"Cureus","language":"eng","note":"PMID: 38618409\nPMCID: PMC11009898","page":"e56082","source":"PubMed","title":"Acute Post-streptococcal Glomerulonephritis in a Pediatric Population: A Five-Year Retrospective Study","title-short":"Acute Post-streptococcal Glomerulonephritis in a Pediatric Population","volume":"16","author":[{"family":"Bajracharya","given":"Prayes"},{"family":"Khadgi","given":"Ashish"},{"family":"Shrestha","given":"Sugandha"},{"family":"Silwal","given":"Ramji"},{"family":"Tandukar","given":"Anisha"}],"issued":{"date-parts":[["2024",3]]}}}],"schema":"https://github.com/citation-style-language/schema/raw/master/csl-citation.json"} </w:instrText>
      </w:r>
      <w:r>
        <w:rPr>
          <w:rFonts w:eastAsiaTheme="minorEastAsia" w:cstheme="minorHAnsi"/>
          <w:color w:val="000000" w:themeColor="text1"/>
          <w:kern w:val="24"/>
          <w:sz w:val="22"/>
          <w:szCs w:val="22"/>
        </w:rPr>
        <w:fldChar w:fldCharType="separate"/>
      </w:r>
      <w:r w:rsidR="00642970">
        <w:rPr>
          <w:rFonts w:eastAsiaTheme="minorEastAsia" w:cstheme="minorHAnsi"/>
          <w:noProof/>
          <w:color w:val="000000" w:themeColor="text1"/>
          <w:kern w:val="24"/>
          <w:sz w:val="22"/>
          <w:szCs w:val="22"/>
        </w:rPr>
        <w:t>(5,113)</w:t>
      </w:r>
      <w:r>
        <w:rPr>
          <w:rFonts w:eastAsiaTheme="minorEastAsia" w:cstheme="minorHAnsi"/>
          <w:color w:val="000000" w:themeColor="text1"/>
          <w:kern w:val="24"/>
          <w:sz w:val="22"/>
          <w:szCs w:val="22"/>
        </w:rPr>
        <w:fldChar w:fldCharType="end"/>
      </w:r>
      <w:r>
        <w:rPr>
          <w:rFonts w:eastAsiaTheme="minorEastAsia" w:cstheme="minorHAnsi"/>
          <w:color w:val="000000" w:themeColor="text1"/>
          <w:kern w:val="24"/>
          <w:sz w:val="22"/>
          <w:szCs w:val="22"/>
        </w:rPr>
        <w:t xml:space="preserve">.  Rapidly worsening cases justify treatment </w:t>
      </w:r>
      <w:r w:rsidR="0077347C">
        <w:rPr>
          <w:rFonts w:eastAsiaTheme="minorEastAsia" w:cstheme="minorHAnsi"/>
          <w:color w:val="000000" w:themeColor="text1"/>
          <w:kern w:val="24"/>
          <w:sz w:val="22"/>
          <w:szCs w:val="22"/>
        </w:rPr>
        <w:t>with</w:t>
      </w:r>
      <w:r>
        <w:rPr>
          <w:rFonts w:eastAsiaTheme="minorEastAsia" w:cstheme="minorHAnsi"/>
          <w:color w:val="000000" w:themeColor="text1"/>
          <w:kern w:val="24"/>
          <w:sz w:val="22"/>
          <w:szCs w:val="22"/>
        </w:rPr>
        <w:t xml:space="preserve"> corticosteroids as first line</w:t>
      </w:r>
      <w:r w:rsidR="0077347C">
        <w:rPr>
          <w:rFonts w:eastAsiaTheme="minorEastAsia" w:cstheme="minorHAnsi"/>
          <w:color w:val="000000" w:themeColor="text1"/>
          <w:kern w:val="24"/>
          <w:sz w:val="22"/>
          <w:szCs w:val="22"/>
        </w:rPr>
        <w:t xml:space="preserve"> treatment</w:t>
      </w:r>
      <w:r>
        <w:rPr>
          <w:rFonts w:eastAsiaTheme="minorEastAsia" w:cstheme="minorHAnsi"/>
          <w:color w:val="000000" w:themeColor="text1"/>
          <w:kern w:val="24"/>
          <w:sz w:val="22"/>
          <w:szCs w:val="22"/>
        </w:rPr>
        <w:t xml:space="preserve"> </w:t>
      </w:r>
      <w:r>
        <w:rPr>
          <w:rFonts w:eastAsiaTheme="minorEastAsia" w:cstheme="minorHAnsi"/>
          <w:color w:val="000000" w:themeColor="text1"/>
          <w:kern w:val="24"/>
          <w:sz w:val="22"/>
          <w:szCs w:val="22"/>
        </w:rPr>
        <w:fldChar w:fldCharType="begin"/>
      </w:r>
      <w:r w:rsidR="00642970">
        <w:rPr>
          <w:rFonts w:eastAsiaTheme="minorEastAsia" w:cstheme="minorHAnsi"/>
          <w:color w:val="000000" w:themeColor="text1"/>
          <w:kern w:val="24"/>
          <w:sz w:val="22"/>
          <w:szCs w:val="22"/>
        </w:rPr>
        <w:instrText xml:space="preserve"> ADDIN ZOTERO_ITEM CSL_CITATION {"citationID":"BndbRFto","properties":{"formattedCitation":"(5)","plainCitation":"(5)","noteIndex":0},"citationItems":[{"id":11,"uris":["http://zotero.org/users/local/lvPLY4Gu/items/PZVAFVT2"],"itemData":{"id":11,"type":"article-journal","container-title":"Kidney International","DOI":"10.1016/j.kint.2021.05.021","ISSN":"1523-1755","issue":"4S","journalAbbreviation":"Kidney Int","language":"eng","note":"PMID: 34556256","page":"S1-S276","source":"PubMed","title":"KDIGO 2021 Clinical Practice Guideline for the Management of Glomerular Diseases","volume":"100","author":[{"literal":"Kidney Disease: Improving Global Outcomes (KDIGO) Glomerular Diseases Work Group"}],"issued":{"date-parts":[["2021",10]]}}}],"schema":"https://github.com/citation-style-language/schema/raw/master/csl-citation.json"} </w:instrText>
      </w:r>
      <w:r>
        <w:rPr>
          <w:rFonts w:eastAsiaTheme="minorEastAsia" w:cstheme="minorHAnsi"/>
          <w:color w:val="000000" w:themeColor="text1"/>
          <w:kern w:val="24"/>
          <w:sz w:val="22"/>
          <w:szCs w:val="22"/>
        </w:rPr>
        <w:fldChar w:fldCharType="separate"/>
      </w:r>
      <w:r w:rsidR="00642970">
        <w:rPr>
          <w:rFonts w:eastAsiaTheme="minorEastAsia" w:cstheme="minorHAnsi"/>
          <w:noProof/>
          <w:color w:val="000000" w:themeColor="text1"/>
          <w:kern w:val="24"/>
          <w:sz w:val="22"/>
          <w:szCs w:val="22"/>
        </w:rPr>
        <w:t>(5)</w:t>
      </w:r>
      <w:r>
        <w:rPr>
          <w:rFonts w:eastAsiaTheme="minorEastAsia" w:cstheme="minorHAnsi"/>
          <w:color w:val="000000" w:themeColor="text1"/>
          <w:kern w:val="24"/>
          <w:sz w:val="22"/>
          <w:szCs w:val="22"/>
        </w:rPr>
        <w:fldChar w:fldCharType="end"/>
      </w:r>
      <w:r>
        <w:rPr>
          <w:rFonts w:eastAsiaTheme="minorEastAsia" w:cstheme="minorHAnsi"/>
          <w:color w:val="000000" w:themeColor="text1"/>
          <w:kern w:val="24"/>
          <w:sz w:val="22"/>
          <w:szCs w:val="22"/>
        </w:rPr>
        <w:t xml:space="preserve">. </w:t>
      </w:r>
      <w:r w:rsidR="00247C74">
        <w:rPr>
          <w:rFonts w:eastAsiaTheme="minorEastAsia" w:cstheme="minorHAnsi"/>
          <w:color w:val="000000" w:themeColor="text1"/>
          <w:kern w:val="24"/>
          <w:sz w:val="22"/>
          <w:szCs w:val="22"/>
        </w:rPr>
        <w:t xml:space="preserve">The majority of patients will have a good outcome (&gt;70%) </w:t>
      </w:r>
      <w:r w:rsidR="00247C74">
        <w:rPr>
          <w:rFonts w:eastAsiaTheme="minorEastAsia" w:cstheme="minorHAnsi"/>
          <w:color w:val="000000" w:themeColor="text1"/>
          <w:kern w:val="24"/>
          <w:sz w:val="22"/>
          <w:szCs w:val="22"/>
        </w:rPr>
        <w:fldChar w:fldCharType="begin"/>
      </w:r>
      <w:r w:rsidR="00642970">
        <w:rPr>
          <w:rFonts w:eastAsiaTheme="minorEastAsia" w:cstheme="minorHAnsi"/>
          <w:color w:val="000000" w:themeColor="text1"/>
          <w:kern w:val="24"/>
          <w:sz w:val="22"/>
          <w:szCs w:val="22"/>
        </w:rPr>
        <w:instrText xml:space="preserve"> ADDIN ZOTERO_ITEM CSL_CITATION {"citationID":"5xOLDrBe","properties":{"formattedCitation":"(115)","plainCitation":"(115)","noteIndex":0},"citationItems":[{"id":143,"uris":["http://zotero.org/users/local/lvPLY4Gu/items/JGNBAIN8"],"itemData":{"id":143,"type":"article-journal","abstract":"OBJECTIVE: To assess factors associated treatment outcomes of acute post streptococcal glomerular nephritis among patients less than 18 years old in Mekelle City Public Hospitals.\nRESULTS: About 334 medical records c of children with acute post streptococcal glomerular nephritis were revised during the study period. Of these 244 (73.1%) had a positive outcome. acute post streptococcal glomerular nephritis was found to be statically significant associated with age &lt; 5 years, duration of infection, the source of infection and length of stay in Hospital.","container-title":"BMC research notes","DOI":"10.1186/s13104-018-3794-7","ISSN":"1756-0500","issue":"1","journalAbbreviation":"BMC Res Notes","language":"eng","note":"PMID: 30285899\nPMCID: PMC6167782","page":"693","source":"PubMed","title":"Factors associated with treatment outcome of acute post streptococcal glomerulonephritis among patients less than 18 years in Mekelle City, Public Hospitals, North Ethiopia","volume":"11","author":[{"family":"Gebreyesus","given":"Lemlem Gebreselassie"},{"family":"Aregay","given":"Atsede Fantahun"},{"family":"Gebrekidan","given":"Kahsu Gebrekirstos"},{"family":"Alemayehu","given":"Yisak Hagos"}],"issued":{"date-parts":[["2018",10,1]]}}}],"schema":"https://github.com/citation-style-language/schema/raw/master/csl-citation.json"} </w:instrText>
      </w:r>
      <w:r w:rsidR="00247C74">
        <w:rPr>
          <w:rFonts w:eastAsiaTheme="minorEastAsia" w:cstheme="minorHAnsi"/>
          <w:color w:val="000000" w:themeColor="text1"/>
          <w:kern w:val="24"/>
          <w:sz w:val="22"/>
          <w:szCs w:val="22"/>
        </w:rPr>
        <w:fldChar w:fldCharType="separate"/>
      </w:r>
      <w:r w:rsidR="00642970">
        <w:rPr>
          <w:rFonts w:eastAsiaTheme="minorEastAsia" w:cstheme="minorHAnsi"/>
          <w:noProof/>
          <w:color w:val="000000" w:themeColor="text1"/>
          <w:kern w:val="24"/>
          <w:sz w:val="22"/>
          <w:szCs w:val="22"/>
        </w:rPr>
        <w:t>(115)</w:t>
      </w:r>
      <w:r w:rsidR="00247C74">
        <w:rPr>
          <w:rFonts w:eastAsiaTheme="minorEastAsia" w:cstheme="minorHAnsi"/>
          <w:color w:val="000000" w:themeColor="text1"/>
          <w:kern w:val="24"/>
          <w:sz w:val="22"/>
          <w:szCs w:val="22"/>
        </w:rPr>
        <w:fldChar w:fldCharType="end"/>
      </w:r>
      <w:r w:rsidR="00247C74">
        <w:rPr>
          <w:rFonts w:eastAsiaTheme="minorEastAsia" w:cstheme="minorHAnsi"/>
          <w:color w:val="000000" w:themeColor="text1"/>
          <w:kern w:val="24"/>
          <w:sz w:val="22"/>
          <w:szCs w:val="22"/>
        </w:rPr>
        <w:t>. The d</w:t>
      </w:r>
      <w:r w:rsidR="003D5CF4" w:rsidRPr="00C00DD6">
        <w:rPr>
          <w:rFonts w:eastAsiaTheme="minorEastAsia" w:cstheme="minorHAnsi"/>
          <w:color w:val="000000" w:themeColor="text1"/>
          <w:kern w:val="24"/>
          <w:sz w:val="22"/>
          <w:szCs w:val="22"/>
        </w:rPr>
        <w:t xml:space="preserve">iagnosis and management of </w:t>
      </w:r>
      <w:r w:rsidR="000B4C18">
        <w:rPr>
          <w:rFonts w:eastAsiaTheme="minorEastAsia" w:cstheme="minorHAnsi"/>
          <w:color w:val="000000" w:themeColor="text1"/>
          <w:kern w:val="24"/>
          <w:sz w:val="22"/>
          <w:szCs w:val="22"/>
        </w:rPr>
        <w:t>s</w:t>
      </w:r>
      <w:r w:rsidR="000B4C18" w:rsidRPr="00C00DD6">
        <w:rPr>
          <w:rFonts w:eastAsiaTheme="minorEastAsia" w:cstheme="minorHAnsi"/>
          <w:color w:val="000000" w:themeColor="text1"/>
          <w:kern w:val="24"/>
          <w:sz w:val="22"/>
          <w:szCs w:val="22"/>
        </w:rPr>
        <w:t xml:space="preserve">hunt </w:t>
      </w:r>
      <w:r w:rsidR="000B4C18">
        <w:rPr>
          <w:rFonts w:eastAsiaTheme="minorEastAsia" w:cstheme="minorHAnsi"/>
          <w:color w:val="000000" w:themeColor="text1"/>
          <w:kern w:val="24"/>
          <w:sz w:val="22"/>
          <w:szCs w:val="22"/>
        </w:rPr>
        <w:t>n</w:t>
      </w:r>
      <w:r w:rsidR="000B4C18" w:rsidRPr="00C00DD6">
        <w:rPr>
          <w:rFonts w:eastAsiaTheme="minorEastAsia" w:cstheme="minorHAnsi"/>
          <w:color w:val="000000" w:themeColor="text1"/>
          <w:kern w:val="24"/>
          <w:sz w:val="22"/>
          <w:szCs w:val="22"/>
        </w:rPr>
        <w:t>ephritis</w:t>
      </w:r>
      <w:r w:rsidR="003D5CF4" w:rsidRPr="00C00DD6">
        <w:rPr>
          <w:rFonts w:eastAsiaTheme="minorEastAsia" w:cstheme="minorHAnsi"/>
          <w:color w:val="000000" w:themeColor="text1"/>
          <w:kern w:val="24"/>
          <w:sz w:val="22"/>
          <w:szCs w:val="22"/>
        </w:rPr>
        <w:t xml:space="preserve">, endocarditis related, IgA dominant infection </w:t>
      </w:r>
      <w:proofErr w:type="gramStart"/>
      <w:r w:rsidR="003D5CF4" w:rsidRPr="00C00DD6">
        <w:rPr>
          <w:rFonts w:eastAsiaTheme="minorEastAsia" w:cstheme="minorHAnsi"/>
          <w:color w:val="000000" w:themeColor="text1"/>
          <w:kern w:val="24"/>
          <w:sz w:val="22"/>
          <w:szCs w:val="22"/>
        </w:rPr>
        <w:t>related</w:t>
      </w:r>
      <w:proofErr w:type="gramEnd"/>
      <w:r w:rsidR="003D5CF4" w:rsidRPr="00C00DD6">
        <w:rPr>
          <w:rFonts w:eastAsiaTheme="minorEastAsia" w:cstheme="minorHAnsi"/>
          <w:color w:val="000000" w:themeColor="text1"/>
          <w:kern w:val="24"/>
          <w:sz w:val="22"/>
          <w:szCs w:val="22"/>
        </w:rPr>
        <w:t xml:space="preserve"> and viral infection related (including </w:t>
      </w:r>
      <w:proofErr w:type="spellStart"/>
      <w:r w:rsidR="003D5CF4" w:rsidRPr="00C00DD6">
        <w:rPr>
          <w:rFonts w:eastAsiaTheme="minorEastAsia" w:cstheme="minorHAnsi"/>
          <w:color w:val="000000" w:themeColor="text1"/>
          <w:kern w:val="24"/>
          <w:sz w:val="22"/>
          <w:szCs w:val="22"/>
        </w:rPr>
        <w:t>HepB</w:t>
      </w:r>
      <w:proofErr w:type="spellEnd"/>
      <w:r w:rsidR="003D5CF4" w:rsidRPr="00C00DD6">
        <w:rPr>
          <w:rFonts w:eastAsiaTheme="minorEastAsia" w:cstheme="minorHAnsi"/>
          <w:color w:val="000000" w:themeColor="text1"/>
          <w:kern w:val="24"/>
          <w:sz w:val="22"/>
          <w:szCs w:val="22"/>
        </w:rPr>
        <w:t xml:space="preserve">, Hep C, HIV, Schistosomiasis, filariasis, and malaria) </w:t>
      </w:r>
      <w:r w:rsidR="00247C74">
        <w:rPr>
          <w:rFonts w:eastAsiaTheme="minorEastAsia" w:cstheme="minorHAnsi"/>
          <w:color w:val="000000" w:themeColor="text1"/>
          <w:kern w:val="24"/>
          <w:sz w:val="22"/>
          <w:szCs w:val="22"/>
        </w:rPr>
        <w:t>were felt to be</w:t>
      </w:r>
      <w:r w:rsidR="003D5CF4" w:rsidRPr="00C00DD6">
        <w:rPr>
          <w:rFonts w:eastAsiaTheme="minorEastAsia" w:cstheme="minorHAnsi"/>
          <w:color w:val="000000" w:themeColor="text1"/>
          <w:kern w:val="24"/>
          <w:sz w:val="22"/>
          <w:szCs w:val="22"/>
        </w:rPr>
        <w:t xml:space="preserve"> beyond the scope of this guideline</w:t>
      </w:r>
    </w:p>
    <w:p w14:paraId="2C1524C0" w14:textId="77777777" w:rsidR="006A3E89" w:rsidRDefault="006A3E89" w:rsidP="003F494F">
      <w:pPr>
        <w:spacing w:after="160" w:line="360" w:lineRule="auto"/>
        <w:jc w:val="both"/>
        <w:rPr>
          <w:rFonts w:cstheme="minorHAnsi"/>
          <w:b/>
        </w:rPr>
      </w:pPr>
    </w:p>
    <w:p w14:paraId="3583C391" w14:textId="6F637DBC" w:rsidR="009429FC" w:rsidRPr="003F494F" w:rsidRDefault="001630D4" w:rsidP="003F494F">
      <w:pPr>
        <w:spacing w:after="160" w:line="360" w:lineRule="auto"/>
        <w:jc w:val="both"/>
        <w:rPr>
          <w:rFonts w:cstheme="minorHAnsi"/>
          <w:b/>
          <w:sz w:val="22"/>
          <w:szCs w:val="22"/>
          <w:u w:val="single"/>
        </w:rPr>
      </w:pPr>
      <w:r w:rsidRPr="003F494F">
        <w:rPr>
          <w:rFonts w:cstheme="minorHAnsi"/>
          <w:b/>
          <w:sz w:val="22"/>
          <w:szCs w:val="22"/>
          <w:u w:val="single"/>
        </w:rPr>
        <w:lastRenderedPageBreak/>
        <w:t>Research and audit</w:t>
      </w:r>
    </w:p>
    <w:p w14:paraId="58C59784" w14:textId="055FD9B1" w:rsidR="003E3265" w:rsidRDefault="001630D4">
      <w:pPr>
        <w:spacing w:after="160" w:line="360" w:lineRule="auto"/>
        <w:jc w:val="both"/>
        <w:rPr>
          <w:rFonts w:cstheme="minorHAnsi"/>
          <w:b/>
          <w:sz w:val="22"/>
          <w:szCs w:val="22"/>
        </w:rPr>
      </w:pPr>
      <w:r w:rsidRPr="003F494F">
        <w:rPr>
          <w:rFonts w:cstheme="minorHAnsi"/>
          <w:b/>
          <w:sz w:val="22"/>
          <w:szCs w:val="22"/>
        </w:rPr>
        <w:t xml:space="preserve">Summary of </w:t>
      </w:r>
      <w:r w:rsidR="006A3E89">
        <w:rPr>
          <w:rFonts w:cstheme="minorHAnsi"/>
          <w:b/>
          <w:sz w:val="22"/>
          <w:szCs w:val="22"/>
        </w:rPr>
        <w:t xml:space="preserve">clinical </w:t>
      </w:r>
      <w:r w:rsidRPr="003F494F">
        <w:rPr>
          <w:rFonts w:cstheme="minorHAnsi"/>
          <w:b/>
          <w:sz w:val="22"/>
          <w:szCs w:val="22"/>
        </w:rPr>
        <w:t>research recommendations</w:t>
      </w:r>
    </w:p>
    <w:p w14:paraId="7AD9C667" w14:textId="7438D200" w:rsidR="00EA336E" w:rsidRPr="003F494F" w:rsidRDefault="00EA336E" w:rsidP="003F494F">
      <w:pPr>
        <w:spacing w:after="160" w:line="360" w:lineRule="auto"/>
        <w:jc w:val="both"/>
        <w:rPr>
          <w:rFonts w:cstheme="minorHAnsi"/>
          <w:bCs/>
          <w:sz w:val="22"/>
          <w:szCs w:val="22"/>
        </w:rPr>
      </w:pPr>
      <w:r w:rsidRPr="003F494F">
        <w:rPr>
          <w:rFonts w:cstheme="minorHAnsi"/>
          <w:bCs/>
          <w:sz w:val="22"/>
          <w:szCs w:val="22"/>
        </w:rPr>
        <w:t xml:space="preserve">The following 12 items were highlighted as research priority areas during the harmonisation </w:t>
      </w:r>
      <w:proofErr w:type="gramStart"/>
      <w:r w:rsidRPr="003F494F">
        <w:rPr>
          <w:rFonts w:cstheme="minorHAnsi"/>
          <w:bCs/>
          <w:sz w:val="22"/>
          <w:szCs w:val="22"/>
        </w:rPr>
        <w:t>process</w:t>
      </w:r>
      <w:proofErr w:type="gramEnd"/>
      <w:r w:rsidRPr="003F494F">
        <w:rPr>
          <w:rFonts w:cstheme="minorHAnsi"/>
          <w:bCs/>
          <w:sz w:val="22"/>
          <w:szCs w:val="22"/>
        </w:rPr>
        <w:t xml:space="preserve"> and it is likely that further priorities will evolve following implementation. </w:t>
      </w:r>
    </w:p>
    <w:p w14:paraId="78ACBB06" w14:textId="69EE0498" w:rsidR="004256C8" w:rsidRPr="003F494F" w:rsidRDefault="001630D4" w:rsidP="003F494F">
      <w:pPr>
        <w:pStyle w:val="ListParagraph"/>
        <w:numPr>
          <w:ilvl w:val="0"/>
          <w:numId w:val="38"/>
        </w:numPr>
        <w:spacing w:line="360" w:lineRule="auto"/>
        <w:rPr>
          <w:rFonts w:eastAsia="Times New Roman" w:cstheme="minorHAnsi"/>
          <w:sz w:val="22"/>
          <w:szCs w:val="22"/>
          <w:lang w:eastAsia="en-GB"/>
        </w:rPr>
      </w:pPr>
      <w:r w:rsidRPr="003F494F">
        <w:rPr>
          <w:rFonts w:eastAsia="Arial" w:cstheme="minorHAnsi"/>
          <w:sz w:val="22"/>
          <w:szCs w:val="22"/>
          <w:lang w:val="en" w:eastAsia="en-GB"/>
        </w:rPr>
        <w:t xml:space="preserve">The incidence </w:t>
      </w:r>
      <w:r w:rsidR="000B4C18" w:rsidRPr="003F494F">
        <w:rPr>
          <w:rFonts w:eastAsia="Arial" w:cstheme="minorHAnsi"/>
          <w:sz w:val="22"/>
          <w:szCs w:val="22"/>
          <w:lang w:val="en" w:eastAsia="en-GB"/>
        </w:rPr>
        <w:t xml:space="preserve">and impact </w:t>
      </w:r>
      <w:r w:rsidRPr="003F494F">
        <w:rPr>
          <w:rFonts w:eastAsia="Arial" w:cstheme="minorHAnsi"/>
          <w:sz w:val="22"/>
          <w:szCs w:val="22"/>
          <w:lang w:val="en" w:eastAsia="en-GB"/>
        </w:rPr>
        <w:t>of adrenal insufficiency in children and young people managed with high dose corticosteroids</w:t>
      </w:r>
      <w:r w:rsidR="00B50FCF" w:rsidRPr="003F494F">
        <w:rPr>
          <w:rFonts w:eastAsia="Arial" w:cstheme="minorHAnsi"/>
          <w:sz w:val="22"/>
          <w:szCs w:val="22"/>
          <w:lang w:val="en" w:eastAsia="en-GB"/>
        </w:rPr>
        <w:t>.</w:t>
      </w:r>
      <w:r w:rsidRPr="003F494F">
        <w:rPr>
          <w:rFonts w:eastAsia="Arial" w:cstheme="minorHAnsi"/>
          <w:sz w:val="22"/>
          <w:szCs w:val="22"/>
          <w:lang w:val="en" w:eastAsia="en-GB"/>
        </w:rPr>
        <w:t xml:space="preserve"> </w:t>
      </w:r>
    </w:p>
    <w:p w14:paraId="158FCE44" w14:textId="4C227051" w:rsidR="004256C8" w:rsidRPr="003F494F" w:rsidRDefault="00B50FCF" w:rsidP="003F494F">
      <w:pPr>
        <w:pStyle w:val="ListParagraph"/>
        <w:numPr>
          <w:ilvl w:val="0"/>
          <w:numId w:val="38"/>
        </w:numPr>
        <w:spacing w:line="360" w:lineRule="auto"/>
        <w:rPr>
          <w:rFonts w:eastAsia="Times New Roman" w:cstheme="minorHAnsi"/>
          <w:sz w:val="22"/>
          <w:szCs w:val="22"/>
          <w:lang w:eastAsia="en-GB"/>
        </w:rPr>
      </w:pPr>
      <w:r w:rsidRPr="003F494F">
        <w:rPr>
          <w:rFonts w:eastAsia="Arial" w:cstheme="minorHAnsi"/>
          <w:sz w:val="22"/>
          <w:szCs w:val="22"/>
          <w:lang w:val="en" w:eastAsia="en-GB"/>
        </w:rPr>
        <w:t>The use of a</w:t>
      </w:r>
      <w:r w:rsidR="001630D4" w:rsidRPr="003F494F">
        <w:rPr>
          <w:rFonts w:eastAsia="Arial" w:cstheme="minorHAnsi"/>
          <w:sz w:val="22"/>
          <w:szCs w:val="22"/>
          <w:lang w:val="en" w:eastAsia="en-GB"/>
        </w:rPr>
        <w:t xml:space="preserve">lternate day </w:t>
      </w:r>
      <w:r w:rsidRPr="003F494F">
        <w:rPr>
          <w:rFonts w:eastAsia="Arial" w:cstheme="minorHAnsi"/>
          <w:sz w:val="22"/>
          <w:szCs w:val="22"/>
          <w:lang w:val="en" w:eastAsia="en-GB"/>
        </w:rPr>
        <w:t>compared to</w:t>
      </w:r>
      <w:r w:rsidR="001630D4" w:rsidRPr="003F494F">
        <w:rPr>
          <w:rFonts w:eastAsia="Arial" w:cstheme="minorHAnsi"/>
          <w:sz w:val="22"/>
          <w:szCs w:val="22"/>
          <w:lang w:val="en" w:eastAsia="en-GB"/>
        </w:rPr>
        <w:t xml:space="preserve"> single day dosing </w:t>
      </w:r>
      <w:r w:rsidR="000B4C18" w:rsidRPr="003F494F">
        <w:rPr>
          <w:rFonts w:eastAsia="Arial" w:cstheme="minorHAnsi"/>
          <w:sz w:val="22"/>
          <w:szCs w:val="22"/>
          <w:lang w:val="en" w:eastAsia="en-GB"/>
        </w:rPr>
        <w:t>of corticosteroid</w:t>
      </w:r>
      <w:r w:rsidRPr="003F494F">
        <w:rPr>
          <w:rFonts w:eastAsia="Arial" w:cstheme="minorHAnsi"/>
          <w:sz w:val="22"/>
          <w:szCs w:val="22"/>
          <w:lang w:val="en" w:eastAsia="en-GB"/>
        </w:rPr>
        <w:t>s in IM</w:t>
      </w:r>
      <w:r w:rsidR="0077347C">
        <w:rPr>
          <w:rFonts w:eastAsia="Arial" w:cstheme="minorHAnsi"/>
          <w:sz w:val="22"/>
          <w:szCs w:val="22"/>
          <w:lang w:val="en" w:eastAsia="en-GB"/>
        </w:rPr>
        <w:t>-</w:t>
      </w:r>
      <w:r w:rsidRPr="003F494F">
        <w:rPr>
          <w:rFonts w:eastAsia="Arial" w:cstheme="minorHAnsi"/>
          <w:sz w:val="22"/>
          <w:szCs w:val="22"/>
          <w:lang w:val="en" w:eastAsia="en-GB"/>
        </w:rPr>
        <w:t>GD.</w:t>
      </w:r>
    </w:p>
    <w:p w14:paraId="48E8CE8F" w14:textId="5D9E082A" w:rsidR="004256C8" w:rsidRPr="003F494F" w:rsidRDefault="00B50FCF" w:rsidP="003F494F">
      <w:pPr>
        <w:pStyle w:val="ListParagraph"/>
        <w:numPr>
          <w:ilvl w:val="0"/>
          <w:numId w:val="38"/>
        </w:numPr>
        <w:spacing w:line="360" w:lineRule="auto"/>
        <w:rPr>
          <w:rFonts w:eastAsia="Times New Roman" w:cstheme="minorHAnsi"/>
          <w:sz w:val="22"/>
          <w:szCs w:val="22"/>
          <w:lang w:eastAsia="en-GB"/>
        </w:rPr>
      </w:pPr>
      <w:bookmarkStart w:id="17" w:name="_Hlk167201167"/>
      <w:r w:rsidRPr="003F494F">
        <w:rPr>
          <w:rFonts w:eastAsia="Arial" w:cstheme="minorHAnsi"/>
          <w:sz w:val="22"/>
          <w:szCs w:val="22"/>
          <w:lang w:val="en" w:eastAsia="en-GB"/>
        </w:rPr>
        <w:t>The use of B cell depletion or two immunosuppressive agents during</w:t>
      </w:r>
      <w:r w:rsidR="001630D4" w:rsidRPr="003F494F">
        <w:rPr>
          <w:rFonts w:eastAsia="Arial" w:cstheme="minorHAnsi"/>
          <w:sz w:val="22"/>
          <w:szCs w:val="22"/>
          <w:lang w:val="en" w:eastAsia="en-GB"/>
        </w:rPr>
        <w:t xml:space="preserve"> </w:t>
      </w:r>
      <w:r w:rsidRPr="003F494F">
        <w:rPr>
          <w:rFonts w:eastAsia="Arial" w:cstheme="minorHAnsi"/>
          <w:sz w:val="22"/>
          <w:szCs w:val="22"/>
          <w:lang w:val="en" w:eastAsia="en-GB"/>
        </w:rPr>
        <w:t xml:space="preserve">the induction phase or first year of treatment for patients with idiopathic nephrotic syndrome </w:t>
      </w:r>
      <w:r w:rsidR="0077347C">
        <w:rPr>
          <w:rFonts w:eastAsia="Arial" w:cstheme="minorHAnsi"/>
          <w:sz w:val="22"/>
          <w:szCs w:val="22"/>
          <w:lang w:val="en" w:eastAsia="en-GB"/>
        </w:rPr>
        <w:t xml:space="preserve">at risk of prolonged or complex disease. </w:t>
      </w:r>
      <w:r w:rsidR="001630D4" w:rsidRPr="003F494F">
        <w:rPr>
          <w:rFonts w:eastAsia="Arial" w:cstheme="minorHAnsi"/>
          <w:sz w:val="22"/>
          <w:szCs w:val="22"/>
          <w:lang w:val="en" w:eastAsia="en-GB"/>
        </w:rPr>
        <w:t xml:space="preserve"> </w:t>
      </w:r>
    </w:p>
    <w:p w14:paraId="26492535" w14:textId="12AC139E" w:rsidR="004256C8" w:rsidRPr="003F494F" w:rsidRDefault="00B50FCF" w:rsidP="003F494F">
      <w:pPr>
        <w:pStyle w:val="ListParagraph"/>
        <w:numPr>
          <w:ilvl w:val="0"/>
          <w:numId w:val="38"/>
        </w:numPr>
        <w:spacing w:line="360" w:lineRule="auto"/>
        <w:rPr>
          <w:rFonts w:eastAsia="Times New Roman" w:cstheme="minorHAnsi"/>
          <w:sz w:val="22"/>
          <w:szCs w:val="22"/>
          <w:lang w:eastAsia="en-GB"/>
        </w:rPr>
      </w:pPr>
      <w:r w:rsidRPr="003F494F">
        <w:rPr>
          <w:rFonts w:eastAsia="Arial" w:cstheme="minorHAnsi"/>
          <w:sz w:val="22"/>
          <w:szCs w:val="22"/>
          <w:lang w:val="en" w:eastAsia="en-GB"/>
        </w:rPr>
        <w:t xml:space="preserve">Detailed and routine data collection of the </w:t>
      </w:r>
      <w:r w:rsidR="001630D4" w:rsidRPr="003F494F">
        <w:rPr>
          <w:rFonts w:eastAsia="Arial" w:cstheme="minorHAnsi"/>
          <w:sz w:val="22"/>
          <w:szCs w:val="22"/>
          <w:lang w:val="en" w:eastAsia="en-GB"/>
        </w:rPr>
        <w:t>side effects of drugs</w:t>
      </w:r>
      <w:r w:rsidRPr="003F494F">
        <w:rPr>
          <w:rFonts w:eastAsia="Arial" w:cstheme="minorHAnsi"/>
          <w:sz w:val="22"/>
          <w:szCs w:val="22"/>
          <w:lang w:val="en" w:eastAsia="en-GB"/>
        </w:rPr>
        <w:t xml:space="preserve"> used to manage IM</w:t>
      </w:r>
      <w:r w:rsidR="0077347C">
        <w:rPr>
          <w:rFonts w:eastAsia="Arial" w:cstheme="minorHAnsi"/>
          <w:sz w:val="22"/>
          <w:szCs w:val="22"/>
          <w:lang w:val="en" w:eastAsia="en-GB"/>
        </w:rPr>
        <w:t>-</w:t>
      </w:r>
      <w:r w:rsidRPr="003F494F">
        <w:rPr>
          <w:rFonts w:eastAsia="Arial" w:cstheme="minorHAnsi"/>
          <w:sz w:val="22"/>
          <w:szCs w:val="22"/>
          <w:lang w:val="en" w:eastAsia="en-GB"/>
        </w:rPr>
        <w:t xml:space="preserve">GD. </w:t>
      </w:r>
    </w:p>
    <w:p w14:paraId="4FC4A7C0" w14:textId="6E795E80" w:rsidR="005826BB" w:rsidRPr="003F494F" w:rsidRDefault="00B50FCF" w:rsidP="003F494F">
      <w:pPr>
        <w:pStyle w:val="ListParagraph"/>
        <w:numPr>
          <w:ilvl w:val="0"/>
          <w:numId w:val="38"/>
        </w:numPr>
        <w:spacing w:line="360" w:lineRule="auto"/>
        <w:rPr>
          <w:rFonts w:eastAsia="Times New Roman" w:cstheme="minorHAnsi"/>
          <w:sz w:val="22"/>
          <w:szCs w:val="22"/>
          <w:lang w:eastAsia="en-GB"/>
        </w:rPr>
      </w:pPr>
      <w:r w:rsidRPr="003F494F">
        <w:rPr>
          <w:rFonts w:eastAsia="Arial" w:cstheme="minorHAnsi"/>
          <w:sz w:val="22"/>
          <w:szCs w:val="22"/>
          <w:lang w:val="en" w:eastAsia="en-GB"/>
        </w:rPr>
        <w:t>The l</w:t>
      </w:r>
      <w:r w:rsidR="005826BB" w:rsidRPr="003F494F">
        <w:rPr>
          <w:rFonts w:eastAsia="Arial" w:cstheme="minorHAnsi"/>
          <w:sz w:val="22"/>
          <w:szCs w:val="22"/>
          <w:lang w:val="en" w:eastAsia="en-GB"/>
        </w:rPr>
        <w:t xml:space="preserve">onger-term </w:t>
      </w:r>
      <w:r w:rsidRPr="003F494F">
        <w:rPr>
          <w:rFonts w:eastAsia="Arial" w:cstheme="minorHAnsi"/>
          <w:sz w:val="22"/>
          <w:szCs w:val="22"/>
          <w:lang w:val="en" w:eastAsia="en-GB"/>
        </w:rPr>
        <w:t xml:space="preserve">health </w:t>
      </w:r>
      <w:r w:rsidR="005826BB" w:rsidRPr="003F494F">
        <w:rPr>
          <w:rFonts w:eastAsia="Arial" w:cstheme="minorHAnsi"/>
          <w:sz w:val="22"/>
          <w:szCs w:val="22"/>
          <w:lang w:val="en" w:eastAsia="en-GB"/>
        </w:rPr>
        <w:t>impact of B-cell depletion</w:t>
      </w:r>
      <w:r w:rsidRPr="003F494F">
        <w:rPr>
          <w:rFonts w:eastAsia="Arial" w:cstheme="minorHAnsi"/>
          <w:sz w:val="22"/>
          <w:szCs w:val="22"/>
          <w:lang w:val="en" w:eastAsia="en-GB"/>
        </w:rPr>
        <w:t xml:space="preserve"> on CYP with IM</w:t>
      </w:r>
      <w:r w:rsidR="0077347C">
        <w:rPr>
          <w:rFonts w:eastAsia="Arial" w:cstheme="minorHAnsi"/>
          <w:sz w:val="22"/>
          <w:szCs w:val="22"/>
          <w:lang w:val="en" w:eastAsia="en-GB"/>
        </w:rPr>
        <w:t>-</w:t>
      </w:r>
      <w:r w:rsidRPr="003F494F">
        <w:rPr>
          <w:rFonts w:eastAsia="Arial" w:cstheme="minorHAnsi"/>
          <w:sz w:val="22"/>
          <w:szCs w:val="22"/>
          <w:lang w:val="en" w:eastAsia="en-GB"/>
        </w:rPr>
        <w:t xml:space="preserve">GD. </w:t>
      </w:r>
    </w:p>
    <w:p w14:paraId="267390AB" w14:textId="091EC062" w:rsidR="005826BB" w:rsidRPr="003F494F" w:rsidRDefault="005826BB" w:rsidP="003F494F">
      <w:pPr>
        <w:pStyle w:val="ListParagraph"/>
        <w:numPr>
          <w:ilvl w:val="0"/>
          <w:numId w:val="38"/>
        </w:numPr>
        <w:spacing w:line="360" w:lineRule="auto"/>
        <w:rPr>
          <w:rFonts w:eastAsia="Times New Roman" w:cstheme="minorHAnsi"/>
          <w:sz w:val="22"/>
          <w:szCs w:val="22"/>
          <w:lang w:eastAsia="en-GB"/>
        </w:rPr>
      </w:pPr>
      <w:r w:rsidRPr="003F494F">
        <w:rPr>
          <w:rFonts w:eastAsia="Arial" w:cstheme="minorHAnsi"/>
          <w:sz w:val="22"/>
          <w:szCs w:val="22"/>
          <w:lang w:val="en" w:eastAsia="en-GB"/>
        </w:rPr>
        <w:t>Role of anti-</w:t>
      </w:r>
      <w:proofErr w:type="spellStart"/>
      <w:r w:rsidRPr="003F494F">
        <w:rPr>
          <w:rFonts w:eastAsia="Arial" w:cstheme="minorHAnsi"/>
          <w:sz w:val="22"/>
          <w:szCs w:val="22"/>
          <w:lang w:val="en" w:eastAsia="en-GB"/>
        </w:rPr>
        <w:t>nephrin</w:t>
      </w:r>
      <w:proofErr w:type="spellEnd"/>
      <w:r w:rsidRPr="003F494F">
        <w:rPr>
          <w:rFonts w:eastAsia="Arial" w:cstheme="minorHAnsi"/>
          <w:sz w:val="22"/>
          <w:szCs w:val="22"/>
          <w:lang w:val="en" w:eastAsia="en-GB"/>
        </w:rPr>
        <w:t xml:space="preserve"> antibodies in </w:t>
      </w:r>
      <w:r w:rsidR="00B50FCF" w:rsidRPr="003F494F">
        <w:rPr>
          <w:rFonts w:eastAsia="Arial" w:cstheme="minorHAnsi"/>
          <w:sz w:val="22"/>
          <w:szCs w:val="22"/>
          <w:lang w:val="en" w:eastAsia="en-GB"/>
        </w:rPr>
        <w:t>idiopathic nephrotic syndrome</w:t>
      </w:r>
      <w:r w:rsidRPr="003F494F">
        <w:rPr>
          <w:rFonts w:eastAsia="Arial" w:cstheme="minorHAnsi"/>
          <w:sz w:val="22"/>
          <w:szCs w:val="22"/>
          <w:lang w:val="en" w:eastAsia="en-GB"/>
        </w:rPr>
        <w:t xml:space="preserve"> and their </w:t>
      </w:r>
      <w:r w:rsidR="00B50FCF" w:rsidRPr="003F494F">
        <w:rPr>
          <w:rFonts w:eastAsia="Arial" w:cstheme="minorHAnsi"/>
          <w:sz w:val="22"/>
          <w:szCs w:val="22"/>
          <w:lang w:val="en" w:eastAsia="en-GB"/>
        </w:rPr>
        <w:t>role</w:t>
      </w:r>
      <w:r w:rsidRPr="003F494F">
        <w:rPr>
          <w:rFonts w:eastAsia="Arial" w:cstheme="minorHAnsi"/>
          <w:sz w:val="22"/>
          <w:szCs w:val="22"/>
          <w:lang w:val="en" w:eastAsia="en-GB"/>
        </w:rPr>
        <w:t xml:space="preserve"> in </w:t>
      </w:r>
      <w:proofErr w:type="spellStart"/>
      <w:r w:rsidRPr="003F494F">
        <w:rPr>
          <w:rFonts w:eastAsia="Arial" w:cstheme="minorHAnsi"/>
          <w:sz w:val="22"/>
          <w:szCs w:val="22"/>
          <w:lang w:val="en" w:eastAsia="en-GB"/>
        </w:rPr>
        <w:t>personalised</w:t>
      </w:r>
      <w:proofErr w:type="spellEnd"/>
      <w:r w:rsidRPr="003F494F">
        <w:rPr>
          <w:rFonts w:eastAsia="Arial" w:cstheme="minorHAnsi"/>
          <w:sz w:val="22"/>
          <w:szCs w:val="22"/>
          <w:lang w:val="en" w:eastAsia="en-GB"/>
        </w:rPr>
        <w:t xml:space="preserve"> treatment </w:t>
      </w:r>
      <w:r w:rsidR="00B50FCF" w:rsidRPr="003F494F">
        <w:rPr>
          <w:rFonts w:eastAsia="Arial" w:cstheme="minorHAnsi"/>
          <w:sz w:val="22"/>
          <w:szCs w:val="22"/>
          <w:lang w:val="en" w:eastAsia="en-GB"/>
        </w:rPr>
        <w:t xml:space="preserve">approaches. </w:t>
      </w:r>
    </w:p>
    <w:p w14:paraId="19D0242D" w14:textId="5185C46A" w:rsidR="005826BB" w:rsidRPr="003F494F" w:rsidRDefault="0077347C" w:rsidP="003F494F">
      <w:pPr>
        <w:pStyle w:val="ListParagraph"/>
        <w:numPr>
          <w:ilvl w:val="0"/>
          <w:numId w:val="38"/>
        </w:numPr>
        <w:spacing w:line="360" w:lineRule="auto"/>
        <w:rPr>
          <w:rFonts w:eastAsia="Times New Roman" w:cstheme="minorHAnsi"/>
          <w:sz w:val="22"/>
          <w:szCs w:val="22"/>
          <w:lang w:eastAsia="en-GB"/>
        </w:rPr>
      </w:pPr>
      <w:r>
        <w:rPr>
          <w:rFonts w:eastAsia="Arial" w:cstheme="minorHAnsi"/>
          <w:sz w:val="22"/>
          <w:szCs w:val="22"/>
          <w:lang w:val="en" w:eastAsia="en-GB"/>
        </w:rPr>
        <w:t>The r</w:t>
      </w:r>
      <w:r w:rsidR="005826BB" w:rsidRPr="003F494F">
        <w:rPr>
          <w:rFonts w:eastAsia="Arial" w:cstheme="minorHAnsi"/>
          <w:sz w:val="22"/>
          <w:szCs w:val="22"/>
          <w:lang w:val="en" w:eastAsia="en-GB"/>
        </w:rPr>
        <w:t xml:space="preserve">ole of </w:t>
      </w:r>
      <w:r>
        <w:rPr>
          <w:rFonts w:eastAsia="Arial" w:cstheme="minorHAnsi"/>
          <w:sz w:val="22"/>
          <w:szCs w:val="22"/>
          <w:lang w:val="en" w:eastAsia="en-GB"/>
        </w:rPr>
        <w:t xml:space="preserve">broad spectrum and </w:t>
      </w:r>
      <w:r w:rsidR="00B50FCF" w:rsidRPr="003F494F">
        <w:rPr>
          <w:rFonts w:eastAsia="Arial" w:cstheme="minorHAnsi"/>
          <w:sz w:val="22"/>
          <w:szCs w:val="22"/>
          <w:lang w:val="en" w:eastAsia="en-GB"/>
        </w:rPr>
        <w:t xml:space="preserve">specific </w:t>
      </w:r>
      <w:r>
        <w:rPr>
          <w:rFonts w:eastAsia="Arial" w:cstheme="minorHAnsi"/>
          <w:sz w:val="22"/>
          <w:szCs w:val="22"/>
          <w:lang w:val="en" w:eastAsia="en-GB"/>
        </w:rPr>
        <w:t xml:space="preserve">immunosuppressive </w:t>
      </w:r>
      <w:r w:rsidR="00B50FCF" w:rsidRPr="003F494F">
        <w:rPr>
          <w:rFonts w:eastAsia="Arial" w:cstheme="minorHAnsi"/>
          <w:sz w:val="22"/>
          <w:szCs w:val="22"/>
          <w:lang w:val="en" w:eastAsia="en-GB"/>
        </w:rPr>
        <w:t>therapies in each of the subtypes of IM</w:t>
      </w:r>
      <w:r>
        <w:rPr>
          <w:rFonts w:eastAsia="Arial" w:cstheme="minorHAnsi"/>
          <w:sz w:val="22"/>
          <w:szCs w:val="22"/>
          <w:lang w:val="en" w:eastAsia="en-GB"/>
        </w:rPr>
        <w:t>-</w:t>
      </w:r>
      <w:r w:rsidR="00B50FCF" w:rsidRPr="003F494F">
        <w:rPr>
          <w:rFonts w:eastAsia="Arial" w:cstheme="minorHAnsi"/>
          <w:sz w:val="22"/>
          <w:szCs w:val="22"/>
          <w:lang w:val="en" w:eastAsia="en-GB"/>
        </w:rPr>
        <w:t>GD</w:t>
      </w:r>
      <w:r w:rsidR="005826BB" w:rsidRPr="003F494F">
        <w:rPr>
          <w:rFonts w:eastAsia="Arial" w:cstheme="minorHAnsi"/>
          <w:sz w:val="22"/>
          <w:szCs w:val="22"/>
          <w:lang w:val="en" w:eastAsia="en-GB"/>
        </w:rPr>
        <w:t>.</w:t>
      </w:r>
    </w:p>
    <w:p w14:paraId="388EF4D8" w14:textId="60594035" w:rsidR="005826BB" w:rsidRPr="003F494F" w:rsidRDefault="00B50FCF" w:rsidP="003F494F">
      <w:pPr>
        <w:pStyle w:val="ListParagraph"/>
        <w:numPr>
          <w:ilvl w:val="0"/>
          <w:numId w:val="38"/>
        </w:numPr>
        <w:spacing w:line="360" w:lineRule="auto"/>
        <w:rPr>
          <w:rFonts w:eastAsia="Times New Roman" w:cstheme="minorHAnsi"/>
          <w:sz w:val="22"/>
          <w:szCs w:val="22"/>
          <w:lang w:eastAsia="en-GB"/>
        </w:rPr>
      </w:pPr>
      <w:r w:rsidRPr="003F494F">
        <w:rPr>
          <w:rFonts w:eastAsia="Arial" w:cstheme="minorHAnsi"/>
          <w:sz w:val="22"/>
          <w:szCs w:val="22"/>
          <w:lang w:val="en" w:eastAsia="en-GB"/>
        </w:rPr>
        <w:t>The safe and effective u</w:t>
      </w:r>
      <w:r w:rsidR="005826BB" w:rsidRPr="003F494F">
        <w:rPr>
          <w:rFonts w:eastAsia="Arial" w:cstheme="minorHAnsi"/>
          <w:sz w:val="22"/>
          <w:szCs w:val="22"/>
          <w:lang w:val="en" w:eastAsia="en-GB"/>
        </w:rPr>
        <w:t xml:space="preserve">se of SGLT2i in </w:t>
      </w:r>
      <w:r w:rsidRPr="003F494F">
        <w:rPr>
          <w:rFonts w:eastAsia="Arial" w:cstheme="minorHAnsi"/>
          <w:sz w:val="22"/>
          <w:szCs w:val="22"/>
          <w:lang w:val="en" w:eastAsia="en-GB"/>
        </w:rPr>
        <w:t>IM</w:t>
      </w:r>
      <w:r w:rsidR="0077347C">
        <w:rPr>
          <w:rFonts w:eastAsia="Arial" w:cstheme="minorHAnsi"/>
          <w:sz w:val="22"/>
          <w:szCs w:val="22"/>
          <w:lang w:val="en" w:eastAsia="en-GB"/>
        </w:rPr>
        <w:t>-</w:t>
      </w:r>
      <w:r w:rsidRPr="003F494F">
        <w:rPr>
          <w:rFonts w:eastAsia="Arial" w:cstheme="minorHAnsi"/>
          <w:sz w:val="22"/>
          <w:szCs w:val="22"/>
          <w:lang w:val="en" w:eastAsia="en-GB"/>
        </w:rPr>
        <w:t>GD</w:t>
      </w:r>
      <w:r w:rsidR="005826BB" w:rsidRPr="003F494F">
        <w:rPr>
          <w:rFonts w:eastAsia="Arial" w:cstheme="minorHAnsi"/>
          <w:sz w:val="22"/>
          <w:szCs w:val="22"/>
          <w:lang w:val="en" w:eastAsia="en-GB"/>
        </w:rPr>
        <w:t xml:space="preserve"> in children.</w:t>
      </w:r>
    </w:p>
    <w:p w14:paraId="0B5C66F8" w14:textId="1D8B7E29" w:rsidR="005826BB" w:rsidRPr="003F494F" w:rsidRDefault="00B50FCF" w:rsidP="003F494F">
      <w:pPr>
        <w:pStyle w:val="ListParagraph"/>
        <w:numPr>
          <w:ilvl w:val="0"/>
          <w:numId w:val="38"/>
        </w:numPr>
        <w:spacing w:line="360" w:lineRule="auto"/>
        <w:rPr>
          <w:rFonts w:eastAsia="Times New Roman" w:cstheme="minorHAnsi"/>
          <w:sz w:val="22"/>
          <w:szCs w:val="22"/>
          <w:lang w:eastAsia="en-GB"/>
        </w:rPr>
      </w:pPr>
      <w:r w:rsidRPr="003F494F">
        <w:rPr>
          <w:rFonts w:eastAsia="Arial" w:cstheme="minorHAnsi"/>
          <w:sz w:val="22"/>
          <w:szCs w:val="22"/>
          <w:lang w:val="en" w:eastAsia="en-GB"/>
        </w:rPr>
        <w:t>The o</w:t>
      </w:r>
      <w:r w:rsidR="005826BB" w:rsidRPr="003F494F">
        <w:rPr>
          <w:rFonts w:eastAsia="Arial" w:cstheme="minorHAnsi"/>
          <w:sz w:val="22"/>
          <w:szCs w:val="22"/>
          <w:lang w:val="en" w:eastAsia="en-GB"/>
        </w:rPr>
        <w:t xml:space="preserve">ptimal blood pressure </w:t>
      </w:r>
      <w:proofErr w:type="gramStart"/>
      <w:r w:rsidR="005826BB" w:rsidRPr="003F494F">
        <w:rPr>
          <w:rFonts w:eastAsia="Arial" w:cstheme="minorHAnsi"/>
          <w:sz w:val="22"/>
          <w:szCs w:val="22"/>
          <w:lang w:val="en" w:eastAsia="en-GB"/>
        </w:rPr>
        <w:t xml:space="preserve">targets </w:t>
      </w:r>
      <w:r w:rsidR="0077347C">
        <w:rPr>
          <w:rFonts w:eastAsia="Arial" w:cstheme="minorHAnsi"/>
          <w:sz w:val="22"/>
          <w:szCs w:val="22"/>
          <w:lang w:val="en" w:eastAsia="en-GB"/>
        </w:rPr>
        <w:t>and</w:t>
      </w:r>
      <w:proofErr w:type="gramEnd"/>
      <w:r w:rsidR="0077347C">
        <w:rPr>
          <w:rFonts w:eastAsia="Arial" w:cstheme="minorHAnsi"/>
          <w:sz w:val="22"/>
          <w:szCs w:val="22"/>
          <w:lang w:val="en" w:eastAsia="en-GB"/>
        </w:rPr>
        <w:t xml:space="preserve"> </w:t>
      </w:r>
      <w:proofErr w:type="gramStart"/>
      <w:r w:rsidR="0077347C">
        <w:rPr>
          <w:rFonts w:eastAsia="Arial" w:cstheme="minorHAnsi"/>
          <w:sz w:val="22"/>
          <w:szCs w:val="22"/>
          <w:lang w:val="en" w:eastAsia="en-GB"/>
        </w:rPr>
        <w:t>long term</w:t>
      </w:r>
      <w:proofErr w:type="gramEnd"/>
      <w:r w:rsidR="0077347C">
        <w:rPr>
          <w:rFonts w:eastAsia="Arial" w:cstheme="minorHAnsi"/>
          <w:sz w:val="22"/>
          <w:szCs w:val="22"/>
          <w:lang w:val="en" w:eastAsia="en-GB"/>
        </w:rPr>
        <w:t xml:space="preserve"> cardiovascular risk </w:t>
      </w:r>
      <w:r w:rsidR="005826BB" w:rsidRPr="003F494F">
        <w:rPr>
          <w:rFonts w:eastAsia="Arial" w:cstheme="minorHAnsi"/>
          <w:sz w:val="22"/>
          <w:szCs w:val="22"/>
          <w:lang w:val="en" w:eastAsia="en-GB"/>
        </w:rPr>
        <w:t xml:space="preserve">for CYP with </w:t>
      </w:r>
      <w:r w:rsidRPr="003F494F">
        <w:rPr>
          <w:rFonts w:eastAsia="Arial" w:cstheme="minorHAnsi"/>
          <w:sz w:val="22"/>
          <w:szCs w:val="22"/>
          <w:lang w:val="en" w:eastAsia="en-GB"/>
        </w:rPr>
        <w:t>IM</w:t>
      </w:r>
      <w:r w:rsidR="0077347C">
        <w:rPr>
          <w:rFonts w:eastAsia="Arial" w:cstheme="minorHAnsi"/>
          <w:sz w:val="22"/>
          <w:szCs w:val="22"/>
          <w:lang w:val="en" w:eastAsia="en-GB"/>
        </w:rPr>
        <w:t>-</w:t>
      </w:r>
      <w:r w:rsidRPr="003F494F">
        <w:rPr>
          <w:rFonts w:eastAsia="Arial" w:cstheme="minorHAnsi"/>
          <w:sz w:val="22"/>
          <w:szCs w:val="22"/>
          <w:lang w:val="en" w:eastAsia="en-GB"/>
        </w:rPr>
        <w:t>GD</w:t>
      </w:r>
      <w:r w:rsidR="005826BB" w:rsidRPr="003F494F">
        <w:rPr>
          <w:rFonts w:eastAsia="Arial" w:cstheme="minorHAnsi"/>
          <w:sz w:val="22"/>
          <w:szCs w:val="22"/>
          <w:lang w:val="en" w:eastAsia="en-GB"/>
        </w:rPr>
        <w:t>.</w:t>
      </w:r>
    </w:p>
    <w:p w14:paraId="7E342D30" w14:textId="4AF94E0C" w:rsidR="00B50FCF" w:rsidRPr="003F494F" w:rsidRDefault="0077347C" w:rsidP="003F494F">
      <w:pPr>
        <w:pStyle w:val="ListParagraph"/>
        <w:numPr>
          <w:ilvl w:val="0"/>
          <w:numId w:val="38"/>
        </w:numPr>
        <w:spacing w:line="360" w:lineRule="auto"/>
        <w:rPr>
          <w:rFonts w:eastAsia="Times New Roman" w:cstheme="minorHAnsi"/>
          <w:sz w:val="22"/>
          <w:szCs w:val="22"/>
          <w:lang w:eastAsia="en-GB"/>
        </w:rPr>
      </w:pPr>
      <w:r>
        <w:rPr>
          <w:rFonts w:eastAsia="Arial" w:cstheme="minorHAnsi"/>
          <w:sz w:val="22"/>
          <w:szCs w:val="22"/>
          <w:lang w:val="en" w:eastAsia="en-GB"/>
        </w:rPr>
        <w:t>Improving a</w:t>
      </w:r>
      <w:r w:rsidR="001630D4" w:rsidRPr="003F494F">
        <w:rPr>
          <w:rFonts w:eastAsia="Arial" w:cstheme="minorHAnsi"/>
          <w:sz w:val="22"/>
          <w:szCs w:val="22"/>
          <w:lang w:val="en" w:eastAsia="en-GB"/>
        </w:rPr>
        <w:t>dherence</w:t>
      </w:r>
      <w:r w:rsidR="00B50FCF" w:rsidRPr="003F494F">
        <w:rPr>
          <w:rFonts w:eastAsia="Arial" w:cstheme="minorHAnsi"/>
          <w:sz w:val="22"/>
          <w:szCs w:val="22"/>
          <w:lang w:val="en" w:eastAsia="en-GB"/>
        </w:rPr>
        <w:t xml:space="preserve"> </w:t>
      </w:r>
      <w:proofErr w:type="gramStart"/>
      <w:r>
        <w:rPr>
          <w:rFonts w:eastAsia="Arial" w:cstheme="minorHAnsi"/>
          <w:sz w:val="22"/>
          <w:szCs w:val="22"/>
          <w:lang w:val="en" w:eastAsia="en-GB"/>
        </w:rPr>
        <w:t>through the use of</w:t>
      </w:r>
      <w:proofErr w:type="gramEnd"/>
      <w:r w:rsidR="00B50FCF" w:rsidRPr="003F494F">
        <w:rPr>
          <w:rFonts w:eastAsia="Arial" w:cstheme="minorHAnsi"/>
          <w:sz w:val="22"/>
          <w:szCs w:val="22"/>
          <w:lang w:val="en" w:eastAsia="en-GB"/>
        </w:rPr>
        <w:t xml:space="preserve"> long</w:t>
      </w:r>
      <w:r>
        <w:rPr>
          <w:rFonts w:eastAsia="Arial" w:cstheme="minorHAnsi"/>
          <w:sz w:val="22"/>
          <w:szCs w:val="22"/>
          <w:lang w:val="en" w:eastAsia="en-GB"/>
        </w:rPr>
        <w:t>er</w:t>
      </w:r>
      <w:r w:rsidR="00B50FCF" w:rsidRPr="003F494F">
        <w:rPr>
          <w:rFonts w:eastAsia="Arial" w:cstheme="minorHAnsi"/>
          <w:sz w:val="22"/>
          <w:szCs w:val="22"/>
          <w:lang w:val="en" w:eastAsia="en-GB"/>
        </w:rPr>
        <w:t xml:space="preserve"> acting immunosuppressive treatments for IM</w:t>
      </w:r>
      <w:r>
        <w:rPr>
          <w:rFonts w:eastAsia="Arial" w:cstheme="minorHAnsi"/>
          <w:sz w:val="22"/>
          <w:szCs w:val="22"/>
          <w:lang w:val="en" w:eastAsia="en-GB"/>
        </w:rPr>
        <w:t>-</w:t>
      </w:r>
      <w:r w:rsidR="00B50FCF" w:rsidRPr="003F494F">
        <w:rPr>
          <w:rFonts w:eastAsia="Arial" w:cstheme="minorHAnsi"/>
          <w:sz w:val="22"/>
          <w:szCs w:val="22"/>
          <w:lang w:val="en" w:eastAsia="en-GB"/>
        </w:rPr>
        <w:t xml:space="preserve">GD. </w:t>
      </w:r>
      <w:r w:rsidR="001630D4" w:rsidRPr="003F494F">
        <w:rPr>
          <w:rFonts w:eastAsia="Arial" w:cstheme="minorHAnsi"/>
          <w:sz w:val="22"/>
          <w:szCs w:val="22"/>
          <w:lang w:val="en" w:eastAsia="en-GB"/>
        </w:rPr>
        <w:t xml:space="preserve"> </w:t>
      </w:r>
    </w:p>
    <w:p w14:paraId="312C05A7" w14:textId="574EED20" w:rsidR="004256C8" w:rsidRPr="003F494F" w:rsidRDefault="00B50FCF" w:rsidP="003F494F">
      <w:pPr>
        <w:pStyle w:val="ListParagraph"/>
        <w:numPr>
          <w:ilvl w:val="0"/>
          <w:numId w:val="38"/>
        </w:numPr>
        <w:spacing w:line="360" w:lineRule="auto"/>
        <w:rPr>
          <w:rFonts w:eastAsia="Times New Roman" w:cstheme="minorHAnsi"/>
          <w:sz w:val="22"/>
          <w:szCs w:val="22"/>
          <w:lang w:eastAsia="en-GB"/>
        </w:rPr>
      </w:pPr>
      <w:r w:rsidRPr="003F494F">
        <w:rPr>
          <w:rFonts w:eastAsia="Arial" w:cstheme="minorHAnsi"/>
          <w:sz w:val="22"/>
          <w:szCs w:val="22"/>
          <w:lang w:val="en" w:eastAsia="en-GB"/>
        </w:rPr>
        <w:t>The role of t</w:t>
      </w:r>
      <w:r w:rsidR="001630D4" w:rsidRPr="003F494F">
        <w:rPr>
          <w:rFonts w:eastAsia="Arial" w:cstheme="minorHAnsi"/>
          <w:sz w:val="22"/>
          <w:szCs w:val="22"/>
          <w:lang w:val="en" w:eastAsia="en-GB"/>
        </w:rPr>
        <w:t xml:space="preserve">herapeutic drug monitoring </w:t>
      </w:r>
      <w:r w:rsidRPr="003F494F">
        <w:rPr>
          <w:rFonts w:eastAsia="Arial" w:cstheme="minorHAnsi"/>
          <w:sz w:val="22"/>
          <w:szCs w:val="22"/>
          <w:lang w:val="en" w:eastAsia="en-GB"/>
        </w:rPr>
        <w:t>targets and clinical response in CYP with IM</w:t>
      </w:r>
      <w:r w:rsidR="0077347C">
        <w:rPr>
          <w:rFonts w:eastAsia="Arial" w:cstheme="minorHAnsi"/>
          <w:sz w:val="22"/>
          <w:szCs w:val="22"/>
          <w:lang w:val="en" w:eastAsia="en-GB"/>
        </w:rPr>
        <w:t>-</w:t>
      </w:r>
      <w:r w:rsidRPr="003F494F">
        <w:rPr>
          <w:rFonts w:eastAsia="Arial" w:cstheme="minorHAnsi"/>
          <w:sz w:val="22"/>
          <w:szCs w:val="22"/>
          <w:lang w:val="en" w:eastAsia="en-GB"/>
        </w:rPr>
        <w:t>GD.</w:t>
      </w:r>
      <w:r w:rsidR="001630D4" w:rsidRPr="003F494F">
        <w:rPr>
          <w:rFonts w:eastAsia="Arial" w:cstheme="minorHAnsi"/>
          <w:sz w:val="22"/>
          <w:szCs w:val="22"/>
          <w:lang w:val="en" w:eastAsia="en-GB"/>
        </w:rPr>
        <w:t xml:space="preserve"> </w:t>
      </w:r>
    </w:p>
    <w:p w14:paraId="5C236BBA" w14:textId="1E0CAF53" w:rsidR="004256C8" w:rsidRPr="003F494F" w:rsidRDefault="00B50FCF" w:rsidP="003F494F">
      <w:pPr>
        <w:pStyle w:val="ListParagraph"/>
        <w:numPr>
          <w:ilvl w:val="0"/>
          <w:numId w:val="38"/>
        </w:numPr>
        <w:spacing w:line="360" w:lineRule="auto"/>
        <w:rPr>
          <w:rFonts w:eastAsia="Times New Roman" w:cstheme="minorHAnsi"/>
          <w:sz w:val="22"/>
          <w:szCs w:val="22"/>
          <w:lang w:eastAsia="en-GB"/>
        </w:rPr>
      </w:pPr>
      <w:r w:rsidRPr="003F494F">
        <w:rPr>
          <w:rFonts w:eastAsia="Arial" w:cstheme="minorHAnsi"/>
          <w:sz w:val="22"/>
          <w:szCs w:val="22"/>
          <w:lang w:val="en" w:eastAsia="en-GB"/>
        </w:rPr>
        <w:t xml:space="preserve">The risk-stratification of patients with IMGD based on </w:t>
      </w:r>
      <w:r w:rsidR="001630D4" w:rsidRPr="003F494F">
        <w:rPr>
          <w:rFonts w:eastAsia="Arial" w:cstheme="minorHAnsi"/>
          <w:sz w:val="22"/>
          <w:szCs w:val="22"/>
          <w:lang w:val="en" w:eastAsia="en-GB"/>
        </w:rPr>
        <w:t xml:space="preserve">individual patient </w:t>
      </w:r>
      <w:r w:rsidRPr="003F494F">
        <w:rPr>
          <w:rFonts w:eastAsia="Arial" w:cstheme="minorHAnsi"/>
          <w:sz w:val="22"/>
          <w:szCs w:val="22"/>
          <w:lang w:val="en" w:eastAsia="en-GB"/>
        </w:rPr>
        <w:t>baseline characteristics</w:t>
      </w:r>
      <w:r w:rsidR="00291AC3">
        <w:rPr>
          <w:rFonts w:eastAsia="Arial" w:cstheme="minorHAnsi"/>
          <w:sz w:val="22"/>
          <w:szCs w:val="22"/>
          <w:lang w:val="en" w:eastAsia="en-GB"/>
        </w:rPr>
        <w:t xml:space="preserve"> (including ethnicity, genotype risk)</w:t>
      </w:r>
      <w:r w:rsidRPr="003F494F">
        <w:rPr>
          <w:rFonts w:eastAsia="Arial" w:cstheme="minorHAnsi"/>
          <w:sz w:val="22"/>
          <w:szCs w:val="22"/>
          <w:lang w:val="en" w:eastAsia="en-GB"/>
        </w:rPr>
        <w:t>, features of</w:t>
      </w:r>
      <w:r w:rsidR="0077347C">
        <w:rPr>
          <w:rFonts w:eastAsia="Arial" w:cstheme="minorHAnsi"/>
          <w:sz w:val="22"/>
          <w:szCs w:val="22"/>
          <w:lang w:val="en" w:eastAsia="en-GB"/>
        </w:rPr>
        <w:t xml:space="preserve"> early</w:t>
      </w:r>
      <w:r w:rsidRPr="003F494F">
        <w:rPr>
          <w:rFonts w:eastAsia="Arial" w:cstheme="minorHAnsi"/>
          <w:sz w:val="22"/>
          <w:szCs w:val="22"/>
          <w:lang w:val="en" w:eastAsia="en-GB"/>
        </w:rPr>
        <w:t xml:space="preserve"> nephritis, </w:t>
      </w:r>
      <w:r w:rsidR="001630D4" w:rsidRPr="003F494F">
        <w:rPr>
          <w:rFonts w:eastAsia="Arial" w:cstheme="minorHAnsi"/>
          <w:sz w:val="22"/>
          <w:szCs w:val="22"/>
          <w:lang w:val="en" w:eastAsia="en-GB"/>
        </w:rPr>
        <w:t xml:space="preserve">response to </w:t>
      </w:r>
      <w:r w:rsidRPr="003F494F">
        <w:rPr>
          <w:rFonts w:eastAsia="Arial" w:cstheme="minorHAnsi"/>
          <w:sz w:val="22"/>
          <w:szCs w:val="22"/>
          <w:lang w:val="en" w:eastAsia="en-GB"/>
        </w:rPr>
        <w:t xml:space="preserve">immunosuppressive </w:t>
      </w:r>
      <w:r w:rsidR="001630D4" w:rsidRPr="003F494F">
        <w:rPr>
          <w:rFonts w:eastAsia="Arial" w:cstheme="minorHAnsi"/>
          <w:sz w:val="22"/>
          <w:szCs w:val="22"/>
          <w:lang w:val="en" w:eastAsia="en-GB"/>
        </w:rPr>
        <w:t>treatment</w:t>
      </w:r>
      <w:r w:rsidRPr="003F494F">
        <w:rPr>
          <w:rFonts w:eastAsia="Arial" w:cstheme="minorHAnsi"/>
          <w:sz w:val="22"/>
          <w:szCs w:val="22"/>
          <w:lang w:val="en" w:eastAsia="en-GB"/>
        </w:rPr>
        <w:t xml:space="preserve"> and novel biomarker discovery. </w:t>
      </w:r>
      <w:bookmarkEnd w:id="17"/>
    </w:p>
    <w:p w14:paraId="7B04EC24" w14:textId="77777777" w:rsidR="004256C8" w:rsidRDefault="004256C8" w:rsidP="003F494F">
      <w:pPr>
        <w:spacing w:after="160" w:line="360" w:lineRule="auto"/>
        <w:jc w:val="both"/>
        <w:rPr>
          <w:rFonts w:cstheme="minorHAnsi"/>
          <w:b/>
          <w:sz w:val="22"/>
          <w:szCs w:val="22"/>
          <w:highlight w:val="yellow"/>
        </w:rPr>
      </w:pPr>
    </w:p>
    <w:p w14:paraId="7A4C3CE9" w14:textId="025943DA" w:rsidR="00D97459" w:rsidRDefault="00D97459" w:rsidP="00D97459">
      <w:pPr>
        <w:spacing w:after="160" w:line="360" w:lineRule="auto"/>
        <w:jc w:val="both"/>
        <w:rPr>
          <w:rFonts w:cstheme="minorHAnsi"/>
          <w:b/>
          <w:sz w:val="22"/>
          <w:szCs w:val="22"/>
        </w:rPr>
      </w:pPr>
      <w:r w:rsidRPr="00D97459">
        <w:rPr>
          <w:rFonts w:cstheme="minorHAnsi"/>
          <w:b/>
          <w:sz w:val="22"/>
          <w:szCs w:val="22"/>
        </w:rPr>
        <w:t xml:space="preserve">Scientific </w:t>
      </w:r>
      <w:r>
        <w:rPr>
          <w:rFonts w:cstheme="minorHAnsi"/>
          <w:b/>
          <w:sz w:val="22"/>
          <w:szCs w:val="22"/>
        </w:rPr>
        <w:t>p</w:t>
      </w:r>
      <w:r w:rsidRPr="00D97459">
        <w:rPr>
          <w:rFonts w:cstheme="minorHAnsi"/>
          <w:b/>
          <w:sz w:val="22"/>
          <w:szCs w:val="22"/>
        </w:rPr>
        <w:t xml:space="preserve">riorities for </w:t>
      </w:r>
      <w:r>
        <w:rPr>
          <w:rFonts w:cstheme="minorHAnsi"/>
          <w:b/>
          <w:sz w:val="22"/>
          <w:szCs w:val="22"/>
        </w:rPr>
        <w:t>t</w:t>
      </w:r>
      <w:r w:rsidRPr="00D97459">
        <w:rPr>
          <w:rFonts w:cstheme="minorHAnsi"/>
          <w:b/>
          <w:sz w:val="22"/>
          <w:szCs w:val="22"/>
        </w:rPr>
        <w:t xml:space="preserve">ranslational </w:t>
      </w:r>
      <w:r>
        <w:rPr>
          <w:rFonts w:cstheme="minorHAnsi"/>
          <w:b/>
          <w:sz w:val="22"/>
          <w:szCs w:val="22"/>
        </w:rPr>
        <w:t>r</w:t>
      </w:r>
      <w:r w:rsidRPr="00D97459">
        <w:rPr>
          <w:rFonts w:cstheme="minorHAnsi"/>
          <w:b/>
          <w:sz w:val="22"/>
          <w:szCs w:val="22"/>
        </w:rPr>
        <w:t xml:space="preserve">esearch in </w:t>
      </w:r>
      <w:r>
        <w:rPr>
          <w:rFonts w:cstheme="minorHAnsi"/>
          <w:b/>
          <w:sz w:val="22"/>
          <w:szCs w:val="22"/>
        </w:rPr>
        <w:t xml:space="preserve">childhood </w:t>
      </w:r>
      <w:r w:rsidRPr="00D97459">
        <w:rPr>
          <w:rFonts w:cstheme="minorHAnsi"/>
          <w:b/>
          <w:sz w:val="22"/>
          <w:szCs w:val="22"/>
        </w:rPr>
        <w:t>IM</w:t>
      </w:r>
      <w:r w:rsidR="00865538">
        <w:rPr>
          <w:rFonts w:cstheme="minorHAnsi"/>
          <w:b/>
          <w:sz w:val="22"/>
          <w:szCs w:val="22"/>
        </w:rPr>
        <w:t>-</w:t>
      </w:r>
      <w:r w:rsidRPr="00D97459">
        <w:rPr>
          <w:rFonts w:cstheme="minorHAnsi"/>
          <w:b/>
          <w:sz w:val="22"/>
          <w:szCs w:val="22"/>
        </w:rPr>
        <w:t>GD</w:t>
      </w:r>
    </w:p>
    <w:p w14:paraId="59C9B9D8" w14:textId="49506D7F" w:rsidR="00D97459" w:rsidRPr="00DE0FF7" w:rsidRDefault="00D97459" w:rsidP="00D97459">
      <w:pPr>
        <w:spacing w:after="160" w:line="360" w:lineRule="auto"/>
        <w:jc w:val="both"/>
        <w:rPr>
          <w:rFonts w:cstheme="minorHAnsi"/>
          <w:bCs/>
          <w:sz w:val="22"/>
          <w:szCs w:val="22"/>
        </w:rPr>
      </w:pPr>
      <w:r w:rsidRPr="00BC77C0">
        <w:rPr>
          <w:rFonts w:cstheme="minorHAnsi"/>
          <w:bCs/>
          <w:sz w:val="22"/>
          <w:szCs w:val="22"/>
        </w:rPr>
        <w:t>This guideline also presents an opportunity to highlight areas where further scientific research is critically needed. Understanding the immunopathology of IM</w:t>
      </w:r>
      <w:r w:rsidR="00865538">
        <w:rPr>
          <w:rFonts w:cstheme="minorHAnsi"/>
          <w:bCs/>
          <w:sz w:val="22"/>
          <w:szCs w:val="22"/>
        </w:rPr>
        <w:t>-</w:t>
      </w:r>
      <w:r w:rsidRPr="00BC77C0">
        <w:rPr>
          <w:rFonts w:cstheme="minorHAnsi"/>
          <w:bCs/>
          <w:sz w:val="22"/>
          <w:szCs w:val="22"/>
        </w:rPr>
        <w:t xml:space="preserve">GD and developing predictive tools for treatment response will improve outcomes and enable precision therapy. These efforts will require collaboration across </w:t>
      </w:r>
      <w:r>
        <w:rPr>
          <w:rFonts w:cstheme="minorHAnsi"/>
          <w:bCs/>
          <w:sz w:val="22"/>
          <w:szCs w:val="22"/>
        </w:rPr>
        <w:t>disciplin</w:t>
      </w:r>
      <w:r w:rsidR="00865538">
        <w:rPr>
          <w:rFonts w:cstheme="minorHAnsi"/>
          <w:bCs/>
          <w:sz w:val="22"/>
          <w:szCs w:val="22"/>
        </w:rPr>
        <w:t>es</w:t>
      </w:r>
      <w:r>
        <w:rPr>
          <w:rFonts w:cstheme="minorHAnsi"/>
          <w:bCs/>
          <w:sz w:val="22"/>
          <w:szCs w:val="22"/>
        </w:rPr>
        <w:t xml:space="preserve"> including </w:t>
      </w:r>
      <w:r w:rsidRPr="00BC77C0">
        <w:rPr>
          <w:rFonts w:cstheme="minorHAnsi"/>
          <w:bCs/>
          <w:sz w:val="22"/>
          <w:szCs w:val="22"/>
        </w:rPr>
        <w:t>nephrology, immunology,</w:t>
      </w:r>
      <w:r>
        <w:rPr>
          <w:rFonts w:cstheme="minorHAnsi"/>
          <w:bCs/>
          <w:sz w:val="22"/>
          <w:szCs w:val="22"/>
        </w:rPr>
        <w:t xml:space="preserve"> </w:t>
      </w:r>
      <w:r w:rsidR="00865538">
        <w:rPr>
          <w:rFonts w:cstheme="minorHAnsi"/>
          <w:bCs/>
          <w:sz w:val="22"/>
          <w:szCs w:val="22"/>
        </w:rPr>
        <w:t>multi-o</w:t>
      </w:r>
      <w:r w:rsidRPr="00BC77C0">
        <w:rPr>
          <w:rFonts w:cstheme="minorHAnsi"/>
          <w:bCs/>
          <w:sz w:val="22"/>
          <w:szCs w:val="22"/>
        </w:rPr>
        <w:t>mics</w:t>
      </w:r>
      <w:r>
        <w:rPr>
          <w:rFonts w:cstheme="minorHAnsi"/>
          <w:bCs/>
          <w:sz w:val="22"/>
          <w:szCs w:val="22"/>
        </w:rPr>
        <w:t xml:space="preserve"> </w:t>
      </w:r>
      <w:r w:rsidRPr="00BC77C0">
        <w:rPr>
          <w:rFonts w:cstheme="minorHAnsi"/>
          <w:bCs/>
          <w:sz w:val="22"/>
          <w:szCs w:val="22"/>
        </w:rPr>
        <w:t>and data science. We identify the following scientific priorities</w:t>
      </w:r>
      <w:r>
        <w:rPr>
          <w:rFonts w:cstheme="minorHAnsi"/>
          <w:bCs/>
          <w:sz w:val="22"/>
          <w:szCs w:val="22"/>
        </w:rPr>
        <w:t xml:space="preserve"> and cite</w:t>
      </w:r>
      <w:r w:rsidRPr="00BC77C0">
        <w:rPr>
          <w:rFonts w:cstheme="minorHAnsi"/>
          <w:bCs/>
          <w:sz w:val="22"/>
          <w:szCs w:val="22"/>
        </w:rPr>
        <w:t xml:space="preserve"> recent advances aligned with these goals:</w:t>
      </w:r>
    </w:p>
    <w:p w14:paraId="2AEB6F68" w14:textId="4415BE34" w:rsidR="00D97459" w:rsidRPr="00F359E1" w:rsidRDefault="00D97459" w:rsidP="00D97459">
      <w:pPr>
        <w:spacing w:after="160" w:line="360" w:lineRule="auto"/>
        <w:ind w:left="720"/>
        <w:jc w:val="both"/>
        <w:rPr>
          <w:rFonts w:cstheme="minorHAnsi"/>
          <w:bCs/>
          <w:sz w:val="22"/>
          <w:szCs w:val="22"/>
        </w:rPr>
      </w:pPr>
      <w:r w:rsidRPr="00DE0FF7">
        <w:rPr>
          <w:rFonts w:cstheme="minorHAnsi"/>
          <w:b/>
          <w:sz w:val="22"/>
          <w:szCs w:val="22"/>
        </w:rPr>
        <w:t xml:space="preserve">Genetic </w:t>
      </w:r>
      <w:r>
        <w:rPr>
          <w:rFonts w:cstheme="minorHAnsi"/>
          <w:b/>
          <w:sz w:val="22"/>
          <w:szCs w:val="22"/>
        </w:rPr>
        <w:t>s</w:t>
      </w:r>
      <w:r w:rsidRPr="00DE0FF7">
        <w:rPr>
          <w:rFonts w:cstheme="minorHAnsi"/>
          <w:b/>
          <w:sz w:val="22"/>
          <w:szCs w:val="22"/>
        </w:rPr>
        <w:t xml:space="preserve">usceptibility: </w:t>
      </w:r>
      <w:r w:rsidRPr="00DE0FF7">
        <w:rPr>
          <w:rFonts w:cstheme="minorHAnsi"/>
          <w:bCs/>
          <w:sz w:val="22"/>
          <w:szCs w:val="22"/>
        </w:rPr>
        <w:t>HLA and non-HLA variants contribute to disease risk in IM</w:t>
      </w:r>
      <w:r w:rsidR="00865538">
        <w:rPr>
          <w:rFonts w:cstheme="minorHAnsi"/>
          <w:bCs/>
          <w:sz w:val="22"/>
          <w:szCs w:val="22"/>
        </w:rPr>
        <w:t>-</w:t>
      </w:r>
      <w:r w:rsidRPr="00DE0FF7">
        <w:rPr>
          <w:rFonts w:cstheme="minorHAnsi"/>
          <w:bCs/>
          <w:sz w:val="22"/>
          <w:szCs w:val="22"/>
        </w:rPr>
        <w:t>G</w:t>
      </w:r>
      <w:r>
        <w:rPr>
          <w:rFonts w:cstheme="minorHAnsi"/>
          <w:bCs/>
          <w:sz w:val="22"/>
          <w:szCs w:val="22"/>
        </w:rPr>
        <w:t>D</w:t>
      </w:r>
      <w:r w:rsidR="007A7806">
        <w:rPr>
          <w:rFonts w:cstheme="minorHAnsi"/>
          <w:bCs/>
          <w:sz w:val="22"/>
          <w:szCs w:val="22"/>
        </w:rPr>
        <w:t xml:space="preserve"> </w:t>
      </w:r>
      <w:r w:rsidR="007A7806">
        <w:rPr>
          <w:rFonts w:cstheme="minorHAnsi"/>
          <w:bCs/>
          <w:sz w:val="22"/>
          <w:szCs w:val="22"/>
        </w:rPr>
        <w:fldChar w:fldCharType="begin"/>
      </w:r>
      <w:r w:rsidR="00642970">
        <w:rPr>
          <w:rFonts w:cstheme="minorHAnsi"/>
          <w:bCs/>
          <w:sz w:val="22"/>
          <w:szCs w:val="22"/>
        </w:rPr>
        <w:instrText xml:space="preserve"> ADDIN ZOTERO_ITEM CSL_CITATION {"citationID":"QlR90Sbg","properties":{"formattedCitation":"(153\\uc0\\u8211{}155)","plainCitation":"(153–155)","noteIndex":0},"citationItems":[{"id":570,"uris":["http://zotero.org/users/local/lvPLY4Gu/items/G3MKERXF"],"itemData":{"id":570,"type":"article-journal","abstract":"RATIONALE &amp; OBJECTIVE: Focal segmental glomerulosclerosis (FSGS) is a major cause of pediatric nephrotic syndrome, and African Americans exhibit an increased risk for developing FSGS compared with other populations. Predisposing genetic factors have previously been described in adults. Here we performed genomic screening of primary FSGS in a pediatric African American population.\nSTUDY DESIGN: Prospective cohort with case-control genetic association study design.\nSETTING &amp; PARTICIPANTS: 140 African American children with chronic kidney disease from the Chronic Kidney Disease in Children (CKiD) cohort, including 32 cases with FSGS.\nPREDICTORS: Over 680,000 common single-nucleotide polymorphisms (SNPs) were tested for association. We also ran a pathway enrichment analysis and a human leucocyte antigen (HLA)-focused association study.\nOUTCOME: Primary biopsy-proven pediatric FSGS.\nANALYTICAL APPROACH: Multivariate logistic regression models.\nRESULTS: The genome-wide association study revealed 169 SNPs from 14 independent loci significantly associated with FSGS (false discovery rate [FDR]&lt;5%). We observed notable signals for genetic variants within the APOL1 (P=8.6×10-7; OR, 25.8 [95% CI, 7.1-94.0]), ALMS1 (P=1.3×10-7; 13.0% in FSGS cases vs 0% in controls), and FGFR4 (P=4.3×10-6; OR, 24.8 [95% CI, 6.3-97.7]) genes, all of which had previously been associated with adult FSGS, kidney function, or chronic kidney disease. We also highlighted novel, functionally relevant genes, including GRB2 (which encodes a slit diaphragm protein promoting podocyte structure through actin polymerization) and ITGB1 (which is linked to renal injuries). Our results suggest a major role for immune responses and antigen presentation in pediatric FSGS through (1) associations with SNPs in PTPRJ (or CD148, P=3.5×10-7), which plays a role in T-cell receptor signaling, (2) HLA-DRB1</w:instrText>
      </w:r>
      <w:r w:rsidR="00642970">
        <w:rPr>
          <w:rFonts w:ascii="Cambria Math" w:hAnsi="Cambria Math" w:cs="Cambria Math"/>
          <w:bCs/>
          <w:sz w:val="22"/>
          <w:szCs w:val="22"/>
        </w:rPr>
        <w:instrText>∗</w:instrText>
      </w:r>
      <w:r w:rsidR="00642970">
        <w:rPr>
          <w:rFonts w:cstheme="minorHAnsi"/>
          <w:bCs/>
          <w:sz w:val="22"/>
          <w:szCs w:val="22"/>
        </w:rPr>
        <w:instrText xml:space="preserve">11:01 association (P=6.1×10-3; OR, 4.5 [95% CI, 1.5-13.0]), and (3) signaling pathway enrichment (P=1.3×10-6).\nLIMITATIONS: Sample size and no independent replication cohort with genomic data readily available.\nCONCLUSIONS: Our genetic study has identified functionally relevant risk factors and the importance of immune regulation for pediatric primary FSGS, which contributes to a better description of its molecular pathophysiological mechanisms.\nPLAIN-LANGUAGE SUMMARY: We assessed the genetic risk factors for primary focal segmental glomerulosclerosis (FSGS) by simultaneously testing over 680,000 genetic markers spread across the genome in 140 children, including 32 with FSGS lesions. Fourteen independent genetic regions were significantly associated with pediatric FSGS, including APOL1 and ALMS1-NAT8, which were previously found to be associated with FSGS and chronic kidney diseases in adults. Novel genes with relevant biological functions were also highlighted, such as GRB2 and FGFR4, which play a role in the kidney filtration barrier and in kidney cell differentiation, respectively. Finally, we revealed the importance of immune regulation in pediatric FSGS through associations involving cell surface proteins presenting antigens to the immune system and interacting with T-cell receptors.","container-title":"American Journal of Kidney Diseases: The Official Journal of the National Kidney Foundation","DOI":"10.1053/j.ajkd.2022.11.003","ISSN":"1523-6838","issue":"6","journalAbbreviation":"Am J Kidney Dis","language":"eng","note":"PMID: 36623684","page":"635-646.e1","source":"PubMed","title":"Identification of Novel Genetic Risk Factors for Focal Segmental Glomerulosclerosis in Children: Results From the Chronic Kidney Disease in Children (CKiD) Cohort","title-short":"Identification of Novel Genetic Risk Factors for Focal Segmental Glomerulosclerosis in Children","volume":"81","author":[{"family":"Durand","given":"Axelle"},{"family":"Winkler","given":"Cheryl A."},{"family":"Vince","given":"Nicolas"},{"family":"Douillard","given":"Venceslas"},{"family":"Geffard","given":"Estelle"},{"family":"Binns-Roemer","given":"Elizabeth"},{"family":"Ng","given":"Derek K."},{"family":"Gourraud","given":"Pierre-Antoine"},{"family":"Reidy","given":"Kimberley"},{"family":"Warady","given":"Bradley"},{"family":"Furth","given":"Susan"},{"family":"Kopp","given":"Jeffrey B."},{"family":"Kaskel","given":"Frederick J."},{"family":"Limou","given":"Sophie"}],"issued":{"date-parts":[["2023",6]]}}},{"id":572,"uris":["http://zotero.org/users/local/lvPLY4Gu/items/GFSRAR2T"],"itemData":{"id":572,"type":"article-journal","abstract":"Pediatric steroid-sensitive nephrotic syndrome (pSSNS) is the most common childhood glomerular disease. Previous genome-wide association studies (GWAS) identified a risk locus in the HLA Class II region and three additional independent risk loci. But the genetic architecture of pSSNS, and its genetically driven pathobiology, is largely unknown. Here, we conduct a multi-population GWAS meta-analysis in 38,463 participants (2440 cases). We then conduct conditional analyses and population specific GWAS. We discover twelve significant associations-eight from the multi-population meta-analysis (four novel), two from the multi-population conditional analysis (one novel), and two additional novel loci from the European meta-analysis. Fine-mapping implicates specific amino acid haplotypes in HLA-DQA1 and HLA-DQB1 driving the HLA Class II risk locus. Non-HLA loci colocalize with eQTLs of monocytes and numerous T-cell subsets in independent datasets. Colocalization with kidney eQTLs is lacking but overlap with kidney cell open chromatin suggests an uncharacterized disease mechanism in kidney cells. A polygenic risk score (PRS) associates with earlier disease onset. Altogether, these discoveries expand our knowledge of pSSNS genetic architecture across populations and provide cell-specific insights into its molecular drivers. Evaluating these associations in additional cohorts will refine our understanding of population specificity, heterogeneity, and clinical and molecular associations.","container-title":"Nature Communications","DOI":"10.1038/s41467-023-37985-w","ISSN":"2041-1723","issue":"1","journalAbbreviation":"Nat Commun","language":"eng","note":"PMID: 37120605\nPMCID: PMC10148875","page":"2481","source":"PubMed","title":"Multi-population genome-wide association study implicates immune and non-immune factors in pediatric steroid-sensitive nephrotic syndrome","volume":"14","author":[{"family":"Barry","given":"Alexandra"},{"family":"McNulty","given":"Michelle T."},{"family":"Jia","given":"Xiaoyuan"},{"family":"Gupta","given":"Yask"},{"family":"Debiec","given":"Hanna"},{"family":"Luo","given":"Yang"},{"family":"Nagano","given":"China"},{"family":"Horinouchi","given":"Tomoko"},{"family":"Jung","given":"Seulgi"},{"family":"Colucci","given":"Manuela"},{"family":"Ahram","given":"Dina F."},{"family":"Mitrotti","given":"Adele"},{"family":"Sinha","given":"Aditi"},{"family":"Teeninga","given":"Nynke"},{"family":"Jin","given":"Gina"},{"family":"Shril","given":"Shirlee"},{"family":"Caridi","given":"Gianluca"},{"family":"Bodria","given":"Monica"},{"family":"Lim","given":"Tze Y."},{"family":"Westland","given":"Rik"},{"family":"Zanoni","given":"Francesca"},{"family":"Marasa","given":"Maddalena"},{"family":"Turudic","given":"Daniel"},{"family":"Giordano","given":"Mario"},{"family":"Gesualdo","given":"Loreto"},{"family":"Magistroni","given":"Riccardo"},{"family":"Pisani","given":"Isabella"},{"family":"Fiaccadori","given":"Enrico"},{"family":"Reiterova","given":"Jana"},{"family":"Maringhini","given":"Silvio"},{"family":"Morello","given":"William"},{"family":"Montini","given":"Giovanni"},{"family":"Weng","given":"Patricia L."},{"family":"Scolari","given":"Francesco"},{"family":"Saraga","given":"Marijan"},{"family":"Tasic","given":"Velibor"},{"family":"Santoro","given":"Domenica"},{"family":"Wijk","given":"Joanna A. E.","non-dropping-particle":"van"},{"family":"Milošević","given":"Danko"},{"family":"Kawai","given":"Yosuke"},{"family":"Kiryluk","given":"Krzysztof"},{"family":"Pollak","given":"Martin R."},{"family":"Gharavi","given":"Ali"},{"family":"Lin","given":"Fangmin"},{"family":"Simœs E Silva","given":"Ana Cristina"},{"family":"Loos","given":"Ruth J. F."},{"family":"Kenny","given":"Eimear E."},{"family":"Schreuder","given":"Michiel F."},{"family":"Zurowska","given":"Aleksandra"},{"family":"Dossier","given":"Claire"},{"family":"Ariceta","given":"Gema"},{"family":"Drozynska-Duklas","given":"Magdalena"},{"family":"Hogan","given":"Julien"},{"family":"Jankauskiene","given":"Augustina"},{"family":"Hildebrandt","given":"Friedhelm"},{"family":"Prikhodina","given":"Larisa"},{"family":"Song","given":"Kyuyoung"},{"family":"Bagga","given":"Arvind"},{"family":"Cheong","given":"Hae"},{"family":"Ghiggeri","given":"Gian Marco"},{"family":"Vachvanichsanong","given":"Prayong"},{"family":"Nozu","given":"Kandai"},{"family":"Lee","given":"Dongwon"},{"family":"Vivarelli","given":"Marina"},{"family":"Raychaudhuri","given":"Soumya"},{"family":"Tokunaga","given":"Katsushi"},{"family":"Sanna-Cherchi","given":"Simone"},{"family":"Ronco","given":"Pierre"},{"family":"Iijima","given":"Kazumoto"},{"family":"Sampson","given":"Matthew G."}],"issued":{"date-parts":[["2023",4,29]]}}},{"id":575,"uris":["http://zotero.org/users/local/lvPLY4Gu/items/Z8G9WFKA"],"itemData":{"id":575,"type":"article-journal","abstract":"IgA nephropathy (IgAN) is a progressive form of kidney disease defined by glomerular deposition of IgA. Here we performed a genome-wide association study of 10,146 kidney-biopsy-diagnosed IgAN cases and 28,751 controls across 17 international cohorts. We defined 30 genome-wide significant risk loci explaining 11% of disease risk. A total of 16 loci were new, including TNFSF4/TNFSF18, REL, CD28, PF4V1, LY86, LYN, ANXA3, TNFSF8/TNFSF15, REEP3, ZMIZ1, OVOL1/RELA, ETS1, IGH, IRF8, TNFRSF13B and FCAR. The risk loci were enriched in gene orthologs causing abnormal IgA levels when genetically manipulated in mice. We also observed a positive genetic correlation between IgAN and serum IgA levels. High polygenic score for IgAN was associated with earlier onset of kidney failure. In a comprehensive functional annotation analysis of candidate causal genes, we observed convergence of biological candidates on a common set of inflammatory signaling pathways and cytokine ligand-receptor pairs, prioritizing potential new drug targets.","container-title":"Nature Genetics","DOI":"10.1038/s41588-023-01422-x","ISSN":"1546-1718","issue":"7","journalAbbreviation":"Nat Genet","language":"eng","note":"PMID: 37337107\nPMCID: PMC11824687","page":"1091-1105","source":"PubMed","title":"Genome-wide association analyses define pathogenic signaling pathways and prioritize drug targets for IgA nephropathy","volume":"55","author":[{"family":"Kiryluk","given":"Krzysztof"},{"family":"Sanchez-Rodriguez","given":"Elena"},{"family":"Zhou","given":"Xu-Jie"},{"family":"Zanoni","given":"Francesca"},{"family":"Liu","given":"Lili"},{"family":"Mladkova","given":"Nikol"},{"family":"Khan","given":"Atlas"},{"family":"Marasa","given":"Maddalena"},{"family":"Zhang","given":"Jun Y."},{"family":"Balderes","given":"Olivia"},{"family":"Sanna-Cherchi","given":"Simone"},{"family":"Bomback","given":"Andrew S."},{"family":"Canetta","given":"Pietro A."},{"family":"Appel","given":"Gerald B."},{"family":"Radhakrishnan","given":"Jai"},{"family":"Trimarchi","given":"Hernan"},{"family":"Sprangers","given":"Ben"},{"family":"Cattran","given":"Daniel C."},{"family":"Reich","given":"Heather"},{"family":"Pei","given":"York"},{"family":"Ravani","given":"Pietro"},{"family":"Galesic","given":"Kresimir"},{"family":"Maixnerova","given":"Dita"},{"family":"Tesar","given":"Vladimir"},{"family":"Stengel","given":"Benedicte"},{"family":"Metzger","given":"Marie"},{"family":"Canaud","given":"Guillaume"},{"family":"Maillard","given":"Nicolas"},{"family":"Berthoux","given":"Francois"},{"family":"Berthelot","given":"Laureline"},{"family":"Pillebout","given":"Evangeline"},{"family":"Monteiro","given":"Renato"},{"family":"Nelson","given":"Raoul"},{"family":"Wyatt","given":"Robert J."},{"family":"Smoyer","given":"William"},{"family":"Mahan","given":"John"},{"family":"Samhar","given":"Al-Akash"},{"family":"Hidalgo","given":"Guillermo"},{"family":"Quiroga","given":"Alejandro"},{"family":"Weng","given":"Patricia"},{"family":"Sreedharan","given":"Raji"},{"family":"Selewski","given":"David"},{"family":"Davis","given":"Keefe"},{"family":"Kallash","given":"Mahmoud"},{"family":"Vasylyeva","given":"Tetyana L."},{"family":"Rheault","given":"Michelle"},{"family":"Chishti","given":"Aftab"},{"family":"Ranch","given":"Daniel"},{"family":"Wenderfer","given":"Scott E."},{"family":"Samsonov","given":"Dmitry"},{"family":"Claes","given":"Donna J."},{"family":"Akchurin","given":"Oleh"},{"family":"Goumenos","given":"Dimitrios"},{"family":"Stangou","given":"Maria"},{"family":"Nagy","given":"Judit"},{"family":"Kovacs","given":"Tibor"},{"family":"Fiaccadori","given":"Enrico"},{"family":"Amoroso","given":"Antonio"},{"family":"Barlassina","given":"Cristina"},{"family":"Cusi","given":"Daniele"},{"family":"Del Vecchio","given":"Lucia"},{"family":"Battaglia","given":"Giovanni Giorgio"},{"family":"Bodria","given":"Monica"},{"family":"Boer","given":"Emanuela"},{"family":"Bono","given":"Luisa"},{"family":"Boscutti","given":"Giuliano"},{"family":"Caridi","given":"Gianluca"},{"family":"Lugani","given":"Francesca"},{"family":"Ghiggeri","given":"GianMarco"},{"family":"Coppo","given":"Rosanna"},{"family":"Peruzzi","given":"Licia"},{"family":"Esposito","given":"Vittoria"},{"family":"Esposito","given":"Ciro"},{"family":"Feriozzi","given":"Sandro"},{"family":"Polci","given":"Rosaria"},{"family":"Frasca","given":"Giovanni"},{"family":"Galliani","given":"Marco"},{"family":"Garozzo","given":"Maurizio"},{"family":"Mitrotti","given":"Adele"},{"family":"Gesualdo","given":"Loreto"},{"family":"Granata","given":"Simona"},{"family":"Zaza","given":"Gianluigi"},{"family":"Londrino","given":"Francesco"},{"family":"Magistroni","given":"Riccardo"},{"family":"Pisani","given":"Isabella"},{"family":"Magnano","given":"Andrea"},{"family":"Marcantoni","given":"Carmelita"},{"family":"Messa","given":"Piergiorgio"},{"family":"Mignani","given":"Renzo"},{"family":"Pani","given":"Antonello"},{"family":"Ponticelli","given":"Claudio"},{"family":"Roccatello","given":"Dario"},{"family":"Salvadori","given":"Maurizio"},{"family":"Salvi","given":"Erica"},{"family":"Santoro","given":"Domenico"},{"family":"Gembillo","given":"Guido"},{"family":"Savoldi","given":"Silvana"},{"family":"Spotti","given":"Donatella"},{"family":"Zamboli","given":"Pasquale"},{"family":"Izzi","given":"Claudia"},{"family":"Alberici","given":"Federico"},{"family":"Delbarba","given":"Elisa"},{"family":"Florczak","given":"Michał"},{"family":"Krata","given":"Natalia"},{"family":"Mucha","given":"Krzysztof"},{"family":"Pączek","given":"Leszek"},{"family":"Niemczyk","given":"Stanisław"},{"family":"Moszczuk","given":"Barbara"},{"family":"Pańczyk-Tomaszewska","given":"Malgorzata"},{"family":"Mizerska-Wasiak","given":"Malgorzata"},{"family":"Perkowska-Ptasińska","given":"Agnieszka"},{"family":"Bączkowska","given":"Teresa"},{"family":"Durlik","given":"Magdalena"},{"family":"Pawlaczyk","given":"Krzysztof"},{"family":"Sikora","given":"Przemyslaw"},{"family":"Zaniew","given":"Marcin"},{"family":"Kaminska","given":"Dorota"},{"family":"Krajewska","given":"Magdalena"},{"family":"Kuzmiuk-Glembin","given":"Izabella"},{"family":"Heleniak","given":"Zbigniew"},{"family":"Bullo-Piontecka","given":"Barbara"},{"family":"Liberek","given":"Tomasz"},{"family":"Dębska-Slizien","given":"Alicja"},{"family":"Hryszko","given":"Tomasz"},{"family":"Materna-Kiryluk","given":"Anna"},{"family":"Miklaszewska","given":"Monika"},{"family":"Szczepańska","given":"Maria"},{"family":"Dyga","given":"Katarzyna"},{"family":"Machura","given":"Edyta"},{"family":"Siniewicz-Luzeńczyk","given":"Katarzyna"},{"family":"Pawlak-Bratkowska","given":"Monika"},{"family":"Tkaczyk","given":"Marcin"},{"family":"Runowski","given":"Dariusz"},{"family":"Kwella","given":"Norbert"},{"family":"Drożdż","given":"Dorota"},{"family":"Habura","given":"Ireneusz"},{"family":"Kronenberg","given":"Florian"},{"family":"Prikhodina","given":"Larisa"},{"family":"Heel","given":"David","non-dropping-particle":"van"},{"family":"Fontaine","given":"Bertrand"},{"family":"Cotsapas","given":"Chris"},{"family":"Wijmenga","given":"Cisca"},{"family":"Franke","given":"Andre"},{"family":"Annese","given":"Vito"},{"family":"Gregersen","given":"Peter K."},{"family":"Parameswaran","given":"Sreeja"},{"family":"Weirauch","given":"Matthew"},{"family":"Kottyan","given":"Leah"},{"family":"Harley","given":"John B."},{"family":"Suzuki","given":"Hitoshi"},{"family":"Narita","given":"Ichiei"},{"family":"Goto","given":"Shin"},{"family":"Lee","given":"Hajeong"},{"family":"Kim","given":"Dong Ki"},{"family":"Kim","given":"Yon Su"},{"family":"Park","given":"Jin-Ho"},{"family":"Cho","given":"BeLong"},{"family":"Choi","given":"Murim"},{"family":"Van Wijk","given":"Ans"},{"family":"Huerta","given":"Ana"},{"family":"Ars","given":"Elisabet"},{"family":"Ballarin","given":"Jose"},{"family":"Lundberg","given":"Sigrid"},{"family":"Vogt","given":"Bruno"},{"family":"Mani","given":"Laila-Yasmin"},{"family":"Caliskan","given":"Yasar"},{"family":"Barratt","given":"Jonathan"},{"family":"Abeygunaratne","given":"Thilini"},{"family":"Kalra","given":"Philip A."},{"family":"Gale","given":"Daniel P."},{"family":"Panzer","given":"Ulf"},{"family":"Rauen","given":"Thomas"},{"family":"Floege","given":"Jürgen"},{"family":"Schlosser","given":"Pascal"},{"family":"Ekici","given":"Arif B."},{"family":"Eckardt","given":"Kai-Uwe"},{"family":"Chen","given":"Nan"},{"family":"Xie","given":"Jingyuan"},{"family":"Lifton","given":"Richard P."},{"family":"Loos","given":"Ruth J. F."},{"family":"Kenny","given":"Eimear E."},{"family":"Ionita-Laza","given":"Iuliana"},{"family":"Köttgen","given":"Anna"},{"family":"Julian","given":"Bruce A."},{"family":"Novak","given":"Jan"},{"family":"Scolari","given":"Francesco"},{"family":"Zhang","given":"Hong"},{"family":"Gharavi","given":"Ali G."}],"issued":{"date-parts":[["2023",7]]}}}],"schema":"https://github.com/citation-style-language/schema/raw/master/csl-citation.json"} </w:instrText>
      </w:r>
      <w:r w:rsidR="007A7806">
        <w:rPr>
          <w:rFonts w:cstheme="minorHAnsi"/>
          <w:bCs/>
          <w:sz w:val="22"/>
          <w:szCs w:val="22"/>
        </w:rPr>
        <w:fldChar w:fldCharType="separate"/>
      </w:r>
      <w:r w:rsidR="00642970" w:rsidRPr="00642970">
        <w:rPr>
          <w:rFonts w:ascii="Calibri" w:cs="Calibri"/>
          <w:sz w:val="22"/>
        </w:rPr>
        <w:t>(153–155)</w:t>
      </w:r>
      <w:r w:rsidR="007A7806">
        <w:rPr>
          <w:rFonts w:cstheme="minorHAnsi"/>
          <w:bCs/>
          <w:sz w:val="22"/>
          <w:szCs w:val="22"/>
        </w:rPr>
        <w:fldChar w:fldCharType="end"/>
      </w:r>
      <w:r w:rsidRPr="00DE0FF7">
        <w:rPr>
          <w:rFonts w:cstheme="minorHAnsi"/>
          <w:bCs/>
          <w:sz w:val="22"/>
          <w:szCs w:val="22"/>
        </w:rPr>
        <w:t>. Further UK-based genomic studies are needed to identify risk alleles, inform screening</w:t>
      </w:r>
      <w:r>
        <w:rPr>
          <w:rFonts w:cstheme="minorHAnsi"/>
          <w:bCs/>
          <w:sz w:val="22"/>
          <w:szCs w:val="22"/>
        </w:rPr>
        <w:t>,</w:t>
      </w:r>
      <w:r w:rsidRPr="00DE0FF7">
        <w:rPr>
          <w:rFonts w:cstheme="minorHAnsi"/>
          <w:bCs/>
          <w:sz w:val="22"/>
          <w:szCs w:val="22"/>
        </w:rPr>
        <w:t xml:space="preserve"> develop polygenic risk tools for early stratification</w:t>
      </w:r>
      <w:r>
        <w:rPr>
          <w:rFonts w:cstheme="minorHAnsi"/>
          <w:bCs/>
          <w:sz w:val="22"/>
          <w:szCs w:val="22"/>
        </w:rPr>
        <w:t xml:space="preserve"> and prioritise drug targets</w:t>
      </w:r>
      <w:r w:rsidRPr="00DE0FF7">
        <w:rPr>
          <w:rFonts w:cstheme="minorHAnsi"/>
          <w:bCs/>
          <w:sz w:val="22"/>
          <w:szCs w:val="22"/>
        </w:rPr>
        <w:t xml:space="preserve">. </w:t>
      </w:r>
      <w:r>
        <w:rPr>
          <w:rFonts w:cstheme="minorHAnsi"/>
          <w:bCs/>
          <w:sz w:val="22"/>
          <w:szCs w:val="22"/>
        </w:rPr>
        <w:t>T</w:t>
      </w:r>
      <w:r w:rsidRPr="00DE0FF7">
        <w:rPr>
          <w:rFonts w:cstheme="minorHAnsi"/>
          <w:bCs/>
          <w:sz w:val="22"/>
          <w:szCs w:val="22"/>
        </w:rPr>
        <w:t>hese efforts</w:t>
      </w:r>
      <w:r>
        <w:rPr>
          <w:rFonts w:cstheme="minorHAnsi"/>
          <w:bCs/>
          <w:sz w:val="22"/>
          <w:szCs w:val="22"/>
        </w:rPr>
        <w:t xml:space="preserve"> must</w:t>
      </w:r>
      <w:r w:rsidRPr="00DE0FF7">
        <w:rPr>
          <w:rFonts w:cstheme="minorHAnsi"/>
          <w:bCs/>
          <w:sz w:val="22"/>
          <w:szCs w:val="22"/>
        </w:rPr>
        <w:t xml:space="preserve"> include ethnically diverse cohorts to ensure findings are representative of the UK paediatric population and to address disparities in disease outcomes.</w:t>
      </w:r>
    </w:p>
    <w:p w14:paraId="251DBDC0" w14:textId="435ED9D1" w:rsidR="00D97459" w:rsidRDefault="00D97459" w:rsidP="00D97459">
      <w:pPr>
        <w:spacing w:after="160" w:line="360" w:lineRule="auto"/>
        <w:ind w:left="720"/>
        <w:jc w:val="both"/>
        <w:rPr>
          <w:rFonts w:cstheme="minorHAnsi"/>
          <w:bCs/>
          <w:sz w:val="22"/>
          <w:szCs w:val="22"/>
        </w:rPr>
      </w:pPr>
      <w:r w:rsidRPr="00F359E1">
        <w:rPr>
          <w:rFonts w:cstheme="minorHAnsi"/>
          <w:b/>
          <w:sz w:val="22"/>
          <w:szCs w:val="22"/>
        </w:rPr>
        <w:lastRenderedPageBreak/>
        <w:t xml:space="preserve">Immune </w:t>
      </w:r>
      <w:r>
        <w:rPr>
          <w:rFonts w:cstheme="minorHAnsi"/>
          <w:b/>
          <w:sz w:val="22"/>
          <w:szCs w:val="22"/>
        </w:rPr>
        <w:t>s</w:t>
      </w:r>
      <w:r w:rsidRPr="00F359E1">
        <w:rPr>
          <w:rFonts w:cstheme="minorHAnsi"/>
          <w:b/>
          <w:sz w:val="22"/>
          <w:szCs w:val="22"/>
        </w:rPr>
        <w:t xml:space="preserve">ignatures and </w:t>
      </w:r>
      <w:r>
        <w:rPr>
          <w:rFonts w:cstheme="minorHAnsi"/>
          <w:b/>
          <w:sz w:val="22"/>
          <w:szCs w:val="22"/>
        </w:rPr>
        <w:t>b</w:t>
      </w:r>
      <w:r w:rsidRPr="00F359E1">
        <w:rPr>
          <w:rFonts w:cstheme="minorHAnsi"/>
          <w:b/>
          <w:sz w:val="22"/>
          <w:szCs w:val="22"/>
        </w:rPr>
        <w:t>iomarkers:</w:t>
      </w:r>
      <w:r w:rsidRPr="00F359E1">
        <w:rPr>
          <w:rFonts w:cstheme="minorHAnsi"/>
          <w:bCs/>
          <w:sz w:val="22"/>
          <w:szCs w:val="22"/>
        </w:rPr>
        <w:t xml:space="preserve"> </w:t>
      </w:r>
      <w:r>
        <w:rPr>
          <w:rFonts w:cstheme="minorHAnsi"/>
          <w:bCs/>
          <w:sz w:val="22"/>
          <w:szCs w:val="22"/>
        </w:rPr>
        <w:t xml:space="preserve">Immune </w:t>
      </w:r>
      <w:r w:rsidRPr="009649D1">
        <w:rPr>
          <w:rFonts w:cstheme="minorHAnsi"/>
          <w:bCs/>
          <w:sz w:val="22"/>
          <w:szCs w:val="22"/>
        </w:rPr>
        <w:t>phenotyping</w:t>
      </w:r>
      <w:r>
        <w:rPr>
          <w:rFonts w:cstheme="minorHAnsi"/>
          <w:bCs/>
          <w:sz w:val="22"/>
          <w:szCs w:val="22"/>
        </w:rPr>
        <w:t xml:space="preserve">, </w:t>
      </w:r>
      <w:r w:rsidRPr="009649D1">
        <w:rPr>
          <w:rFonts w:cstheme="minorHAnsi"/>
          <w:bCs/>
          <w:sz w:val="22"/>
          <w:szCs w:val="22"/>
        </w:rPr>
        <w:t>T and B cell clonotype profiling</w:t>
      </w:r>
      <w:r>
        <w:rPr>
          <w:rFonts w:cstheme="minorHAnsi"/>
          <w:bCs/>
          <w:sz w:val="22"/>
          <w:szCs w:val="22"/>
        </w:rPr>
        <w:t xml:space="preserve"> and analysis of proteins </w:t>
      </w:r>
      <w:r w:rsidRPr="009649D1">
        <w:rPr>
          <w:rFonts w:cstheme="minorHAnsi"/>
          <w:bCs/>
          <w:sz w:val="22"/>
          <w:szCs w:val="22"/>
        </w:rPr>
        <w:t>from blood and urine may help predict treatment response and disease course</w:t>
      </w:r>
      <w:r w:rsidR="007A7806">
        <w:rPr>
          <w:rFonts w:cstheme="minorHAnsi"/>
          <w:bCs/>
          <w:sz w:val="22"/>
          <w:szCs w:val="22"/>
        </w:rPr>
        <w:t xml:space="preserve"> </w:t>
      </w:r>
      <w:r w:rsidR="007A7806">
        <w:rPr>
          <w:rFonts w:cstheme="minorHAnsi"/>
          <w:bCs/>
          <w:sz w:val="22"/>
          <w:szCs w:val="22"/>
        </w:rPr>
        <w:fldChar w:fldCharType="begin"/>
      </w:r>
      <w:r w:rsidR="00642970">
        <w:rPr>
          <w:rFonts w:cstheme="minorHAnsi"/>
          <w:bCs/>
          <w:sz w:val="22"/>
          <w:szCs w:val="22"/>
        </w:rPr>
        <w:instrText xml:space="preserve"> ADDIN ZOTERO_ITEM CSL_CITATION {"citationID":"Kp0m4rTL","properties":{"formattedCitation":"(156,157)","plainCitation":"(156,157)","noteIndex":0},"citationItems":[{"id":577,"uris":["http://zotero.org/users/local/lvPLY4Gu/items/NEXHJC8H"],"itemData":{"id":577,"type":"article-journal","abstract":"The efficacy of the B cell-targeting drug rituximab (RTX) in childhood idiopathic nephrotic syndrome (INS) suggests that B cells may be implicated in disease pathogenesis. However, B cell characterization in children with INS remains limited. Here, using single-cell RNA sequencing, we demonstrate that a B cell transcriptional program poised for effector functions represents the major immune perturbation in blood samples from children with active INS. This transcriptional profile was associated with an extrafollicular B cell response marked by the expansion of atypical B cells (atBCs), marginal zone-like B cells, and antibody-secreting cells (ASCs). Flow cytometry of blood from 13 children with active INS and 24 healthy donors confirmed the presence of an extrafollicular B cell response denoted by the expansion of proliferating RTX-sensitive extrafollicular (CXCR5-) CD21low T-bet+ CD11c+ atBCs and short-lived T-bet+ ASCs in INS. Together, our study provides evidence for an extrafollicular origin for humoral immunity in active INS.","container-title":"Nature Communications","DOI":"10.1038/s41467-023-43504-8","ISSN":"2041-1723","issue":"1","journalAbbreviation":"Nat Commun","language":"eng","note":"PMID: 37996443\nPMCID: PMC10667257","page":"7682","source":"PubMed","title":"The extrafollicular B cell response is a hallmark of childhood idiopathic nephrotic syndrome","volume":"14","author":[{"family":"Al-Aubodah","given":"Tho-Alfakar"},{"family":"Aoudjit","given":"Lamine"},{"family":"Pascale","given":"Giuseppe"},{"family":"Perinpanayagam","given":"Maneka A."},{"family":"Langlais","given":"David"},{"family":"Bitzan","given":"Martin"},{"family":"Samuel","given":"Susan M."},{"family":"Piccirillo","given":"Ciriaco A."},{"family":"Takano","given":"Tomoko"}],"issued":{"date-parts":[["2023",11,24]]}}},{"id":580,"uris":["http://zotero.org/users/local/lvPLY4Gu/items/DANFG4NL"],"itemData":{"id":580,"type":"article-journal","abstract":"B cells are important in the pathogenesis of many, and perhaps all, immune-mediated diseases. Each B cell expresses a single B cell receptor (BCR)1, and the diverse range of BCRs expressed by the total B cell population of an individual is termed the 'BCR repertoire'. Our understanding of the BCR repertoire in the context of immune-mediated diseases is incomplete, and defining this could provide new insights into pathogenesis and therapy. Here, we compared the BCR repertoire in systemic lupus erythematosus, anti-neutrophil cytoplasmic antibody (ANCA)-associated vasculitis, Crohn's disease, Behçet's disease, eosinophilic granulomatosis with polyangiitis, and immunoglobulin A (IgA) vasculitis by analysing BCR clonality, use of immunoglobulin heavy-chain variable region (IGHV) genes and-in particular-isotype use. An increase in clonality in systemic lupus erythematosus and Crohn's disease that was dominated by the IgA isotype, together with skewed use of the IGHV genes in these and other diseases, suggested a microbial contribution to pathogenesis. Different immunosuppressive treatments had specific and distinct effects on the repertoire; B cells that persisted after treatment with rituximab were predominately isotype-switched and clonally expanded, whereas the inverse was true for B cells that persisted after treatment with mycophenolate mofetil. Our comparative analysis of the BCR repertoire in immune-mediated disease reveals a complex B cell architecture, providing a platform for understanding pathological mechanisms and designing treatment strategies.","container-title":"Nature","DOI":"10.1038/s41586-019-1595-3","ISSN":"1476-4687","issue":"7776","journalAbbreviation":"Nature","language":"eng","note":"PMID: 31554970\nPMCID: PMC6795535","page":"122-126","source":"PubMed","title":"Analysis of the B cell receptor repertoire in six immune-mediated diseases","volume":"574","author":[{"family":"Bashford-Rogers","given":"R. J. M."},{"family":"Bergamaschi","given":"L."},{"family":"McKinney","given":"E. F."},{"family":"Pombal","given":"D. C."},{"family":"Mescia","given":"F."},{"family":"Lee","given":"J. C."},{"family":"Thomas","given":"D. C."},{"family":"Flint","given":"S. M."},{"family":"Kellam","given":"P."},{"family":"Jayne","given":"D. R. W."},{"family":"Lyons","given":"P. A."},{"family":"Smith","given":"K. G. C."}],"issued":{"date-parts":[["2019",10]]}}}],"schema":"https://github.com/citation-style-language/schema/raw/master/csl-citation.json"} </w:instrText>
      </w:r>
      <w:r w:rsidR="007A7806">
        <w:rPr>
          <w:rFonts w:cstheme="minorHAnsi"/>
          <w:bCs/>
          <w:sz w:val="22"/>
          <w:szCs w:val="22"/>
        </w:rPr>
        <w:fldChar w:fldCharType="separate"/>
      </w:r>
      <w:r w:rsidR="00642970">
        <w:rPr>
          <w:rFonts w:cstheme="minorHAnsi"/>
          <w:bCs/>
          <w:noProof/>
          <w:sz w:val="22"/>
          <w:szCs w:val="22"/>
        </w:rPr>
        <w:t>(156,157)</w:t>
      </w:r>
      <w:r w:rsidR="007A7806">
        <w:rPr>
          <w:rFonts w:cstheme="minorHAnsi"/>
          <w:bCs/>
          <w:sz w:val="22"/>
          <w:szCs w:val="22"/>
        </w:rPr>
        <w:fldChar w:fldCharType="end"/>
      </w:r>
      <w:r w:rsidRPr="009649D1">
        <w:rPr>
          <w:rFonts w:cstheme="minorHAnsi"/>
          <w:bCs/>
          <w:sz w:val="22"/>
          <w:szCs w:val="22"/>
        </w:rPr>
        <w:t xml:space="preserve">. Longitudinal sampling enables tracking of immune dynamics over time, with </w:t>
      </w:r>
      <w:proofErr w:type="spellStart"/>
      <w:r>
        <w:rPr>
          <w:rFonts w:cstheme="minorHAnsi"/>
          <w:bCs/>
          <w:sz w:val="22"/>
          <w:szCs w:val="22"/>
        </w:rPr>
        <w:t>microsampled</w:t>
      </w:r>
      <w:proofErr w:type="spellEnd"/>
      <w:r>
        <w:rPr>
          <w:rFonts w:cstheme="minorHAnsi"/>
          <w:bCs/>
          <w:sz w:val="22"/>
          <w:szCs w:val="22"/>
        </w:rPr>
        <w:t xml:space="preserve"> or dried </w:t>
      </w:r>
      <w:r w:rsidRPr="009649D1">
        <w:rPr>
          <w:rFonts w:cstheme="minorHAnsi"/>
          <w:bCs/>
          <w:sz w:val="22"/>
          <w:szCs w:val="22"/>
        </w:rPr>
        <w:t>urine offering a non-invasive</w:t>
      </w:r>
      <w:r>
        <w:rPr>
          <w:rFonts w:cstheme="minorHAnsi"/>
          <w:bCs/>
          <w:sz w:val="22"/>
          <w:szCs w:val="22"/>
        </w:rPr>
        <w:t xml:space="preserve"> </w:t>
      </w:r>
      <w:r w:rsidRPr="009649D1">
        <w:rPr>
          <w:rFonts w:cstheme="minorHAnsi"/>
          <w:bCs/>
          <w:sz w:val="22"/>
          <w:szCs w:val="22"/>
        </w:rPr>
        <w:t>scalable</w:t>
      </w:r>
      <w:r>
        <w:rPr>
          <w:rFonts w:cstheme="minorHAnsi"/>
          <w:bCs/>
          <w:sz w:val="22"/>
          <w:szCs w:val="22"/>
        </w:rPr>
        <w:t xml:space="preserve"> option</w:t>
      </w:r>
      <w:r w:rsidR="007A7806">
        <w:rPr>
          <w:rFonts w:cstheme="minorHAnsi"/>
          <w:bCs/>
          <w:sz w:val="22"/>
          <w:szCs w:val="22"/>
        </w:rPr>
        <w:t xml:space="preserve"> </w:t>
      </w:r>
      <w:r w:rsidR="007A7806">
        <w:rPr>
          <w:rFonts w:cstheme="minorHAnsi"/>
          <w:bCs/>
          <w:sz w:val="22"/>
          <w:szCs w:val="22"/>
        </w:rPr>
        <w:fldChar w:fldCharType="begin"/>
      </w:r>
      <w:r w:rsidR="00642970">
        <w:rPr>
          <w:rFonts w:cstheme="minorHAnsi"/>
          <w:bCs/>
          <w:sz w:val="22"/>
          <w:szCs w:val="22"/>
        </w:rPr>
        <w:instrText xml:space="preserve"> ADDIN ZOTERO_ITEM CSL_CITATION {"citationID":"UlMgvA4f","properties":{"formattedCitation":"(158,159)","plainCitation":"(158,159)","noteIndex":0},"citationItems":[{"id":582,"uris":["http://zotero.org/users/local/lvPLY4Gu/items/9482ZVY8"],"itemData":{"id":582,"type":"article-journal","abstract":"BACKGROUND: Glomerulonephritis inherently leads to the development of chronic kidney disease. It is the second most common diagnosis in patients requiring renal replacement therapy in the United Kingdom. Metabolomics and proteomics can characterise, identify and quantify an individual's protein and metabolite make-up. These techniques have been optimised and can be performed on samples including kidney tissue, blood and urine. Utilising omic techniques in nephrology can uncover disease pathophysiology and transform the diagnostics and treatment options for glomerulonephritis.\nOBJECTIVES: To evaluate the utility of metabolomics and proteomics using mass spectrometry and nuclear magnetic resonance in glomerulonephritis.\nMETHODS: The systematic review was registered on PROSPERO (CRD42023442092). Standard and extensive Cochrane search methods were used. The latest search date was March 2023. Participants were of any age with a histological diagnosis of glomerulonephritis. Descriptive analysis was performed, and data presented in tabular form. An area under the curve or p-value was presented for potential biomarkers discovered.\nRESULTS: Twenty-seven studies were included (metabolomics (n = 9)), and (proteomics (n = 18)) with 1818 participants. The samples analysed were urine (n = 19) blood (n = 4) and biopsy (n = 6). The typical outcome themes were potential biomarkers, disease phenotype, risk of progression and treatment response.\nCONCLUSION: This review shows the potential of metabolomic and proteomic analysis to discover new disease biomarkers that may influence diagnostics and disease management. Further larger-scale research is required to establish the validity of the study outcomes, including the several proposed biomarkers.","container-title":"Journal of Nephrology","DOI":"10.1007/s40620-024-01923-w","ISSN":"1724-6059","issue":"5","journalAbbreviation":"J Nephrol","language":"eng","note":"PMID: 38689160\nPMCID: PMC11405440","page":"1209-1225","source":"PubMed","title":"The current use of proteomics and metabolomics in glomerulonephritis: a systematic literature review","title-short":"The current use of proteomics and metabolomics in glomerulonephritis","volume":"37","author":[{"family":"Davies","given":"Elin"},{"family":"Chetwynd","given":"Andrew"},{"family":"McDowell","given":"Garry"},{"family":"Rao","given":"Anirudh"},{"family":"Oni","given":"Louise"}],"issued":{"date-parts":[["2024",6]]}}},{"id":584,"uris":["http://zotero.org/users/local/lvPLY4Gu/items/2ZMVUJ8U"],"itemData":{"id":584,"type":"article-journal","abstract":"Graphical Abstract","container-title":"Clinical Kidney Journal","DOI":"10.1093/ckj/sfad236","ISSN":"2048-8505","issue":"12","journalAbbreviation":"Clin Kidney J","note":"PMID: 38046006\nPMCID: PMC10689168","page":"2703-2711","source":"PubMed Central","title":"Urinary markers of the alternative and lectin complement pathway are increased in IgA vasculitis nephritis","volume":"16","author":[{"family":"Marro","given":"Julien"},{"family":"Chetwynd","given":"Andrew J"},{"family":"Hawkes","given":"Jennifer"},{"family":"Northey","given":"Sarah J"},{"family":"Oni","given":"Louise"}],"issued":{"date-parts":[["2023",9,14]]}}}],"schema":"https://github.com/citation-style-language/schema/raw/master/csl-citation.json"} </w:instrText>
      </w:r>
      <w:r w:rsidR="007A7806">
        <w:rPr>
          <w:rFonts w:cstheme="minorHAnsi"/>
          <w:bCs/>
          <w:sz w:val="22"/>
          <w:szCs w:val="22"/>
        </w:rPr>
        <w:fldChar w:fldCharType="separate"/>
      </w:r>
      <w:r w:rsidR="00642970">
        <w:rPr>
          <w:rFonts w:cstheme="minorHAnsi"/>
          <w:bCs/>
          <w:noProof/>
          <w:sz w:val="22"/>
          <w:szCs w:val="22"/>
        </w:rPr>
        <w:t>(158,159)</w:t>
      </w:r>
      <w:r w:rsidR="007A7806">
        <w:rPr>
          <w:rFonts w:cstheme="minorHAnsi"/>
          <w:bCs/>
          <w:sz w:val="22"/>
          <w:szCs w:val="22"/>
        </w:rPr>
        <w:fldChar w:fldCharType="end"/>
      </w:r>
      <w:r w:rsidRPr="009649D1">
        <w:rPr>
          <w:rFonts w:cstheme="minorHAnsi"/>
          <w:bCs/>
          <w:sz w:val="22"/>
          <w:szCs w:val="22"/>
        </w:rPr>
        <w:t xml:space="preserve">. Unbiased approaches such as single-cell transcriptomics and proteomics can </w:t>
      </w:r>
      <w:r w:rsidRPr="00017ECC">
        <w:rPr>
          <w:rFonts w:cstheme="minorHAnsi"/>
          <w:bCs/>
          <w:sz w:val="22"/>
          <w:szCs w:val="22"/>
        </w:rPr>
        <w:t xml:space="preserve">uncover </w:t>
      </w:r>
      <w:r>
        <w:rPr>
          <w:rFonts w:cstheme="minorHAnsi"/>
          <w:bCs/>
          <w:sz w:val="22"/>
          <w:szCs w:val="22"/>
        </w:rPr>
        <w:t xml:space="preserve">disease mechanisms and </w:t>
      </w:r>
      <w:r w:rsidRPr="00017ECC">
        <w:rPr>
          <w:rFonts w:cstheme="minorHAnsi"/>
          <w:bCs/>
          <w:sz w:val="22"/>
          <w:szCs w:val="22"/>
        </w:rPr>
        <w:t>novel biomarkers linked to disease activity and relapse</w:t>
      </w:r>
      <w:r w:rsidR="007A7806">
        <w:rPr>
          <w:rFonts w:cstheme="minorHAnsi"/>
          <w:bCs/>
          <w:sz w:val="22"/>
          <w:szCs w:val="22"/>
        </w:rPr>
        <w:t xml:space="preserve"> </w:t>
      </w:r>
      <w:r w:rsidR="007A7806">
        <w:rPr>
          <w:rFonts w:cstheme="minorHAnsi"/>
          <w:bCs/>
          <w:sz w:val="22"/>
          <w:szCs w:val="22"/>
        </w:rPr>
        <w:fldChar w:fldCharType="begin"/>
      </w:r>
      <w:r w:rsidR="00642970">
        <w:rPr>
          <w:rFonts w:cstheme="minorHAnsi"/>
          <w:bCs/>
          <w:sz w:val="22"/>
          <w:szCs w:val="22"/>
        </w:rPr>
        <w:instrText xml:space="preserve"> ADDIN ZOTERO_ITEM CSL_CITATION {"citationID":"ebH3zuJU","properties":{"formattedCitation":"(160,161)","plainCitation":"(160,161)","noteIndex":0},"citationItems":[{"id":587,"uris":["http://zotero.org/users/local/lvPLY4Gu/items/7KQH3SSF"],"itemData":{"id":587,"type":"article-journal","abstract":"IgA nephropathy (IgAN) represents the main cause of renal failure, while the precise pathogenetic mechanisms have not been fully determined. Herein, we conducted a cross-species single-cell survey on human IgAN and mouse and rat IgAN models to explore the pathogenic programs. Cross-species single-cell RNA sequencing (scRNA-Seq) revealed that the IgAN mesangial cells (MCs) expressed high levels of inflammatory signatures CXCL12, CCL2, CSF1, and IL-34 and specifically interacted with IgAN macrophages via the CXCL12/CXCR4, CSF1/IL-34/CSF1 receptor, and integrin subunit alpha X/integrin subunit alpha M/complement C3 (C3) axes. IgAN macrophages expressed high levels of CXCR4, PDGFB, triggering receptor expressed on myeloid cells 2, TNF, and C3, and the trajectory analysis suggested that these cells derived from the differentiation of infiltrating blood monocytes. Additionally, protein profiling of 21 progression and 28 nonprogression IgAN samples revealed that proteins CXCL12, C3, mannose receptor C-type 1, and CD163 were negatively correlated with estimated glomerular filtration rate (eGFR) value and poor prognosis (30% eGFR as composite end point). Last, a functional experiment revealed that specific blockade of the Cxcl12/Cxcr4 pathway substantially attenuated the glomerulus and tubule inflammatory injury, fibrosis, and renal function decline in the mouse IgAN model. This study provides insights into IgAN progression and may aid in the refinement of IgAN diagnosis and the optimization of treatment strategies.","container-title":"JCI insight","DOI":"10.1172/jci.insight.173651","ISSN":"2379-3708","issue":"9","journalAbbreviation":"JCI Insight","language":"eng","note":"PMID: 38716725\nPMCID: PMC11141938","page":"e173651","source":"PubMed","title":"Cross-species single-cell analysis uncovers the immunopathological mechanisms associated with IgA nephropathy progression","volume":"9","author":[{"family":"Chen","given":"Xizhao"},{"family":"Wang","given":"Tiantian"},{"family":"Chen","given":"Lei"},{"family":"Zhao","given":"Yinghua"},{"family":"Deng","given":"Yiyao"},{"family":"Shen","given":"Wanjun"},{"family":"Li","given":"Lin"},{"family":"Yin","given":"Zhong"},{"family":"Zhang","given":"Chaoran"},{"family":"Cai","given":"Guangyan"},{"family":"Zhang","given":"Min"},{"family":"Chen","given":"Xiangmei"}],"issued":{"date-parts":[["2024",5,8]]}}},{"id":590,"uris":["http://zotero.org/users/local/lvPLY4Gu/items/4BAZFAM8"],"itemData":{"id":590,"type":"article-journal","abstract":"IgA nephropathy (IgAN) is the leading cause of kidney failure due to an incomplete understanding of its pathogenesis. We perform single-cell RNA sequencing (RNA-seq) on kidneys and CD14+ peripheral blood mononuclear cells (PBMCs) collected from IgAN and normal samples. In IgAN, upregulation of JCHAIN in mesangial cells provides insight into the trigger mechanism for the dimerization and deposition of IgA1 in situ. The pathological mesangium also demonstrates a prominent inflammatory signature and increased cell-cell communication with other renal parenchymal cells and immune cells, suggesting disease progress from the mesangium to the entire kidney. Specific gene expression of kidney-resident macrophages and CD8+ T cells further indicates abnormal regulation associated with proliferation and inflammation. A transitional cell type among intercalated cells with fibrosis signatures is identified, suggesting an adverse outcome of interstitial fibrosis. Altogether, we systematically analyze the molecular events in the onset and progression of IgAN, providing a promising landscape for disease treatment.","container-title":"Cell Reports","DOI":"10.1016/j.celrep.2020.108525","ISSN":"2211-1247","issue":"12","journalAbbreviation":"Cell Rep","language":"eng","note":"PMID: 33357427","page":"108525","source":"PubMed","title":"Single-Cell Transcriptomics Reveal Immune Mechanisms of the Onset and Progression of IgA Nephropathy","volume":"33","author":[{"family":"Zheng","given":"Ying"},{"family":"Lu","given":"Ping"},{"family":"Deng","given":"Yiyao"},{"family":"Wen","given":"Lu"},{"family":"Wang","given":"Yong"},{"family":"Ma","given":"Xin"},{"family":"Wang","given":"Zhongxin"},{"family":"Wu","given":"Lingling"},{"family":"Hong","given":"Quan"},{"family":"Duan","given":"Shuwei"},{"family":"Yin","given":"Zhong"},{"family":"Fu","given":"Bo"},{"family":"Cai","given":"Guangyan"},{"family":"Chen","given":"Xiangmei"},{"family":"Tang","given":"Fuchou"}],"issued":{"date-parts":[["2020",12,22]]}}}],"schema":"https://github.com/citation-style-language/schema/raw/master/csl-citation.json"} </w:instrText>
      </w:r>
      <w:r w:rsidR="007A7806">
        <w:rPr>
          <w:rFonts w:cstheme="minorHAnsi"/>
          <w:bCs/>
          <w:sz w:val="22"/>
          <w:szCs w:val="22"/>
        </w:rPr>
        <w:fldChar w:fldCharType="separate"/>
      </w:r>
      <w:r w:rsidR="00642970">
        <w:rPr>
          <w:rFonts w:cstheme="minorHAnsi"/>
          <w:bCs/>
          <w:noProof/>
          <w:sz w:val="22"/>
          <w:szCs w:val="22"/>
        </w:rPr>
        <w:t>(160,161)</w:t>
      </w:r>
      <w:r w:rsidR="007A7806">
        <w:rPr>
          <w:rFonts w:cstheme="minorHAnsi"/>
          <w:bCs/>
          <w:sz w:val="22"/>
          <w:szCs w:val="22"/>
        </w:rPr>
        <w:fldChar w:fldCharType="end"/>
      </w:r>
      <w:r w:rsidRPr="00017ECC">
        <w:rPr>
          <w:rFonts w:cstheme="minorHAnsi"/>
          <w:bCs/>
          <w:sz w:val="22"/>
          <w:szCs w:val="22"/>
        </w:rPr>
        <w:t>.</w:t>
      </w:r>
      <w:r w:rsidRPr="009649D1">
        <w:rPr>
          <w:rFonts w:cstheme="minorHAnsi"/>
          <w:bCs/>
          <w:sz w:val="22"/>
          <w:szCs w:val="22"/>
        </w:rPr>
        <w:t xml:space="preserve"> The </w:t>
      </w:r>
      <w:r w:rsidR="00865538">
        <w:rPr>
          <w:rFonts w:cstheme="minorHAnsi"/>
          <w:bCs/>
          <w:sz w:val="22"/>
          <w:szCs w:val="22"/>
        </w:rPr>
        <w:t xml:space="preserve">oral and </w:t>
      </w:r>
      <w:r w:rsidRPr="009649D1">
        <w:rPr>
          <w:rFonts w:cstheme="minorHAnsi"/>
          <w:bCs/>
          <w:sz w:val="22"/>
          <w:szCs w:val="22"/>
        </w:rPr>
        <w:t>gut microbiome may also modulate immune activity and offers potential as a biomarker or therapeutic target</w:t>
      </w:r>
      <w:r w:rsidR="007A7806">
        <w:rPr>
          <w:rFonts w:cstheme="minorHAnsi"/>
          <w:bCs/>
          <w:sz w:val="22"/>
          <w:szCs w:val="22"/>
        </w:rPr>
        <w:t xml:space="preserve"> </w:t>
      </w:r>
      <w:r w:rsidR="007A7806">
        <w:rPr>
          <w:rFonts w:cstheme="minorHAnsi"/>
          <w:bCs/>
          <w:sz w:val="22"/>
          <w:szCs w:val="22"/>
        </w:rPr>
        <w:fldChar w:fldCharType="begin"/>
      </w:r>
      <w:r w:rsidR="00642970">
        <w:rPr>
          <w:rFonts w:cstheme="minorHAnsi"/>
          <w:bCs/>
          <w:sz w:val="22"/>
          <w:szCs w:val="22"/>
        </w:rPr>
        <w:instrText xml:space="preserve"> ADDIN ZOTERO_ITEM CSL_CITATION {"citationID":"AxvES0EB","properties":{"formattedCitation":"(162)","plainCitation":"(162)","noteIndex":0},"citationItems":[{"id":593,"uris":["http://zotero.org/users/local/lvPLY4Gu/items/4732Y8H3"],"itemData":{"id":593,"type":"article-journal","abstract":"Mechanisms underlying the disruption of self-tolerance in acquired autoimmunity remain unclear. Immunoglobulin A (IgA) nephropathy is an acquired autoimmune disease where deglycosylated IgA1 (IgA subclass 1) auto-antigens are recognized by IgG auto-antibodies, forming immune complexes that are deposited in the kidneys, leading to glomerulonephritis. In the intestinal microbiota of patients with IgA nephropathy, there was increased relative abundance of mucin-degrading bacteria, including Akkermansia muciniphila. IgA1 was deglycosylated by A. muciniphila both in vitro and in the intestinal lumen of mice. This generated neo-epitopes that were recognized by autoreactive IgG from the sera of patients with IgA nephropathy. Mice expressing human IgA1 and the human Fc α receptor I (α1KI-CD89tg) that underwent intestinal colonization by A. muciniphila developed an aggravated IgA nephropathy phenotype. After deglycosylation of IgA1 by A. muciniphila in the mouse gut lumen, IgA1 crossed the intestinal epithelium into the circulation by retrotranscytosis and became deposited in the glomeruli of mouse kidneys. Human α-defensins-a risk locus for IgA nephropathy-inhibited growth of A. muciniphila in vitro. A negative correlation observed between stool concentration of α-defensin 6 and quantity of A. muciniphila in the guts of control participants was lost in patients with IgA nephropathy. This study demonstrates that gut microbiota dysbiosis contributes to generation of auto-antigens in patients with IgA nephropathy and in a mouse model of this disease.","container-title":"Science Translational Medicine","DOI":"10.1126/scitranslmed.adl6149","ISSN":"1946-6242","issue":"740","journalAbbreviation":"Sci Transl Med","language":"eng","note":"PMID: 38536935","page":"eadl6149","source":"PubMed","title":"The gut microbiota posttranslationally modifies IgA1 in autoimmune glomerulonephritis","volume":"16","author":[{"family":"Gleeson","given":"Patrick J."},{"family":"Benech","given":"Nicolas"},{"family":"Chemouny","given":"Jonathan"},{"family":"Metallinou","given":"Eleftheria"},{"family":"Berthelot","given":"Laureline"},{"family":"Silva","given":"Jennifer","non-dropping-particle":"da"},{"family":"Bex-Coudrat","given":"Julie"},{"family":"Boedec","given":"Erwan"},{"family":"Canesi","given":"Fanny"},{"family":"Bounaix","given":"Carine"},{"family":"Morelle","given":"Willy"},{"family":"Moya-Nilges","given":"Maryse"},{"family":"Kenny","given":"John"},{"family":"O'Mahony","given":"Liam"},{"family":"Saveanu","given":"Loredana"},{"family":"Arnulf","given":"Bertrand"},{"family":"Sannier","given":"Aurélie"},{"family":"Daugas","given":"Eric"},{"family":"Vrtovsnik","given":"François"},{"family":"Lepage","given":"Patricia"},{"family":"Sokol","given":"Harry"},{"family":"Monteiro","given":"Renato C."}],"issued":{"date-parts":[["2024",3,27]]}}}],"schema":"https://github.com/citation-style-language/schema/raw/master/csl-citation.json"} </w:instrText>
      </w:r>
      <w:r w:rsidR="007A7806">
        <w:rPr>
          <w:rFonts w:cstheme="minorHAnsi"/>
          <w:bCs/>
          <w:sz w:val="22"/>
          <w:szCs w:val="22"/>
        </w:rPr>
        <w:fldChar w:fldCharType="separate"/>
      </w:r>
      <w:r w:rsidR="00642970">
        <w:rPr>
          <w:rFonts w:cstheme="minorHAnsi"/>
          <w:bCs/>
          <w:noProof/>
          <w:sz w:val="22"/>
          <w:szCs w:val="22"/>
        </w:rPr>
        <w:t>(162)</w:t>
      </w:r>
      <w:r w:rsidR="007A7806">
        <w:rPr>
          <w:rFonts w:cstheme="minorHAnsi"/>
          <w:bCs/>
          <w:sz w:val="22"/>
          <w:szCs w:val="22"/>
        </w:rPr>
        <w:fldChar w:fldCharType="end"/>
      </w:r>
      <w:r w:rsidRPr="009649D1">
        <w:rPr>
          <w:rFonts w:cstheme="minorHAnsi"/>
          <w:bCs/>
          <w:sz w:val="22"/>
          <w:szCs w:val="22"/>
        </w:rPr>
        <w:t>. Embedding these tools in</w:t>
      </w:r>
      <w:r w:rsidR="00865538">
        <w:rPr>
          <w:rFonts w:cstheme="minorHAnsi"/>
          <w:bCs/>
          <w:sz w:val="22"/>
          <w:szCs w:val="22"/>
        </w:rPr>
        <w:t>to</w:t>
      </w:r>
      <w:r w:rsidRPr="009649D1">
        <w:rPr>
          <w:rFonts w:cstheme="minorHAnsi"/>
          <w:bCs/>
          <w:sz w:val="22"/>
          <w:szCs w:val="22"/>
        </w:rPr>
        <w:t xml:space="preserve"> trials will support </w:t>
      </w:r>
      <w:r w:rsidR="00865538">
        <w:rPr>
          <w:rFonts w:cstheme="minorHAnsi"/>
          <w:bCs/>
          <w:sz w:val="22"/>
          <w:szCs w:val="22"/>
        </w:rPr>
        <w:t xml:space="preserve">a move towards </w:t>
      </w:r>
      <w:r w:rsidRPr="00BC77C0">
        <w:rPr>
          <w:rFonts w:cstheme="minorHAnsi"/>
          <w:bCs/>
          <w:sz w:val="22"/>
          <w:szCs w:val="22"/>
        </w:rPr>
        <w:t>more personalised approaches to immunosuppression.</w:t>
      </w:r>
    </w:p>
    <w:p w14:paraId="010547D8" w14:textId="252D6DD6" w:rsidR="00D97459" w:rsidRDefault="00D97459" w:rsidP="00D97459">
      <w:pPr>
        <w:spacing w:after="160" w:line="360" w:lineRule="auto"/>
        <w:ind w:left="720"/>
        <w:jc w:val="both"/>
        <w:rPr>
          <w:rFonts w:cstheme="minorHAnsi"/>
          <w:bCs/>
          <w:sz w:val="22"/>
          <w:szCs w:val="22"/>
        </w:rPr>
      </w:pPr>
      <w:r>
        <w:rPr>
          <w:rFonts w:cstheme="minorHAnsi"/>
          <w:b/>
          <w:sz w:val="22"/>
          <w:szCs w:val="22"/>
        </w:rPr>
        <w:t>T</w:t>
      </w:r>
      <w:r w:rsidRPr="00F359E1">
        <w:rPr>
          <w:rFonts w:cstheme="minorHAnsi"/>
          <w:b/>
          <w:sz w:val="22"/>
          <w:szCs w:val="22"/>
        </w:rPr>
        <w:t xml:space="preserve">issue </w:t>
      </w:r>
      <w:r>
        <w:rPr>
          <w:rFonts w:cstheme="minorHAnsi"/>
          <w:b/>
          <w:sz w:val="22"/>
          <w:szCs w:val="22"/>
        </w:rPr>
        <w:t>molecular profiling</w:t>
      </w:r>
      <w:r w:rsidRPr="00F359E1">
        <w:rPr>
          <w:rFonts w:cstheme="minorHAnsi"/>
          <w:b/>
          <w:sz w:val="22"/>
          <w:szCs w:val="22"/>
        </w:rPr>
        <w:t>:</w:t>
      </w:r>
      <w:r w:rsidRPr="00F359E1">
        <w:rPr>
          <w:rFonts w:cstheme="minorHAnsi"/>
          <w:bCs/>
          <w:sz w:val="22"/>
          <w:szCs w:val="22"/>
        </w:rPr>
        <w:t xml:space="preserve"> </w:t>
      </w:r>
      <w:r w:rsidRPr="00CF3C79">
        <w:rPr>
          <w:rFonts w:cstheme="minorHAnsi"/>
          <w:bCs/>
          <w:sz w:val="22"/>
          <w:szCs w:val="22"/>
        </w:rPr>
        <w:t>Techniques such as spatial transcriptomics</w:t>
      </w:r>
      <w:r w:rsidR="003B2D8F">
        <w:rPr>
          <w:rFonts w:cstheme="minorHAnsi"/>
          <w:bCs/>
          <w:sz w:val="22"/>
          <w:szCs w:val="22"/>
        </w:rPr>
        <w:t>, spatial proteomics</w:t>
      </w:r>
      <w:r w:rsidRPr="00CF3C79">
        <w:rPr>
          <w:rFonts w:cstheme="minorHAnsi"/>
          <w:bCs/>
          <w:sz w:val="22"/>
          <w:szCs w:val="22"/>
        </w:rPr>
        <w:t xml:space="preserve"> and multiplex imaging enable molecular analysis of kidney biopsies in </w:t>
      </w:r>
      <w:r>
        <w:rPr>
          <w:rFonts w:cstheme="minorHAnsi"/>
          <w:bCs/>
          <w:sz w:val="22"/>
          <w:szCs w:val="22"/>
        </w:rPr>
        <w:t>IM</w:t>
      </w:r>
      <w:r w:rsidR="003B2D8F">
        <w:rPr>
          <w:rFonts w:cstheme="minorHAnsi"/>
          <w:bCs/>
          <w:sz w:val="22"/>
          <w:szCs w:val="22"/>
        </w:rPr>
        <w:t>-</w:t>
      </w:r>
      <w:r>
        <w:rPr>
          <w:rFonts w:cstheme="minorHAnsi"/>
          <w:bCs/>
          <w:sz w:val="22"/>
          <w:szCs w:val="22"/>
        </w:rPr>
        <w:t>GD at subcellular resolution</w:t>
      </w:r>
      <w:r w:rsidR="007A7806">
        <w:rPr>
          <w:rFonts w:cstheme="minorHAnsi"/>
          <w:bCs/>
          <w:sz w:val="22"/>
          <w:szCs w:val="22"/>
        </w:rPr>
        <w:t xml:space="preserve"> </w:t>
      </w:r>
      <w:r w:rsidR="007A7806">
        <w:rPr>
          <w:rFonts w:cstheme="minorHAnsi"/>
          <w:bCs/>
          <w:sz w:val="22"/>
          <w:szCs w:val="22"/>
        </w:rPr>
        <w:fldChar w:fldCharType="begin"/>
      </w:r>
      <w:r w:rsidR="00642970">
        <w:rPr>
          <w:rFonts w:cstheme="minorHAnsi"/>
          <w:bCs/>
          <w:sz w:val="22"/>
          <w:szCs w:val="22"/>
        </w:rPr>
        <w:instrText xml:space="preserve"> ADDIN ZOTERO_ITEM CSL_CITATION {"citationID":"3ay8goeN","properties":{"formattedCitation":"(163,164)","plainCitation":"(163,164)","noteIndex":0},"citationItems":[{"id":595,"uris":["http://zotero.org/users/local/lvPLY4Gu/items/ZPRBX4TD"],"itemData":{"id":595,"type":"article-journal","abstract":"Children with systemic lupus erythematosus (SLE) are at increased risk of developing kidney disease, termed childhood-onset lupus nephritis (cLN). Single-cell transcriptomics of dissociated kidney tissue has advanced our understanding of LN pathogenesis, but loss of spatial resolution prevents interrogation of in situ cellular interactions. Using a technical advance in spatial transcriptomics, we generated a spatially resolved, single-cell resolution atlas of kidney tissue from eight patients with cLN and four control individuals. Annotated cells were assigned to 30 reference cell types, including major kidney subsets and infiltrating immune cells. Analysis of spatial distribution demonstrated that individual immune lineages localized to specific regions in cLN kidneys, including myeloid cells that trafficked to inflamed glomeruli and B cells that clustered within tubulointerstitial immune hotspots. Gene expression varied as a function of tissue location, demonstrating how incorporation of spatial data can provide new insights into the immunopathogenesis of SLE. Alterations in immune phenotypes were accompanied by parallel changes in gene expression by resident kidney stromal cells. However, there was little correlation between histologic scoring of cLN disease activity and glomerular cell transcriptional signatures at the level of individual glomeruli. Last, we identified modules of spatially correlated gene expression with predicted roles in induction of inflammation and the development of tubulointerstitial fibrosis. Single-cell spatial transcriptomics allowed insights into the molecular heterogeneity of cLN, paving the way toward more targeted and personalized treatment approaches.","container-title":"Science Translational Medicine","DOI":"10.1126/scitranslmed.adl1666","ISSN":"1946-6242","issue":"775","journalAbbreviation":"Sci Transl Med","language":"eng","note":"PMID: 39602512\nPMCID: PMC11708815","page":"eadl1666","source":"PubMed","title":"Childhood-onset lupus nephritis is characterized by complex interactions between kidney stroma and infiltrating immune cells","volume":"16","author":[{"family":"Danaher","given":"Patrick"},{"family":"Hasle","given":"Nicholas"},{"family":"Nguyen","given":"Elizabeth D."},{"family":"Roberts","given":"Jordan E."},{"family":"Rosenwasser","given":"Natalie"},{"family":"Rickert","given":"Christian"},{"family":"Hsieh","given":"Elena W. Y."},{"family":"Hayward","given":"Kristen"},{"family":"Okamura","given":"Daryl M."},{"family":"Alpers","given":"Charles E."},{"family":"Reed","given":"Robyn C."},{"family":"Baxter","given":"Sarah K."},{"family":"Jackson","given":"Shaun W."}],"issued":{"date-parts":[["2024",11,27]]}}},{"id":597,"uris":["http://zotero.org/users/local/lvPLY4Gu/items/M3L78225"],"itemData":{"id":597,"type":"article-journal","abstract":"Spatial transcriptomics measures in situ gene expression at millions of locations within a tissue1, hitherto with some trade-off between transcriptome depth, spatial resolution and sample size2. Although integration of image-based segmentation has enabled impactful work in this context, it is limited by imaging quality and tissue heterogeneity. By contrast, recent array-based technologies offer the ability to measure the entire transcriptome at subcellular resolution across large samples3-6. Presently, there exist no approaches for cell type identification that directly leverage this information to annotate individual cells. Here we propose a multiscale approach to automatically classify cell types at this subcellular level, using both transcriptomic information and spatial context. We showcase this on both targeted and whole-transcriptome spatial platforms, improving cell classification and morphology for human kidney tissue and pinpointing individual sparsely distributed renal mouse immune cells without reliance on image data. By integrating these predictions into a topological pipeline based on multiparameter persistent homology7-9, we identify cell spatial relationships characteristic of a mouse model of lupus nephritis, which we validate experimentally by immunofluorescence. The proposed framework readily generalizes to new platforms, providing a comprehensive pipeline bridging different levels of biological organization from genes through to tissues.","container-title":"Nature","DOI":"10.1038/s41586-024-07563-1","ISSN":"1476-4687","issue":"8018","journalAbbreviation":"Nature","language":"eng","note":"PMID: 38898271\nPMCID: PMC11208150","page":"943-949","source":"PubMed","title":"Multiscale topology classifies cells in subcellular spatial transcriptomics","volume":"630","author":[{"family":"Benjamin","given":"Katherine"},{"family":"Bhandari","given":"Aneesha"},{"family":"Kepple","given":"Jessica D."},{"family":"Qi","given":"Rui"},{"family":"Shang","given":"Zhouchun"},{"family":"Xing","given":"Yanan"},{"family":"An","given":"Yanru"},{"family":"Zhang","given":"Nannan"},{"family":"Hou","given":"Yong"},{"family":"Crockford","given":"Tanya L."},{"family":"McCallion","given":"Oliver"},{"family":"Issa","given":"Fadi"},{"family":"Hester","given":"Joanna"},{"family":"Tillmann","given":"Ulrike"},{"family":"Harrington","given":"Heather A."},{"family":"Bull","given":"Katherine R."}],"issued":{"date-parts":[["2024",6]]}}}],"schema":"https://github.com/citation-style-language/schema/raw/master/csl-citation.json"} </w:instrText>
      </w:r>
      <w:r w:rsidR="007A7806">
        <w:rPr>
          <w:rFonts w:cstheme="minorHAnsi"/>
          <w:bCs/>
          <w:sz w:val="22"/>
          <w:szCs w:val="22"/>
        </w:rPr>
        <w:fldChar w:fldCharType="separate"/>
      </w:r>
      <w:r w:rsidR="00642970">
        <w:rPr>
          <w:rFonts w:cstheme="minorHAnsi"/>
          <w:bCs/>
          <w:noProof/>
          <w:sz w:val="22"/>
          <w:szCs w:val="22"/>
        </w:rPr>
        <w:t>(163,164)</w:t>
      </w:r>
      <w:r w:rsidR="007A7806">
        <w:rPr>
          <w:rFonts w:cstheme="minorHAnsi"/>
          <w:bCs/>
          <w:sz w:val="22"/>
          <w:szCs w:val="22"/>
        </w:rPr>
        <w:fldChar w:fldCharType="end"/>
      </w:r>
      <w:r w:rsidRPr="00F359E1">
        <w:rPr>
          <w:rFonts w:cstheme="minorHAnsi"/>
          <w:bCs/>
          <w:sz w:val="22"/>
          <w:szCs w:val="22"/>
        </w:rPr>
        <w:t>.</w:t>
      </w:r>
      <w:r>
        <w:rPr>
          <w:rFonts w:cstheme="minorHAnsi"/>
          <w:bCs/>
          <w:sz w:val="22"/>
          <w:szCs w:val="22"/>
        </w:rPr>
        <w:t xml:space="preserve"> </w:t>
      </w:r>
      <w:r w:rsidRPr="00CF3C79">
        <w:rPr>
          <w:rFonts w:cstheme="minorHAnsi"/>
          <w:bCs/>
          <w:sz w:val="22"/>
          <w:szCs w:val="22"/>
        </w:rPr>
        <w:t xml:space="preserve">These approaches can uncover pathways driving inflammation, track </w:t>
      </w:r>
      <w:r>
        <w:rPr>
          <w:rFonts w:cstheme="minorHAnsi"/>
          <w:bCs/>
          <w:sz w:val="22"/>
          <w:szCs w:val="22"/>
        </w:rPr>
        <w:t xml:space="preserve">changes in </w:t>
      </w:r>
      <w:r w:rsidRPr="00CF3C79">
        <w:rPr>
          <w:rFonts w:cstheme="minorHAnsi"/>
          <w:bCs/>
          <w:sz w:val="22"/>
          <w:szCs w:val="22"/>
        </w:rPr>
        <w:t>cell state</w:t>
      </w:r>
      <w:r>
        <w:rPr>
          <w:rFonts w:cstheme="minorHAnsi"/>
          <w:bCs/>
          <w:sz w:val="22"/>
          <w:szCs w:val="22"/>
        </w:rPr>
        <w:t>s</w:t>
      </w:r>
      <w:r w:rsidR="007A7806">
        <w:rPr>
          <w:rFonts w:cstheme="minorHAnsi"/>
          <w:bCs/>
          <w:sz w:val="22"/>
          <w:szCs w:val="22"/>
        </w:rPr>
        <w:t xml:space="preserve"> </w:t>
      </w:r>
      <w:r w:rsidR="007A7806">
        <w:rPr>
          <w:rFonts w:cstheme="minorHAnsi"/>
          <w:bCs/>
          <w:sz w:val="22"/>
          <w:szCs w:val="22"/>
        </w:rPr>
        <w:fldChar w:fldCharType="begin"/>
      </w:r>
      <w:r w:rsidR="00642970">
        <w:rPr>
          <w:rFonts w:cstheme="minorHAnsi"/>
          <w:bCs/>
          <w:sz w:val="22"/>
          <w:szCs w:val="22"/>
        </w:rPr>
        <w:instrText xml:space="preserve"> ADDIN ZOTERO_ITEM CSL_CITATION {"citationID":"xujDdm4d","properties":{"formattedCitation":"(165)","plainCitation":"(165)","noteIndex":0},"citationItems":[{"id":600,"uris":["http://zotero.org/users/local/lvPLY4Gu/items/VJAWKHQ6"],"itemData":{"id":600,"type":"article-journal","abstract":"RNA velocity exploits the temporal information contained in spliced and unspliced RNA counts to infer transcriptional dynamics. Existing velocity models often rely on coarse biophysical simplifications or numerical approximations to solve the underlying ordinary differential equations (ODEs), which can compromise accuracy in challenging settings, such as complex or weak transcription rate changes across cellular trajectories. Here we present cell2fate, a formulation of RNA velocity based on a linearization of the velocity ODE, which allows solving a biophysically more accurate model in a fully Bayesian fashion. As a result, cell2fate decomposes the RNA velocity solutions into modules, providing a biophysical connection between RNA velocity and statistical dimensionality reduction. We comprehensively benchmark cell2fate in real-world settings, demonstrating enhanced interpretability and power to reconstruct complex dynamics and weak dynamical signals in rare and mature cell types. Finally, we apply cell2fate to the developing human brain, where we spatially map RNA velocity modules onto the tissue architecture, connecting the spatial organization of tissues with temporal dynamics of transcription.","container-title":"Nature Methods","DOI":"10.1038/s41592-025-02608-3","ISSN":"1548-7105","issue":"4","journalAbbreviation":"Nat Methods","language":"en","license":"2025 The Author(s)","note":"publisher: Nature Publishing Group","page":"698-707","source":"www.nature.com","title":"Cell2fate infers RNA velocity modules to improve cell fate prediction","volume":"22","author":[{"family":"Aivazidis","given":"Alexander"},{"family":"Memi","given":"Fani"},{"family":"Kleshchevnikov","given":"Vitalii"},{"family":"Er","given":"Sezgin"},{"family":"Clarke","given":"Brian"},{"family":"Stegle","given":"Oliver"},{"family":"Bayraktar","given":"Omer Ali"}],"issued":{"date-parts":[["2025",4]]}}}],"schema":"https://github.com/citation-style-language/schema/raw/master/csl-citation.json"} </w:instrText>
      </w:r>
      <w:r w:rsidR="007A7806">
        <w:rPr>
          <w:rFonts w:cstheme="minorHAnsi"/>
          <w:bCs/>
          <w:sz w:val="22"/>
          <w:szCs w:val="22"/>
        </w:rPr>
        <w:fldChar w:fldCharType="separate"/>
      </w:r>
      <w:r w:rsidR="00642970">
        <w:rPr>
          <w:rFonts w:cstheme="minorHAnsi"/>
          <w:bCs/>
          <w:noProof/>
          <w:sz w:val="22"/>
          <w:szCs w:val="22"/>
        </w:rPr>
        <w:t>(165)</w:t>
      </w:r>
      <w:r w:rsidR="007A7806">
        <w:rPr>
          <w:rFonts w:cstheme="minorHAnsi"/>
          <w:bCs/>
          <w:sz w:val="22"/>
          <w:szCs w:val="22"/>
        </w:rPr>
        <w:fldChar w:fldCharType="end"/>
      </w:r>
      <w:r w:rsidRPr="00CF3C79">
        <w:rPr>
          <w:rFonts w:cstheme="minorHAnsi"/>
          <w:bCs/>
          <w:sz w:val="22"/>
          <w:szCs w:val="22"/>
        </w:rPr>
        <w:t>, and infer cell</w:t>
      </w:r>
      <w:r>
        <w:rPr>
          <w:rFonts w:cstheme="minorHAnsi"/>
          <w:bCs/>
          <w:sz w:val="22"/>
          <w:szCs w:val="22"/>
        </w:rPr>
        <w:t>-</w:t>
      </w:r>
      <w:r w:rsidRPr="00CF3C79">
        <w:rPr>
          <w:rFonts w:cstheme="minorHAnsi"/>
          <w:bCs/>
          <w:sz w:val="22"/>
          <w:szCs w:val="22"/>
        </w:rPr>
        <w:t xml:space="preserve">cell signalling </w:t>
      </w:r>
      <w:r>
        <w:rPr>
          <w:rFonts w:cstheme="minorHAnsi"/>
          <w:bCs/>
          <w:sz w:val="22"/>
          <w:szCs w:val="22"/>
        </w:rPr>
        <w:t xml:space="preserve">networks </w:t>
      </w:r>
      <w:r w:rsidRPr="00CF3C79">
        <w:rPr>
          <w:rFonts w:cstheme="minorHAnsi"/>
          <w:bCs/>
          <w:sz w:val="22"/>
          <w:szCs w:val="22"/>
        </w:rPr>
        <w:t>within</w:t>
      </w:r>
      <w:r>
        <w:rPr>
          <w:rFonts w:cstheme="minorHAnsi"/>
          <w:bCs/>
          <w:sz w:val="22"/>
          <w:szCs w:val="22"/>
        </w:rPr>
        <w:t xml:space="preserve"> diseased </w:t>
      </w:r>
      <w:r w:rsidRPr="00CF3C79">
        <w:rPr>
          <w:rFonts w:cstheme="minorHAnsi"/>
          <w:bCs/>
          <w:sz w:val="22"/>
          <w:szCs w:val="22"/>
        </w:rPr>
        <w:t>glomerular and interstitial compartments</w:t>
      </w:r>
      <w:r w:rsidR="007A7806">
        <w:rPr>
          <w:rFonts w:cstheme="minorHAnsi"/>
          <w:bCs/>
          <w:sz w:val="22"/>
          <w:szCs w:val="22"/>
        </w:rPr>
        <w:t xml:space="preserve"> </w:t>
      </w:r>
      <w:r w:rsidR="007A7806">
        <w:rPr>
          <w:rFonts w:cstheme="minorHAnsi"/>
          <w:bCs/>
          <w:sz w:val="22"/>
          <w:szCs w:val="22"/>
        </w:rPr>
        <w:fldChar w:fldCharType="begin"/>
      </w:r>
      <w:r w:rsidR="00642970">
        <w:rPr>
          <w:rFonts w:cstheme="minorHAnsi"/>
          <w:bCs/>
          <w:sz w:val="22"/>
          <w:szCs w:val="22"/>
        </w:rPr>
        <w:instrText xml:space="preserve"> ADDIN ZOTERO_ITEM CSL_CITATION {"citationID":"nYQpwWLr","properties":{"formattedCitation":"(166)","plainCitation":"(166)","noteIndex":0},"citationItems":[{"id":602,"uris":["http://zotero.org/users/local/lvPLY4Gu/items/F5TJLF6W"],"itemData":{"id":602,"type":"article-journal","abstract":"Spatial omics enable the characterization of colocalized cell communities that coordinate specific functions within tissues. These communities, or niches, are shaped by interactions between neighboring cells, yet existing computational methods rarely leverage such interactions for their identification and characterization. To address this gap, here we introduce NicheCompass, a graph deep-learning method that models cellular communication to learn interpretable cell embeddings that encode signaling events, enabling the identification of niches and their underlying processes. Unlike existing methods, NicheCompass quantitatively characterizes niches based on communication pathways and consistently outperforms alternatives. We show its versatility by mapping tissue architecture during mouse embryonic development and delineating tumor niches in human cancers, including a spatial reference mapping application. Finally, we extend its capabilities to spatial multi-omics, demonstrate cross-technology integration with datasets from different sequencing platforms and construct a whole mouse brain spatial atlas comprising 8.4 million cells, highlighting NicheCompass’ scalability. Overall, NicheCompass provides a scalable framework for identifying and analyzing niches through signaling events.","container-title":"Nature Genetics","DOI":"10.1038/s41588-025-02120-6","ISSN":"1546-1718","issue":"4","journalAbbreviation":"Nat Genet","language":"en","license":"2025 The Author(s)","note":"publisher: Nature Publishing Group","page":"897-909","source":"www.nature.com","title":"Quantitative characterization of cell niches in spatially resolved omics data","volume":"57","author":[{"family":"Birk","given":"Sebastian"},{"family":"Bonafonte-Pardàs","given":"Irene"},{"family":"Feriz","given":"Adib Miraki"},{"family":"Boxall","given":"Adam"},{"family":"Agirre","given":"Eneritz"},{"family":"Memi","given":"Fani"},{"family":"Maguza","given":"Anna"},{"family":"Yadav","given":"Anamika"},{"family":"Armingol","given":"Erick"},{"family":"Fan","given":"Rong"},{"family":"Castelo-Branco","given":"Gonçalo"},{"family":"Theis","given":"Fabian J."},{"family":"Bayraktar","given":"Omer Ali"},{"family":"Talavera-López","given":"Carlos"},{"family":"Lotfollahi","given":"Mohammad"}],"issued":{"date-parts":[["2025",4]]}}}],"schema":"https://github.com/citation-style-language/schema/raw/master/csl-citation.json"} </w:instrText>
      </w:r>
      <w:r w:rsidR="007A7806">
        <w:rPr>
          <w:rFonts w:cstheme="minorHAnsi"/>
          <w:bCs/>
          <w:sz w:val="22"/>
          <w:szCs w:val="22"/>
        </w:rPr>
        <w:fldChar w:fldCharType="separate"/>
      </w:r>
      <w:r w:rsidR="00642970">
        <w:rPr>
          <w:rFonts w:cstheme="minorHAnsi"/>
          <w:bCs/>
          <w:noProof/>
          <w:sz w:val="22"/>
          <w:szCs w:val="22"/>
        </w:rPr>
        <w:t>(166)</w:t>
      </w:r>
      <w:r w:rsidR="007A7806">
        <w:rPr>
          <w:rFonts w:cstheme="minorHAnsi"/>
          <w:bCs/>
          <w:sz w:val="22"/>
          <w:szCs w:val="22"/>
        </w:rPr>
        <w:fldChar w:fldCharType="end"/>
      </w:r>
      <w:r w:rsidRPr="00CF3C79">
        <w:rPr>
          <w:rFonts w:cstheme="minorHAnsi"/>
          <w:bCs/>
          <w:sz w:val="22"/>
          <w:szCs w:val="22"/>
        </w:rPr>
        <w:t>. Advances in data integration</w:t>
      </w:r>
      <w:r>
        <w:rPr>
          <w:rFonts w:cstheme="minorHAnsi"/>
          <w:bCs/>
          <w:sz w:val="22"/>
          <w:szCs w:val="22"/>
        </w:rPr>
        <w:t xml:space="preserve"> </w:t>
      </w:r>
      <w:r w:rsidRPr="00CF3C79">
        <w:rPr>
          <w:rFonts w:cstheme="minorHAnsi"/>
          <w:bCs/>
          <w:sz w:val="22"/>
          <w:szCs w:val="22"/>
        </w:rPr>
        <w:t>and intuitive visualisation tools have made this technology increasingly accessible</w:t>
      </w:r>
      <w:r w:rsidR="007A7806">
        <w:rPr>
          <w:rFonts w:cstheme="minorHAnsi"/>
          <w:bCs/>
          <w:sz w:val="22"/>
          <w:szCs w:val="22"/>
        </w:rPr>
        <w:t xml:space="preserve"> </w:t>
      </w:r>
      <w:r w:rsidR="007A7806">
        <w:rPr>
          <w:rFonts w:cstheme="minorHAnsi"/>
          <w:bCs/>
          <w:sz w:val="22"/>
          <w:szCs w:val="22"/>
        </w:rPr>
        <w:fldChar w:fldCharType="begin"/>
      </w:r>
      <w:r w:rsidR="00642970">
        <w:rPr>
          <w:rFonts w:cstheme="minorHAnsi"/>
          <w:bCs/>
          <w:sz w:val="22"/>
          <w:szCs w:val="22"/>
        </w:rPr>
        <w:instrText xml:space="preserve"> ADDIN ZOTERO_ITEM CSL_CITATION {"citationID":"zfyxpZJy","properties":{"formattedCitation":"(167,168)","plainCitation":"(167,168)","noteIndex":0},"citationItems":[{"id":604,"uris":["http://zotero.org/users/local/lvPLY4Gu/items/L5LZSPI3"],"itemData":{"id":604,"type":"article-journal","abstract":"The increasing generation of population-level single-cell atlases has the potential to link sample metadata with cellular data. Constructing such references requires integration of heterogeneous cohorts with varying metadata. Here we present single-cell population level integration (scPoli), an open-world learner that incorporates generative models to learn sample and cell representations for data integration, label transfer and reference mapping. We applied scPoli on population-level atlases of lung and peripheral blood mononuclear cells, the latter consisting of 7.8 million cells across 2,375 samples. We demonstrate that scPoli can explain sample-level biological and technical variations using sample embeddings revealing genes associated with batch effects and biological effects. scPoli is further applicable to single-cell sequencing assay for transposase-accessible chromatin and cross-species datasets, offering insights into chromatin accessibility and comparative genomics. We envision scPoli becoming an important tool for population-level single-cell data integration facilitating atlas use but also interpretation by means of multi-scale analyses.","container-title":"Nature Methods","DOI":"10.1038/s41592-023-02035-2","ISSN":"1548-7105","issue":"11","journalAbbreviation":"Nat Methods","language":"en","license":"2023 The Author(s)","note":"publisher: Nature Publishing Group","page":"1683-1692","source":"www.nature.com","title":"Population-level integration of single-cell datasets enables multi-scale analysis across samples","volume":"20","author":[{"family":"De Donno","given":"Carlo"},{"family":"Hediyeh-Zadeh","given":"Soroor"},{"family":"Moinfar","given":"Amir Ali"},{"family":"Wagenstetter","given":"Marco"},{"family":"Zappia","given":"Luke"},{"family":"Lotfollahi","given":"Mohammad"},{"family":"Theis","given":"Fabian J."}],"issued":{"date-parts":[["2023",11]]}}},{"id":606,"uris":["http://zotero.org/users/local/lvPLY4Gu/items/693FGPJH"],"itemData":{"id":606,"type":"article-journal","container-title":"Nature Methods","DOI":"10.1038/s41592-024-02371-x","ISSN":"1548-7105","issue":"1","journalAbbreviation":"Nat Methods","language":"eng","note":"PMID: 39160302","page":"3-5","source":"PubMed","title":"WebAtlas pipeline for integrated single-cell and spatial transcriptomic data","volume":"22","author":[{"family":"Li","given":"Tong"},{"family":"Horsfall","given":"David"},{"family":"Basurto-Lozada","given":"Daniela"},{"family":"Roberts","given":"Kenny"},{"family":"Prete","given":"Martin"},{"family":"Lawrence","given":"John E. G."},{"family":"He","given":"Peng"},{"family":"Tuck","given":"Elisabeth"},{"family":"Moore","given":"Josh"},{"family":"Yoldas","given":"Aybuke Kupcu"},{"family":"Babalola","given":"Kolawole"},{"family":"Hartley","given":"Matthew"},{"family":"Ghazanfar","given":"Shila"},{"family":"Teichmann","given":"Sarah A."},{"family":"Haniffa","given":"Muzlifah"},{"family":"Bayraktar","given":"Omer Ali"}],"issued":{"date-parts":[["2025",1]]}}}],"schema":"https://github.com/citation-style-language/schema/raw/master/csl-citation.json"} </w:instrText>
      </w:r>
      <w:r w:rsidR="007A7806">
        <w:rPr>
          <w:rFonts w:cstheme="minorHAnsi"/>
          <w:bCs/>
          <w:sz w:val="22"/>
          <w:szCs w:val="22"/>
        </w:rPr>
        <w:fldChar w:fldCharType="separate"/>
      </w:r>
      <w:r w:rsidR="00642970">
        <w:rPr>
          <w:rFonts w:cstheme="minorHAnsi"/>
          <w:bCs/>
          <w:noProof/>
          <w:sz w:val="22"/>
          <w:szCs w:val="22"/>
        </w:rPr>
        <w:t>(167,168)</w:t>
      </w:r>
      <w:r w:rsidR="007A7806">
        <w:rPr>
          <w:rFonts w:cstheme="minorHAnsi"/>
          <w:bCs/>
          <w:sz w:val="22"/>
          <w:szCs w:val="22"/>
        </w:rPr>
        <w:fldChar w:fldCharType="end"/>
      </w:r>
      <w:r w:rsidRPr="00CF3C79">
        <w:rPr>
          <w:rFonts w:cstheme="minorHAnsi"/>
          <w:bCs/>
          <w:sz w:val="22"/>
          <w:szCs w:val="22"/>
        </w:rPr>
        <w:t xml:space="preserve">. </w:t>
      </w:r>
      <w:r>
        <w:rPr>
          <w:rFonts w:cstheme="minorHAnsi"/>
          <w:bCs/>
          <w:sz w:val="22"/>
          <w:szCs w:val="22"/>
        </w:rPr>
        <w:t>P</w:t>
      </w:r>
      <w:r w:rsidRPr="00CF3C79">
        <w:rPr>
          <w:rFonts w:cstheme="minorHAnsi"/>
          <w:bCs/>
          <w:sz w:val="22"/>
          <w:szCs w:val="22"/>
        </w:rPr>
        <w:t xml:space="preserve">rotein-based platforms enable deep </w:t>
      </w:r>
      <w:r>
        <w:rPr>
          <w:rFonts w:cstheme="minorHAnsi"/>
          <w:bCs/>
          <w:sz w:val="22"/>
          <w:szCs w:val="22"/>
        </w:rPr>
        <w:t xml:space="preserve">and iterative </w:t>
      </w:r>
      <w:r w:rsidRPr="00CF3C79">
        <w:rPr>
          <w:rFonts w:cstheme="minorHAnsi"/>
          <w:bCs/>
          <w:sz w:val="22"/>
          <w:szCs w:val="22"/>
        </w:rPr>
        <w:t xml:space="preserve">immunophenotyping from a single </w:t>
      </w:r>
      <w:r>
        <w:rPr>
          <w:rFonts w:cstheme="minorHAnsi"/>
          <w:bCs/>
          <w:sz w:val="22"/>
          <w:szCs w:val="22"/>
        </w:rPr>
        <w:t>biopsy</w:t>
      </w:r>
      <w:r w:rsidR="00872595">
        <w:rPr>
          <w:rFonts w:cstheme="minorHAnsi"/>
          <w:bCs/>
          <w:sz w:val="22"/>
          <w:szCs w:val="22"/>
        </w:rPr>
        <w:t xml:space="preserve"> </w:t>
      </w:r>
      <w:r w:rsidR="00872595">
        <w:rPr>
          <w:rFonts w:cstheme="minorHAnsi"/>
          <w:bCs/>
          <w:sz w:val="22"/>
          <w:szCs w:val="22"/>
        </w:rPr>
        <w:fldChar w:fldCharType="begin"/>
      </w:r>
      <w:r w:rsidR="00642970">
        <w:rPr>
          <w:rFonts w:cstheme="minorHAnsi"/>
          <w:bCs/>
          <w:sz w:val="22"/>
          <w:szCs w:val="22"/>
        </w:rPr>
        <w:instrText xml:space="preserve"> ADDIN ZOTERO_ITEM CSL_CITATION {"citationID":"gC7sHndS","properties":{"formattedCitation":"(169)","plainCitation":"(169)","noteIndex":0},"citationItems":[{"id":608,"uris":["http://zotero.org/users/local/lvPLY4Gu/items/FPK7Z43Y"],"itemData":{"id":608,"type":"article-journal","abstract":"The human kidney is composed of many cell types that vary in their abundance and distribution from normal to diseased organ. As these cell types perform unique and essential functions, it is important to confidently label each within a single tissue to accurately assess tissue architecture and microenvironments. Towards this goal, we demonstrate the use of co-detection by indexing (CODEX) multiplexed immunofluorescence for visualizing 23 antigens within the human kidney. Using CODEX, many of the major cell types and substructures, such as collecting ducts, glomeruli, and thick ascending limb, were visualized within a single tissue section. Of these antibodies, 19 were conjugated in-house, demonstrating the flexibility and utility of this approach for studying the human kidney using custom and commercially available antibodies. We performed a pilot study that compared both fresh frozen and formalin-fixed paraffin-embedded healthy non-neoplastic and diabetic nephropathy kidney tissues. The largest cellular differences between the two groups was observed in cells labeled with aquaporin 1, cytokeratin 7, and α-smooth muscle actin. Thus, our data show the power of CODEX multiplexed immunofluorescence for surveying the cellular diversity of the human kidney and the potential for applications within pathology, histology, and building anatomical atlases.","container-title":"Kidney International","DOI":"10.1016/j.kint.2021.08.033","ISSN":"1523-1755","issue":"1","journalAbbreviation":"Kidney Int","language":"eng","note":"PMID: 34619231\nPMCID: PMC8741652","page":"137-143","source":"PubMed","title":"Highly multiplexed immunofluorescence of the human kidney using co-detection by indexing","volume":"101","author":[{"family":"Neumann","given":"Elizabeth K."},{"family":"Patterson","given":"Nathan Heath"},{"family":"Rivera","given":"Emilio S."},{"family":"Allen","given":"Jamie L."},{"family":"Brewer","given":"Maya"},{"family":"deCaestecker","given":"Mark P."},{"family":"Caprioli","given":"Richard M."},{"family":"Fogo","given":"Agnes B."},{"family":"Spraggins","given":"Jeffrey M."}],"issued":{"date-parts":[["2022",1]]}}}],"schema":"https://github.com/citation-style-language/schema/raw/master/csl-citation.json"} </w:instrText>
      </w:r>
      <w:r w:rsidR="00872595">
        <w:rPr>
          <w:rFonts w:cstheme="minorHAnsi"/>
          <w:bCs/>
          <w:sz w:val="22"/>
          <w:szCs w:val="22"/>
        </w:rPr>
        <w:fldChar w:fldCharType="separate"/>
      </w:r>
      <w:r w:rsidR="00642970">
        <w:rPr>
          <w:rFonts w:cstheme="minorHAnsi"/>
          <w:bCs/>
          <w:noProof/>
          <w:sz w:val="22"/>
          <w:szCs w:val="22"/>
        </w:rPr>
        <w:t>(169)</w:t>
      </w:r>
      <w:r w:rsidR="00872595">
        <w:rPr>
          <w:rFonts w:cstheme="minorHAnsi"/>
          <w:bCs/>
          <w:sz w:val="22"/>
          <w:szCs w:val="22"/>
        </w:rPr>
        <w:fldChar w:fldCharType="end"/>
      </w:r>
      <w:r>
        <w:rPr>
          <w:rFonts w:cstheme="minorHAnsi"/>
          <w:bCs/>
          <w:sz w:val="22"/>
          <w:szCs w:val="22"/>
        </w:rPr>
        <w:t xml:space="preserve">. </w:t>
      </w:r>
      <w:r w:rsidRPr="00CF3C79">
        <w:rPr>
          <w:rFonts w:cstheme="minorHAnsi"/>
          <w:bCs/>
          <w:sz w:val="22"/>
          <w:szCs w:val="22"/>
        </w:rPr>
        <w:t xml:space="preserve">Profiling can be performed on archived tissue or </w:t>
      </w:r>
      <w:r>
        <w:rPr>
          <w:rFonts w:cstheme="minorHAnsi"/>
          <w:bCs/>
          <w:sz w:val="22"/>
          <w:szCs w:val="22"/>
        </w:rPr>
        <w:t xml:space="preserve">in parallel </w:t>
      </w:r>
      <w:r w:rsidR="00191B03">
        <w:rPr>
          <w:rFonts w:cstheme="minorHAnsi"/>
          <w:bCs/>
          <w:sz w:val="22"/>
          <w:szCs w:val="22"/>
        </w:rPr>
        <w:t xml:space="preserve">using biobanking </w:t>
      </w:r>
      <w:r>
        <w:rPr>
          <w:rFonts w:cstheme="minorHAnsi"/>
          <w:bCs/>
          <w:sz w:val="22"/>
          <w:szCs w:val="22"/>
        </w:rPr>
        <w:t>with</w:t>
      </w:r>
      <w:r w:rsidR="00191B03">
        <w:rPr>
          <w:rFonts w:cstheme="minorHAnsi"/>
          <w:bCs/>
          <w:sz w:val="22"/>
          <w:szCs w:val="22"/>
        </w:rPr>
        <w:t>in</w:t>
      </w:r>
      <w:r w:rsidRPr="00CF3C79">
        <w:rPr>
          <w:rFonts w:cstheme="minorHAnsi"/>
          <w:bCs/>
          <w:sz w:val="22"/>
          <w:szCs w:val="22"/>
        </w:rPr>
        <w:t xml:space="preserve"> clinical trials</w:t>
      </w:r>
      <w:r>
        <w:rPr>
          <w:rFonts w:cstheme="minorHAnsi"/>
          <w:bCs/>
          <w:sz w:val="22"/>
          <w:szCs w:val="22"/>
        </w:rPr>
        <w:t>.</w:t>
      </w:r>
    </w:p>
    <w:p w14:paraId="42A1DBD2" w14:textId="6CC61CC1" w:rsidR="00D97459" w:rsidRDefault="00D97459" w:rsidP="00D97459">
      <w:pPr>
        <w:spacing w:after="160" w:line="360" w:lineRule="auto"/>
        <w:ind w:left="720"/>
        <w:jc w:val="both"/>
        <w:rPr>
          <w:rFonts w:cstheme="minorHAnsi"/>
          <w:bCs/>
          <w:sz w:val="22"/>
          <w:szCs w:val="22"/>
        </w:rPr>
      </w:pPr>
      <w:r w:rsidRPr="00F359E1">
        <w:rPr>
          <w:rFonts w:cstheme="minorHAnsi"/>
          <w:b/>
          <w:sz w:val="22"/>
          <w:szCs w:val="22"/>
        </w:rPr>
        <w:t xml:space="preserve">Improved </w:t>
      </w:r>
      <w:r>
        <w:rPr>
          <w:rFonts w:cstheme="minorHAnsi"/>
          <w:b/>
          <w:sz w:val="22"/>
          <w:szCs w:val="22"/>
        </w:rPr>
        <w:t>a</w:t>
      </w:r>
      <w:r w:rsidRPr="00F359E1">
        <w:rPr>
          <w:rFonts w:cstheme="minorHAnsi"/>
          <w:b/>
          <w:sz w:val="22"/>
          <w:szCs w:val="22"/>
        </w:rPr>
        <w:t xml:space="preserve">nimal </w:t>
      </w:r>
      <w:r>
        <w:rPr>
          <w:rFonts w:cstheme="minorHAnsi"/>
          <w:b/>
          <w:sz w:val="22"/>
          <w:szCs w:val="22"/>
        </w:rPr>
        <w:t>m</w:t>
      </w:r>
      <w:r w:rsidRPr="00F359E1">
        <w:rPr>
          <w:rFonts w:cstheme="minorHAnsi"/>
          <w:b/>
          <w:sz w:val="22"/>
          <w:szCs w:val="22"/>
        </w:rPr>
        <w:t>odels</w:t>
      </w:r>
      <w:r>
        <w:rPr>
          <w:rFonts w:cstheme="minorHAnsi"/>
          <w:b/>
          <w:sz w:val="22"/>
          <w:szCs w:val="22"/>
        </w:rPr>
        <w:t xml:space="preserve"> to test novel therapeutics</w:t>
      </w:r>
      <w:r w:rsidRPr="00F359E1">
        <w:rPr>
          <w:rFonts w:cstheme="minorHAnsi"/>
          <w:b/>
          <w:sz w:val="22"/>
          <w:szCs w:val="22"/>
        </w:rPr>
        <w:t>:</w:t>
      </w:r>
      <w:r w:rsidRPr="00F359E1">
        <w:rPr>
          <w:rFonts w:cstheme="minorHAnsi"/>
          <w:bCs/>
          <w:sz w:val="22"/>
          <w:szCs w:val="22"/>
        </w:rPr>
        <w:t xml:space="preserve"> </w:t>
      </w:r>
      <w:r w:rsidRPr="00B24291">
        <w:rPr>
          <w:rFonts w:cstheme="minorHAnsi"/>
          <w:bCs/>
          <w:sz w:val="22"/>
          <w:szCs w:val="22"/>
        </w:rPr>
        <w:t xml:space="preserve">Traditional chemically induced </w:t>
      </w:r>
      <w:r>
        <w:rPr>
          <w:rFonts w:cstheme="minorHAnsi"/>
          <w:bCs/>
          <w:sz w:val="22"/>
          <w:szCs w:val="22"/>
        </w:rPr>
        <w:t xml:space="preserve">mouse </w:t>
      </w:r>
      <w:r w:rsidRPr="00B24291">
        <w:rPr>
          <w:rFonts w:cstheme="minorHAnsi"/>
          <w:bCs/>
          <w:sz w:val="22"/>
          <w:szCs w:val="22"/>
        </w:rPr>
        <w:t>models of IM</w:t>
      </w:r>
      <w:r w:rsidR="00191B03">
        <w:rPr>
          <w:rFonts w:cstheme="minorHAnsi"/>
          <w:bCs/>
          <w:sz w:val="22"/>
          <w:szCs w:val="22"/>
        </w:rPr>
        <w:t>-</w:t>
      </w:r>
      <w:r w:rsidRPr="00B24291">
        <w:rPr>
          <w:rFonts w:cstheme="minorHAnsi"/>
          <w:bCs/>
          <w:sz w:val="22"/>
          <w:szCs w:val="22"/>
        </w:rPr>
        <w:t xml:space="preserve">GD do not reflect the complexity, chronicity, </w:t>
      </w:r>
      <w:r w:rsidR="00191B03">
        <w:rPr>
          <w:rFonts w:cstheme="minorHAnsi"/>
          <w:bCs/>
          <w:sz w:val="22"/>
          <w:szCs w:val="22"/>
        </w:rPr>
        <w:t xml:space="preserve">relapsing </w:t>
      </w:r>
      <w:r w:rsidRPr="00B24291">
        <w:rPr>
          <w:rFonts w:cstheme="minorHAnsi"/>
          <w:bCs/>
          <w:sz w:val="22"/>
          <w:szCs w:val="22"/>
        </w:rPr>
        <w:t xml:space="preserve">or heterogeneity of paediatric </w:t>
      </w:r>
      <w:r w:rsidR="00191B03">
        <w:rPr>
          <w:rFonts w:cstheme="minorHAnsi"/>
          <w:bCs/>
          <w:sz w:val="22"/>
          <w:szCs w:val="22"/>
        </w:rPr>
        <w:t xml:space="preserve">inflammatory </w:t>
      </w:r>
      <w:r w:rsidRPr="00B24291">
        <w:rPr>
          <w:rFonts w:cstheme="minorHAnsi"/>
          <w:bCs/>
          <w:sz w:val="22"/>
          <w:szCs w:val="22"/>
        </w:rPr>
        <w:t xml:space="preserve">disease. Genetically engineered and humanised </w:t>
      </w:r>
      <w:r>
        <w:rPr>
          <w:rFonts w:cstheme="minorHAnsi"/>
          <w:bCs/>
          <w:sz w:val="22"/>
          <w:szCs w:val="22"/>
        </w:rPr>
        <w:t xml:space="preserve">mouse </w:t>
      </w:r>
      <w:r w:rsidRPr="00B24291">
        <w:rPr>
          <w:rFonts w:cstheme="minorHAnsi"/>
          <w:bCs/>
          <w:sz w:val="22"/>
          <w:szCs w:val="22"/>
        </w:rPr>
        <w:t xml:space="preserve">models now offer improved biological relevance, enabling the study of disease mechanisms, immune </w:t>
      </w:r>
      <w:r>
        <w:rPr>
          <w:rFonts w:cstheme="minorHAnsi"/>
          <w:bCs/>
          <w:sz w:val="22"/>
          <w:szCs w:val="22"/>
        </w:rPr>
        <w:t>regulation and therapeutic response</w:t>
      </w:r>
      <w:r w:rsidRPr="00B24291">
        <w:rPr>
          <w:rFonts w:cstheme="minorHAnsi"/>
          <w:bCs/>
          <w:sz w:val="22"/>
          <w:szCs w:val="22"/>
        </w:rPr>
        <w:t xml:space="preserve">. </w:t>
      </w:r>
      <w:r w:rsidRPr="001C0D1B">
        <w:rPr>
          <w:rFonts w:cstheme="minorHAnsi"/>
          <w:bCs/>
          <w:sz w:val="22"/>
          <w:szCs w:val="22"/>
        </w:rPr>
        <w:t>Alternative models such as zebrafish are also being explored for their ease of genetic manipulation and scalability for in vivo drug screening</w:t>
      </w:r>
      <w:r w:rsidR="00872595">
        <w:rPr>
          <w:rFonts w:cstheme="minorHAnsi"/>
          <w:bCs/>
          <w:sz w:val="22"/>
          <w:szCs w:val="22"/>
        </w:rPr>
        <w:t xml:space="preserve"> </w:t>
      </w:r>
      <w:r w:rsidR="00872595">
        <w:rPr>
          <w:rFonts w:cstheme="minorHAnsi"/>
          <w:bCs/>
          <w:sz w:val="22"/>
          <w:szCs w:val="22"/>
        </w:rPr>
        <w:fldChar w:fldCharType="begin"/>
      </w:r>
      <w:r w:rsidR="00642970">
        <w:rPr>
          <w:rFonts w:cstheme="minorHAnsi"/>
          <w:bCs/>
          <w:sz w:val="22"/>
          <w:szCs w:val="22"/>
        </w:rPr>
        <w:instrText xml:space="preserve"> ADDIN ZOTERO_ITEM CSL_CITATION {"citationID":"SUl3T1Zc","properties":{"formattedCitation":"(170)","plainCitation":"(170)","noteIndex":0},"citationItems":[{"id":611,"uris":["http://zotero.org/users/local/lvPLY4Gu/items/J7IGIZNY"],"itemData":{"id":611,"type":"article-journal","abstract":"The zebrafish is an important animal system for modeling human diseases. This includes kidney dysfunction as the embryonic kidney (pronephros) shares considerable molecular and morphological homology with the human nephron. A key clinical indicator of kidney disease is proteinuria, but a high-throughput readout of proteinuria in the zebrafish is currently lacking. To remedy this, we used the Tol2 transposon system to generate a transgenic zebrafish line that uses the fabp10a liver-specific promoter to over-express a nanoluciferase molecule fused with the D3 domain of Receptor-Associated Protein (a type of molecular chaperone) which we term NL-D3. Using a luminometer, we quantified proteinuria in NL-D3 zebrafish larvae by measuring the intensity of luminescence in the embryo medium. In the healthy state, NL-D3 is not excreted, but when embryos were treated with chemicals that affected either proximal tubular reabsorption (cisplatin, gentamicin) or glomerular filtration (angiotensin II, Hanks Balanced Salt Solution, Bovine Serum Albumin), NL-D3 is detected in fish medium. Similarly, depletion of several gene products associated with kidney disease (nphs1, nphs2, lrp2a, ocrl, col4a3, and col4a4) also induced NL-D3 proteinuria. Treating col4a4 depleted zebrafish larvae (a model of Alport syndrome) with captopril reduced proteinuria in this system. Thus, our findings validate the use of the NL-D3 transgenic zebrafish as a robust and quantifiable proteinuria reporter. Hence, given the feasibility of high-throughput assays in zebrafish, this novel reporter will permit screening for drugs that ameliorate proteinuria, thereby prioritizing candidates for further translational studies.","container-title":"Kidney International","DOI":"10.1016/j.kint.2022.05.019","ISSN":"1523-1755","issue":"4","journalAbbreviation":"Kidney Int","language":"eng","note":"PMID: 35716957\nPMCID: PMC7614274","page":"815-827","source":"PubMed","title":"A novel nanoluciferase transgenic reporter measures proteinuria in zebrafish","volume":"102","author":[{"family":"Naylor","given":"Richard W."},{"family":"Lemarie","given":"Emmanuel"},{"family":"Jackson-Crawford","given":"Anthony"},{"family":"Davenport","given":"J. Bernard"},{"family":"Mironov","given":"Aleksandr"},{"family":"Lowe","given":"Martin"},{"family":"Lennon","given":"Rachel"}],"issued":{"date-parts":[["2022",10]]}}}],"schema":"https://github.com/citation-style-language/schema/raw/master/csl-citation.json"} </w:instrText>
      </w:r>
      <w:r w:rsidR="00872595">
        <w:rPr>
          <w:rFonts w:cstheme="minorHAnsi"/>
          <w:bCs/>
          <w:sz w:val="22"/>
          <w:szCs w:val="22"/>
        </w:rPr>
        <w:fldChar w:fldCharType="separate"/>
      </w:r>
      <w:r w:rsidR="00642970">
        <w:rPr>
          <w:rFonts w:cstheme="minorHAnsi"/>
          <w:bCs/>
          <w:noProof/>
          <w:sz w:val="22"/>
          <w:szCs w:val="22"/>
        </w:rPr>
        <w:t>(170)</w:t>
      </w:r>
      <w:r w:rsidR="00872595">
        <w:rPr>
          <w:rFonts w:cstheme="minorHAnsi"/>
          <w:bCs/>
          <w:sz w:val="22"/>
          <w:szCs w:val="22"/>
        </w:rPr>
        <w:fldChar w:fldCharType="end"/>
      </w:r>
      <w:r w:rsidRPr="001C0D1B">
        <w:rPr>
          <w:rFonts w:cstheme="minorHAnsi"/>
          <w:bCs/>
          <w:sz w:val="22"/>
          <w:szCs w:val="22"/>
        </w:rPr>
        <w:t>.</w:t>
      </w:r>
      <w:r>
        <w:rPr>
          <w:rFonts w:cstheme="minorHAnsi"/>
          <w:bCs/>
          <w:sz w:val="22"/>
          <w:szCs w:val="22"/>
        </w:rPr>
        <w:t xml:space="preserve"> Such </w:t>
      </w:r>
      <w:r w:rsidRPr="00B24291">
        <w:rPr>
          <w:rFonts w:cstheme="minorHAnsi"/>
          <w:bCs/>
          <w:sz w:val="22"/>
          <w:szCs w:val="22"/>
        </w:rPr>
        <w:t xml:space="preserve">models can also be compared directly with human tissue datasets to assess translational </w:t>
      </w:r>
      <w:r>
        <w:rPr>
          <w:rFonts w:cstheme="minorHAnsi"/>
          <w:bCs/>
          <w:sz w:val="22"/>
          <w:szCs w:val="22"/>
        </w:rPr>
        <w:t>validity</w:t>
      </w:r>
      <w:r w:rsidR="00872595">
        <w:rPr>
          <w:rFonts w:cstheme="minorHAnsi"/>
          <w:bCs/>
          <w:sz w:val="22"/>
          <w:szCs w:val="22"/>
        </w:rPr>
        <w:t xml:space="preserve"> </w:t>
      </w:r>
      <w:r w:rsidR="00872595">
        <w:rPr>
          <w:rFonts w:cstheme="minorHAnsi"/>
          <w:bCs/>
          <w:sz w:val="22"/>
          <w:szCs w:val="22"/>
        </w:rPr>
        <w:fldChar w:fldCharType="begin"/>
      </w:r>
      <w:r w:rsidR="00642970">
        <w:rPr>
          <w:rFonts w:cstheme="minorHAnsi"/>
          <w:bCs/>
          <w:sz w:val="22"/>
          <w:szCs w:val="22"/>
        </w:rPr>
        <w:instrText xml:space="preserve"> ADDIN ZOTERO_ITEM CSL_CITATION {"citationID":"8yvQonY1","properties":{"formattedCitation":"(171\\uc0\\u8211{}173)","plainCitation":"(171–173)","noteIndex":0},"citationItems":[{"id":614,"uris":["http://zotero.org/users/local/lvPLY4Gu/items/R4BLMG2Y"],"itemData":{"id":614,"type":"article-journal","abstract":"WT1 encodes a podocyte transcription factor whose variants can cause an untreatable glomerular disease in early childhood. Although WT1 regulates many podocyte genes, it is poorly understood which of them are initiators in disease and how they subsequently influence other cell-types in the glomerulus. We hypothesised that this could be resolved using single-cell RNA sequencing (scRNA-seq) and ligand-receptor analysis to profile glomerular cell-cell communication during the early stages of disease in mice harbouring an orthologous human mutation in WT1 (Wt1R394W/+). Podocytes were the most dysregulated cell-type in the early stages of Wt1R394W/+ disease, with disrupted angiogenic signalling between podocytes and the endothelium, including the significant downregulation of transcripts for the vascular factors Vegfa and Nrp1. These signalling changes preceded glomerular endothelial cell loss in advancing disease, a feature also observed in biopsy samples from human WT1 glomerulopathies. Addition of conditioned medium from murine Wt1R394W/+ primary podocytes to wild-type glomerular endothelial cells resulted in impaired endothelial looping and reduced vascular complexity. Despite the loss of key angiogenic molecules in Wt1R394W/+ podocytes, the pro-vascular molecule adrenomedullin was upregulated in Wt1R394W/+ podocytes and plasma and its further administration was able to rescue the impaired looping observed when glomerular endothelium was exposed to Wt1R394W/+ podocyte medium. In comparative analyses, adrenomedullin upregulation was part of a common injury signature across multiple murine and human glomerular disease datasets, whilst other gene changes were unique to WT1 disease. Collectively, our study describes a novel role for altered angiogenic signalling in the initiation of WT1 glomerulopathy. We also identify adrenomedullin as a proangiogenic factor, which despite being upregulated in early injury, offers an insufficient protective response due to the wider milieu of dampened vascular signalling that results in endothelial cell loss in later disease. © 2024 The Author(s). The Journal of Pathology published by John Wiley &amp; Sons Ltd on behalf of The Pathological Society of Great Britain and Ireland.","container-title":"The Journal of Pathology","DOI":"10.1002/path.6339","ISSN":"1096-9896","issue":"2","journalAbbreviation":"J Pathol","language":"eng","note":"PMID: 39177649","page":"212-227","source":"PubMed","title":"Single-cell transcriptomics identifies aberrant glomerular angiogenic signalling in the early stages of WT1 kidney disease","volume":"264","author":[{"family":"Chandler","given":"Jennifer C."},{"family":"Jafree","given":"Daniyal J."},{"family":"Malik","given":"Saif"},{"family":"Pomeranz","given":"Gideon"},{"family":"Ball","given":"Mary"},{"family":"Kolatsi-Joannou","given":"Maria"},{"family":"Piapi","given":"Alice"},{"family":"Mason","given":"William J."},{"family":"Benest","given":"Andrew V."},{"family":"Bates","given":"David O."},{"family":"Letunovska","given":"Aleksandra"},{"family":"Al-Saadi","given":"Reem"},{"family":"Rabant","given":"Marion"},{"family":"Boyer","given":"Olivia"},{"family":"Pritchard-Jones","given":"Kathy"},{"family":"Winyard","given":"Paul J."},{"family":"Mason","given":"Andrew S."},{"family":"Woolf","given":"Adrian S."},{"family":"Waters","given":"Aoife M."},{"family":"Long","given":"David A."}],"issued":{"date-parts":[["2024",10]]}}},{"id":616,"uris":["http://zotero.org/users/local/lvPLY4Gu/items/CGZHDV5Q"],"itemData":{"id":616,"type":"article-journal","abstract":"Lupus nephritis is a serious complication of systemic lupus erythematosus, mediated by IgG immune complex (IC) deposition in kidneys, with limited treatment options. Kidney macrophages are critical tissue sentinels that express IgG-binding Fcγ receptors (FcγRs), with previous studies identifying prenatally seeded resident macrophages as major IC responders. Using single-cell transcriptomic and spatial analyses in murine and human lupus nephritis, we sought to understand macrophage heterogeneity and subset-specific contributions in disease. In lupus nephritis, the cell fate trajectories of tissue-resident (TrMac) and monocyte-derived (MoMac) kidney macrophages were perturbed, with disease-associated transcriptional states indicating distinct pathogenic roles for TrMac and MoMac subsets. Lupus nephritis-associated MoMac subsets showed marked induction of FcγR response genes, avidly internalized circulating ICs, and presented IC-opsonized antigen. In contrast, lupus nephritis-associated TrMac subsets demonstrated limited IC uptake, but expressed monocyte chemoattractants, and their depletion attenuated monocyte recruitment to the kidney. TrMacs also produced B cell tissue niche factors, suggesting a role in supporting autoantibody-producing lymphoid aggregates. Extensive similarities were observed with human kidney macrophages, revealing cross-species transcriptional disruption in lupus nephritis. Overall, our study suggests a division of labor in the kidney macrophage response in lupus nephritis, with treatment implications - TrMacs orchestrate leukocyte recruitment while MoMacs take up and present IC antigen.","container-title":"JCI insight","DOI":"10.1172/jci.insight.159751","ISSN":"2379-3708","issue":"21","journalAbbreviation":"JCI Insight","language":"eng","note":"PMID: 36345939\nPMCID: PMC9675473","page":"e159751","source":"PubMed","title":"Distinct pathogenic roles for resident and monocyte-derived macrophages in lupus nephritis","volume":"7","author":[{"family":"Richoz","given":"Nathan"},{"family":"Tuong","given":"Zewen K."},{"family":"Loudon","given":"Kevin W."},{"family":"Patiño-Martínez","given":"Eduardo"},{"family":"Ferdinand","given":"John R."},{"family":"Portet","given":"Anaïs"},{"family":"Bashant","given":"Kathleen R."},{"family":"Thevenon","given":"Emeline"},{"family":"Rucci","given":"Francesca"},{"family":"Hoyler","given":"Thomas"},{"family":"Junt","given":"Tobias"},{"family":"Kaplan","given":"Mariana J."},{"family":"Siegel","given":"Richard M."},{"family":"Clatworthy","given":"Menna R."}],"issued":{"date-parts":[["2022",11,8]]}}},{"id":619,"uris":["http://zotero.org/users/local/lvPLY4Gu/items/CX96QPCL"],"itemData":{"id":619,"type":"article-journal","abstract":"Aberrant O-glycosylation of the IgA1 hinge region is a characteristic finding in patients with IgA nephropathy (IgAN) and is thought to contribute to immune-complex formation and kidney injury. Other studies have suggested that abnormalities in mucosal immunity and lymphocyte homing are major contributors to disease. We identified a family with IgAN segregating a heterozygous predicted loss-of-function (LOF) variant in GALNT14, the gene encoding N-acetylgalactosaminyltransferase 14, one of the enzymes involved in mucin-type protein O-glycosylation. While GALNT14 is expressed in IgA1-producing cells, carriers of the LOF variant did not have altered levels of poorly glycosylated IgA1, suggesting other disease mechanisms. Investigation of Galnt14-null mice revealed elevated serum IgA levels and ex vivo IgA production by B cells. These mice developed glomerular IgA deposition with aging and after induction of sterile colitis. Galnt14-null mice also displayed an attenuated mucin layer in the colon and redistribution of IgA-producing cells from mucosal to systemic sites. Adoptive-transfer experiments indicated impaired homing of spleen-derived Galnt14-deficient B lymphocytes, resulting in increased retention in peripheral blood. These findings suggest that abnormalities in O-glycosylation alter mucosal immunity and B lymphocyte homing, pointing to an expanded role of aberrant O-glycosylation in the pathogenesis of IgAN.","container-title":"The Journal of Clinical Investigation","DOI":"10.1172/JCI181164","ISSN":"1558-8238","issue":"10","journalAbbreviation":"J Clin Invest","language":"eng","note":"PMID: 40153534\nPMCID: PMC12077892","page":"e181164","source":"PubMed","title":"Loss of GalNAc-T14 links O-glycosylation defects to alterations in B cell homing in IgA nephropathy","volume":"135","author":[{"family":"Prakash","given":"Sindhuri"},{"family":"Steers","given":"Nicholas J."},{"family":"Li","given":"Yifu"},{"family":"Sanchez-Rodriguez","given":"Elena"},{"family":"Verbitsky","given":"Miguel"},{"family":"Robbins","given":"Isabel"},{"family":"Simpson","given":"Jenna"},{"family":"Pathak","given":"Sharvari"},{"family":"Raska","given":"Milan"},{"family":"Reily","given":"Colin"},{"family":"Ng","given":"Anna"},{"family":"Liang","given":"Judy"},{"family":"DeMaria","given":"Natalia"},{"family":"Katiraei","given":"Amanda"},{"family":"Stevens","given":"Kelsey O."},{"family":"Fischman","given":"Clara"},{"family":"Shapiro","given":"Samantha"},{"family":"Kodali","given":"Swetha"},{"family":"McCutchan","given":"Jason"},{"family":"Park","given":"Heekuk"},{"family":"Eliby","given":"Djamila"},{"family":"Delsante","given":"Marco"},{"family":"Allegri","given":"Landino"},{"family":"Fiaccadori","given":"Enrico"},{"family":"Bodria","given":"Monica"},{"family":"Marasa","given":"Maddalena"},{"family":"Raveche","given":"Elizabeth"},{"family":"Julian","given":"Bruce A."},{"family":"Uhlemann","given":"Anne-Catrin"},{"family":"Kiryluk","given":"Krzysztof"},{"family":"Zhang","given":"Hong"},{"family":"D'Agati","given":"Vivette D."},{"family":"Sanna-Cherchi","given":"Simone"},{"family":"Novak","given":"Jan"},{"family":"Gharavi","given":"Ali G."}],"issued":{"date-parts":[["2025",5,15]]}}}],"schema":"https://github.com/citation-style-language/schema/raw/master/csl-citation.json"} </w:instrText>
      </w:r>
      <w:r w:rsidR="00872595">
        <w:rPr>
          <w:rFonts w:cstheme="minorHAnsi"/>
          <w:bCs/>
          <w:sz w:val="22"/>
          <w:szCs w:val="22"/>
        </w:rPr>
        <w:fldChar w:fldCharType="separate"/>
      </w:r>
      <w:r w:rsidR="00642970" w:rsidRPr="00642970">
        <w:rPr>
          <w:rFonts w:ascii="Calibri" w:cs="Calibri"/>
          <w:sz w:val="22"/>
        </w:rPr>
        <w:t>(171–173)</w:t>
      </w:r>
      <w:r w:rsidR="00872595">
        <w:rPr>
          <w:rFonts w:cstheme="minorHAnsi"/>
          <w:bCs/>
          <w:sz w:val="22"/>
          <w:szCs w:val="22"/>
        </w:rPr>
        <w:fldChar w:fldCharType="end"/>
      </w:r>
      <w:r w:rsidRPr="00B24291">
        <w:rPr>
          <w:rFonts w:cstheme="minorHAnsi"/>
          <w:bCs/>
          <w:sz w:val="22"/>
          <w:szCs w:val="22"/>
        </w:rPr>
        <w:t xml:space="preserve">. </w:t>
      </w:r>
      <w:r>
        <w:rPr>
          <w:rFonts w:cstheme="minorHAnsi"/>
          <w:bCs/>
          <w:sz w:val="22"/>
          <w:szCs w:val="22"/>
        </w:rPr>
        <w:t>These systems</w:t>
      </w:r>
      <w:r w:rsidRPr="00B24291">
        <w:rPr>
          <w:rFonts w:cstheme="minorHAnsi"/>
          <w:bCs/>
          <w:sz w:val="22"/>
          <w:szCs w:val="22"/>
        </w:rPr>
        <w:t xml:space="preserve"> provide a platform for preclinical testing of targeted therapies, including gene- and cell-based </w:t>
      </w:r>
      <w:r w:rsidRPr="00890872">
        <w:rPr>
          <w:rFonts w:cstheme="minorHAnsi"/>
          <w:bCs/>
          <w:sz w:val="22"/>
          <w:szCs w:val="22"/>
        </w:rPr>
        <w:t>approaches</w:t>
      </w:r>
      <w:r>
        <w:rPr>
          <w:rFonts w:cstheme="minorHAnsi"/>
          <w:bCs/>
          <w:sz w:val="22"/>
          <w:szCs w:val="22"/>
        </w:rPr>
        <w:t xml:space="preserve">, </w:t>
      </w:r>
      <w:r w:rsidRPr="00B24291">
        <w:rPr>
          <w:rFonts w:cstheme="minorHAnsi"/>
          <w:bCs/>
          <w:sz w:val="22"/>
          <w:szCs w:val="22"/>
        </w:rPr>
        <w:t>before advancing to trials in children</w:t>
      </w:r>
      <w:r w:rsidR="00872595">
        <w:rPr>
          <w:rFonts w:cstheme="minorHAnsi"/>
          <w:bCs/>
          <w:sz w:val="22"/>
          <w:szCs w:val="22"/>
        </w:rPr>
        <w:t xml:space="preserve"> </w:t>
      </w:r>
      <w:r w:rsidR="00872595">
        <w:rPr>
          <w:rFonts w:cstheme="minorHAnsi"/>
          <w:bCs/>
          <w:sz w:val="22"/>
          <w:szCs w:val="22"/>
        </w:rPr>
        <w:fldChar w:fldCharType="begin"/>
      </w:r>
      <w:r w:rsidR="00642970">
        <w:rPr>
          <w:rFonts w:cstheme="minorHAnsi"/>
          <w:bCs/>
          <w:sz w:val="22"/>
          <w:szCs w:val="22"/>
        </w:rPr>
        <w:instrText xml:space="preserve"> ADDIN ZOTERO_ITEM CSL_CITATION {"citationID":"gMLkAKAd","properties":{"formattedCitation":"(174,175)","plainCitation":"(174,175)","noteIndex":0},"citationItems":[{"id":622,"uris":["http://zotero.org/users/local/lvPLY4Gu/items/F7XKA5UD"],"itemData":{"id":622,"type":"article-journal","abstract":"Plasma ultrafiltration in the kidney occurs across glomerular capillaries, which are surrounded by epithelial cells called podocytes. Podocytes have a unique shape maintained by a complex cytoskeleton, which becomes disrupted in glomerular disease resulting in defective filtration and albuminuria. Lack of endogenous thymosin β4 (TB4), an actin sequestering peptide, exacerbates glomerular injury and disrupts the organisation of the podocyte actin cytoskeleton, however, the potential of exogenous TB4 therapy to improve podocyte injury is unknown. Here, we have used Adriamycin (ADR), a toxin which injures podocytes and damages the glomerular filtration barrier leading to albuminuria in mice. Through interrogating single-cell RNA-sequencing data of isolated glomeruli we demonstrate that ADR injury results in reduced levels of podocyte TB4. Administration of an adeno-associated viral vector encoding TB4 increased the circulating level of TB4 and prevented ADR-induced podocyte loss and albuminuria. ADR injury was associated with disorganisation of the podocyte actin cytoskeleton in vitro, which was ameliorated by treatment with exogenous TB4. Collectively, we propose that systemic gene therapy with TB4 prevents podocyte injury and maintains glomerular filtration via protection of the podocyte cytoskeleton thus presenting a novel treatment strategy for glomerular disease.","container-title":"Scientific Reports","DOI":"10.1038/s41598-022-16287-z","ISSN":"2045-2322","issue":"1","journalAbbreviation":"Sci Rep","language":"eng","note":"PMID: 35842494\nPMCID: PMC9288454","page":"12172","source":"PubMed","title":"Systemic gene therapy with thymosin β4 alleviates glomerular injury in mice","volume":"12","author":[{"family":"Mason","given":"William J."},{"family":"Jafree","given":"Daniyal J."},{"family":"Pomeranz","given":"Gideon"},{"family":"Kolatsi-Joannou","given":"Maria"},{"family":"Rottner","given":"Antje K."},{"family":"Pacheco","given":"Sabrina"},{"family":"Moulding","given":"Dale A."},{"family":"Wolf","given":"Anja"},{"family":"Kupatt","given":"Christian"},{"family":"Peppiatt-Wildman","given":"Claire"},{"family":"Papakrivopoulou","given":"Eugenia"},{"family":"Riley","given":"Paul R."},{"family":"Long","given":"David A."},{"family":"Vasilopoulou","given":"Elisavet"}],"issued":{"date-parts":[["2022",7,16]]}}},{"id":625,"uris":["http://zotero.org/users/local/lvPLY4Gu/items/VHRRIEAS"],"itemData":{"id":625,"type":"article-journal","abstract":"Gene therapy for kidney diseases has proven challenging. Adeno-associated virus (AAV) is used as a vector for gene therapy targeting other organs, with particular success demonstrated in monogenic diseases. We aimed to establish gene therapy for the kidney by targeting a monogenic disease of the kidney podocyte. The most common cause of childhood genetic nephrotic syndrome is mutations in the podocyte gene NPHS2, encoding podocin. We used AAV-based gene therapy to rescue this genetic defect in human and mouse models of disease. In vitro transduction studies identified the AAV-LK03 serotype as a highly efficient transducer of human podocytes. AAV-LK03-mediated transduction of podocin in mutant human podocytes resulted in functional rescue in vitro, and AAV 2/9-mediated gene transfer in both the inducible podocin knockout and knock-in mouse models resulted in successful amelioration of kidney disease. A prophylactic approach of AAV 2/9 gene transfer before induction of disease in conditional knockout mice demonstrated improvements in albuminuria, plasma creatinine, plasma urea, plasma cholesterol, histological changes, and long-term survival. A therapeutic approach of AAV 2/9 gene transfer 2 weeks after disease induction in proteinuric conditional knock-in mice demonstrated improvement in urinary albuminuria at days 42 and 56 after disease induction, with corresponding improvements in plasma albumin. Therefore, we have demonstrated successful AAV-mediated gene rescue in a monogenic renal disease and established the podocyte as a tractable target for gene therapy approaches.","container-title":"Science Translational Medicine","DOI":"10.1126/scitranslmed.abc8226","ISSN":"1946-6242","issue":"708","journalAbbreviation":"Sci Transl Med","language":"eng","note":"PMID: 37556557","page":"eabc8226","source":"PubMed","title":"Adeno-associated virus gene therapy prevents progression of kidney disease in genetic models of nephrotic syndrome","volume":"15","author":[{"family":"Ding","given":"Wen Y."},{"family":"Kuzmuk","given":"Valeryia"},{"family":"Hunter","given":"Sarah"},{"family":"Lay","given":"Abigail"},{"family":"Hayes","given":"Bryony"},{"family":"Beesley","given":"Matthew"},{"family":"Rollason","given":"Ruth"},{"family":"Hurcombe","given":"Jennifer A."},{"family":"Barrington","given":"Fern"},{"family":"Masson","given":"Catrin"},{"family":"Cathery","given":"William"},{"family":"May","given":"Carl"},{"family":"Tuffin","given":"Jack"},{"family":"Roberts","given":"Timothy"},{"family":"Mollet","given":"Geraldine"},{"family":"Chu","given":"Colin J."},{"family":"McIntosh","given":"Jenny"},{"family":"Coward","given":"Richard J."},{"family":"Antignac","given":"Corinne"},{"family":"Nathwani","given":"Amit"},{"family":"Welsh","given":"Gavin I."},{"family":"Saleem","given":"Moin A."}],"issued":{"date-parts":[["2023",8,9]]}}}],"schema":"https://github.com/citation-style-language/schema/raw/master/csl-citation.json"} </w:instrText>
      </w:r>
      <w:r w:rsidR="00872595">
        <w:rPr>
          <w:rFonts w:cstheme="minorHAnsi"/>
          <w:bCs/>
          <w:sz w:val="22"/>
          <w:szCs w:val="22"/>
        </w:rPr>
        <w:fldChar w:fldCharType="separate"/>
      </w:r>
      <w:r w:rsidR="00642970">
        <w:rPr>
          <w:rFonts w:cstheme="minorHAnsi"/>
          <w:bCs/>
          <w:noProof/>
          <w:sz w:val="22"/>
          <w:szCs w:val="22"/>
        </w:rPr>
        <w:t>(174,175)</w:t>
      </w:r>
      <w:r w:rsidR="00872595">
        <w:rPr>
          <w:rFonts w:cstheme="minorHAnsi"/>
          <w:bCs/>
          <w:sz w:val="22"/>
          <w:szCs w:val="22"/>
        </w:rPr>
        <w:fldChar w:fldCharType="end"/>
      </w:r>
      <w:r>
        <w:rPr>
          <w:rFonts w:cstheme="minorHAnsi"/>
          <w:bCs/>
          <w:sz w:val="22"/>
          <w:szCs w:val="22"/>
        </w:rPr>
        <w:t>.</w:t>
      </w:r>
    </w:p>
    <w:p w14:paraId="567AE387" w14:textId="02B718E2" w:rsidR="00D97459" w:rsidRDefault="00D97459" w:rsidP="00D97459">
      <w:pPr>
        <w:spacing w:after="160" w:line="360" w:lineRule="auto"/>
        <w:ind w:left="720"/>
        <w:jc w:val="both"/>
        <w:rPr>
          <w:rFonts w:cstheme="minorHAnsi"/>
          <w:bCs/>
          <w:sz w:val="22"/>
          <w:szCs w:val="22"/>
        </w:rPr>
      </w:pPr>
      <w:r w:rsidRPr="001C0D1B">
        <w:rPr>
          <w:rFonts w:cstheme="minorHAnsi"/>
          <w:b/>
          <w:sz w:val="22"/>
          <w:szCs w:val="22"/>
        </w:rPr>
        <w:t xml:space="preserve">Patient-derived </w:t>
      </w:r>
      <w:r w:rsidRPr="001C0D1B">
        <w:rPr>
          <w:rFonts w:cstheme="minorHAnsi"/>
          <w:b/>
          <w:i/>
          <w:iCs/>
          <w:sz w:val="22"/>
          <w:szCs w:val="22"/>
        </w:rPr>
        <w:t>in vitro</w:t>
      </w:r>
      <w:r w:rsidRPr="001C0D1B">
        <w:rPr>
          <w:rFonts w:cstheme="minorHAnsi"/>
          <w:b/>
          <w:sz w:val="22"/>
          <w:szCs w:val="22"/>
        </w:rPr>
        <w:t xml:space="preserve"> models:</w:t>
      </w:r>
      <w:r>
        <w:rPr>
          <w:rFonts w:cstheme="minorHAnsi"/>
          <w:bCs/>
          <w:sz w:val="22"/>
          <w:szCs w:val="22"/>
        </w:rPr>
        <w:t xml:space="preserve"> </w:t>
      </w:r>
      <w:r w:rsidRPr="001C0D1B">
        <w:rPr>
          <w:rFonts w:cstheme="minorHAnsi"/>
          <w:bCs/>
          <w:sz w:val="22"/>
          <w:szCs w:val="22"/>
        </w:rPr>
        <w:t xml:space="preserve">Emerging </w:t>
      </w:r>
      <w:r>
        <w:rPr>
          <w:rFonts w:cstheme="minorHAnsi"/>
          <w:bCs/>
          <w:sz w:val="22"/>
          <w:szCs w:val="22"/>
        </w:rPr>
        <w:t xml:space="preserve">organoid technologies, complex cell co-culture models </w:t>
      </w:r>
      <w:r w:rsidR="00872595">
        <w:rPr>
          <w:rFonts w:cstheme="minorHAnsi"/>
          <w:bCs/>
          <w:sz w:val="22"/>
          <w:szCs w:val="22"/>
        </w:rPr>
        <w:fldChar w:fldCharType="begin"/>
      </w:r>
      <w:r w:rsidR="00642970">
        <w:rPr>
          <w:rFonts w:cstheme="minorHAnsi"/>
          <w:bCs/>
          <w:sz w:val="22"/>
          <w:szCs w:val="22"/>
        </w:rPr>
        <w:instrText xml:space="preserve"> ADDIN ZOTERO_ITEM CSL_CITATION {"citationID":"KkKPaWWJ","properties":{"formattedCitation":"(176\\uc0\\u8211{}179)","plainCitation":"(176–179)","noteIndex":0},"citationItems":[{"id":628,"uris":["http://zotero.org/users/local/lvPLY4Gu/items/4LVU4BMX"],"itemData":{"id":628,"type":"article-journal","abstract":"The glomerulus is the filtration unit of the kidney. Injury to any component of this specialised structure leads to impaired filtration and eventually fibrosis and chronic kidney disease. Current two and three dimensional (2D and 3D) models that attempt to recreate structure and interplay between glomerular cells are imperfect. Most 2D models are simplistic and unrepresentative, and 3D organoid approaches are currently difficult to reproduce at scale and do not fit well with current industrial drug-screening approaches. Here we report a rapidly generated and highly reproducible 3D co-culture spheroid model (GlomSpheres), better demonstrating the specialised physical and molecular structure of a glomerulus. Co-cultured using a magnetic spheroid formation approach, conditionally immortalised (CI) human podocytes and glomerular endothelial cells (GEnCs) deposited mature, organized isoforms of collagen IV and Laminin. We demonstrate a dramatic upregulation of key podocyte (podocin, nephrin and podocalyxin) and GEnC (pecam-1) markers. Electron microscopy revealed podocyte foot process interdigitation and endothelial vessel formation. Incubation with pro-fibrotic agents (TGF-β1, Adriamycin) induced extracellular matrix (ECM) dysregulation and podocyte loss, which were attenuated by the anti-fibrotic agent Nintedanib. Incubation with plasma from patients with kidney disease induced acute podocyte loss and ECM dysregulation relative to patient matched remission plasma, and Nintedanib reduced podocyte loss. Finally, we developed a rapid imaging approach to demonstrate the model’s usefulness in higher throughput pharmaceutical screening. GlomSpheres therefore represent a robust, scalable, replacement for 2D in vitro glomerular disease models.","container-title":"Communications Biology","DOI":"10.1038/s42003-021-02868-7","ISSN":"2399-3642","issue":"1","journalAbbreviation":"Commun Biol","language":"en","license":"2021 The Author(s)","note":"publisher: Nature Publishing Group","page":"1351","source":"www.nature.com","title":"GlomSpheres as a 3D co-culture spheroid model of the kidney glomerulus for rapid drug-screening","volume":"4","author":[{"family":"Tuffin","given":"Jack"},{"family":"Chesor","given":"Musleeha"},{"family":"Kuzmuk","given":"Valeryia"},{"family":"Johnson","given":"Tim"},{"family":"Satchell","given":"Simon C."},{"family":"Welsh","given":"Gavin I."},{"family":"Saleem","given":"Moin A."}],"issued":{"date-parts":[["2021",12,2]]}}},{"id":630,"uris":["http://zotero.org/users/local/lvPLY4Gu/items/B2CW4T7K"],"itemData":{"id":630,"type":"article-journal","abstract":"Hepatocyte nuclear factor 1B (HNF1B) encodes a transcription factor expressed in developing human kidney epithelia. Heterozygous HNF1B mutations are the commonest monogenic cause of dysplastic kidney malformations (DKMs). To understand their pathobiology, we generated heterozygous HNF1B mutant kidney organoids from CRISPR-Cas9 gene-edited human embryonic stem cells (ESCs) and induced pluripotent stem cells (iPSCs) reprogrammed from a family with HNF1B-associated DKMs. Mutant organoids contained enlarged malformed tubules displaying deregulated cell turnover. Numerous genes implicated in Mendelian kidney tubulopathies were downregulated, and mutant tubules resisted the cyclic AMP (cAMP)-mediated dilatation seen in controls. Bulk and single-cell RNA sequencing (scRNA-seq) analyses indicated abnormal Wingless/Integrated (WNT), calcium, and glutamatergic pathways, the latter hitherto unstudied in developing kidneys. Glutamate ionotropic receptor kainate type subunit 3 (GRIK3) was upregulated in malformed mutant nephron tubules and prominent in HNF1B mutant fetal human dysplastic kidney epithelia. These results reveal morphological, molecular, and physiological roles for HNF1B in human kidney tubule differentiation and morphogenesis illuminating the developmental origin of mutant-HNF1B-causing kidney disease.","container-title":"Stem Cell Reports","DOI":"10.1016/j.stemcr.2024.04.011","ISSN":"2213-6711","issue":"6","journalAbbreviation":"Stem Cell Reports","language":"eng","note":"PMID: 38788724\nPMCID: PMC11297557","page":"859-876","source":"PubMed","title":"Human pluripotent stem cell-derived kidney organoids reveal tubular epithelial pathobiology of heterozygous HNF1B-associated dysplastic kidney malformations","volume":"19","author":[{"family":"Bantounas","given":"Ioannis"},{"family":"Rooney","given":"Kirsty M."},{"family":"Lopes","given":"Filipa M."},{"family":"Tengku","given":"Faris"},{"family":"Woods","given":"Steven"},{"family":"Zeef","given":"Leo A. H."},{"family":"Lin","given":"I.-Hsuan"},{"family":"Kuba","given":"Shweta Y."},{"family":"Bates","given":"Nicola"},{"family":"Hummelgaard","given":"Sandra"},{"family":"Hillman","given":"Katherine A."},{"family":"Cereghini","given":"Silvia"},{"family":"Woolf","given":"Adrian S."},{"family":"Kimber","given":"Susan J."}],"issued":{"date-parts":[["2024",6,11]]}}},{"id":633,"uris":["http://zotero.org/users/local/lvPLY4Gu/items/SWLK5RZA"],"itemData":{"id":633,"type":"article-journal","abstract":"The podocytes within the glomeruli of the kidney maintain the filtration barrier by forming interdigitating foot processes with intervening slit diaphragms, disruption in which results in proteinuria. Studies into human podocytopathies to date have employed primary or immortalised podocyte cell lines cultured in 2D. Here we compare 3D human glomeruli sieved from induced pluripotent stem cell-derived kidney organoids with conditionally immortalised human podocyte cell lines, revealing improved podocyte-specific gene expression, maintenance in vitro of polarised protein localisation and an improved glomerular basement membrane matrisome compared to 2D cultures. Organoid-derived glomeruli retain marker expression in culture for 96 h, proving amenable to toxicity screening. In addition, 3D organoid glomeruli from a congenital nephrotic syndrome patient with compound heterozygous NPHS1 mutations reveal reduced protein levels of both NEPHRIN and PODOCIN. Hence, human iPSC-derived organoid glomeruli represent an accessible approach to the in vitro modelling of human podocytopathies and screening for podocyte toxicity.","container-title":"Nature Communications","DOI":"10.1038/s41467-018-07594-z","ISSN":"2041-1723","issue":"1","journalAbbreviation":"Nat Commun","language":"eng","note":"PMID: 30514835\nPMCID: PMC6279764","page":"5167","source":"PubMed","title":"3D organoid-derived human glomeruli for personalised podocyte disease modelling and drug screening","volume":"9","author":[{"family":"Hale","given":"Lorna J."},{"family":"Howden","given":"Sara E."},{"family":"Phipson","given":"Belinda"},{"family":"Lonsdale","given":"Andrew"},{"family":"Er","given":"Pei X."},{"family":"Ghobrial","given":"Irene"},{"family":"Hosawi","given":"Salman"},{"family":"Wilson","given":"Sean"},{"family":"Lawlor","given":"Kynan T."},{"family":"Khan","given":"Shahnaz"},{"family":"Oshlack","given":"Alicia"},{"family":"Quinlan","given":"Catherine"},{"family":"Lennon","given":"Rachel"},{"family":"Little","given":"Melissa H."}],"issued":{"date-parts":[["2018",12,4]]}}},{"id":636,"uris":["http://zotero.org/users/local/lvPLY4Gu/items/7FURP5L6"],"itemData":{"id":636,"type":"article-journal","abstract":"Kidney podocytes and endothelial cells assemble a complex and dynamic basement membrane that is essential for kidney filtration. Whilst many components of this specialised matrix are known, the influence of fluid flow on its assembly and organisation remains poorly understood. Using the coculture of podocytes and glomerular endothelial cells in a low-shear stress, high-flow bioreactor, we investigated the effect of laminar fluid flow on the composition and assembly of cell-derived matrix. With immunofluorescence and matrix image analysis we found flow-mediated remodelling of collagen IV. Using proteomic analysis of the cell-derived matrix we identified changes in both abundance and composition of matrix proteins under flow, including the collagen-modifying enzyme, prolyl 4-hydroxylase (P4HA1). To track collagen IV assembly, we used CRISPR-Cas9 to knock in the luminescent marker HiBiT to the endogenous COL4A2 gene in podocytes. With this system, we found that collagen IV was secreted and accumulated consistently under both static and flow conditions. However knockdown of P4HA1 in podocytes led to a reduction in the secretion of collagen IV and this was more pronounced under flow. Together, this work demonstrates the effect of fluid flow on the composition, modification, and organisation of kidney cell-derived matrix and provides an in vitro system for investigating flow-induced matrix alteration in the context of kidney development and disease.","container-title":"Cells &amp; Development","DOI":"10.1016/j.cdev.2024.203923","ISSN":"2667-2901","journalAbbreviation":"Cells &amp; Development","page":"203923","source":"ScienceDirect","title":"Collagen IV assembly is influenced by fluid flow in kidney cell-derived matrices","volume":"179","author":[{"family":"Tian","given":"Pinyuan"},{"family":"Koudis","given":"Nikki-Maria"},{"family":"Morais","given":"Mychel R. P. T."},{"family":"Pickard","given":"Adam"},{"family":"Fresquet","given":"Maryline"},{"family":"Adamson","given":"Antony"},{"family":"Derby","given":"Brian"},{"family":"Lennon","given":"Rachel"}],"issued":{"date-parts":[["2024",9,1]]}}}],"schema":"https://github.com/citation-style-language/schema/raw/master/csl-citation.json"} </w:instrText>
      </w:r>
      <w:r w:rsidR="00872595">
        <w:rPr>
          <w:rFonts w:cstheme="minorHAnsi"/>
          <w:bCs/>
          <w:sz w:val="22"/>
          <w:szCs w:val="22"/>
        </w:rPr>
        <w:fldChar w:fldCharType="separate"/>
      </w:r>
      <w:r w:rsidR="00642970" w:rsidRPr="00642970">
        <w:rPr>
          <w:rFonts w:ascii="Calibri" w:cs="Calibri"/>
          <w:sz w:val="22"/>
        </w:rPr>
        <w:t>(176–179)</w:t>
      </w:r>
      <w:r w:rsidR="00872595">
        <w:rPr>
          <w:rFonts w:cstheme="minorHAnsi"/>
          <w:bCs/>
          <w:sz w:val="22"/>
          <w:szCs w:val="22"/>
        </w:rPr>
        <w:fldChar w:fldCharType="end"/>
      </w:r>
      <w:r w:rsidR="00872595">
        <w:rPr>
          <w:rFonts w:cstheme="minorHAnsi"/>
          <w:bCs/>
          <w:sz w:val="22"/>
          <w:szCs w:val="22"/>
        </w:rPr>
        <w:t xml:space="preserve"> </w:t>
      </w:r>
      <w:r>
        <w:rPr>
          <w:rFonts w:cstheme="minorHAnsi"/>
          <w:bCs/>
          <w:sz w:val="22"/>
          <w:szCs w:val="22"/>
        </w:rPr>
        <w:t xml:space="preserve">and </w:t>
      </w:r>
      <w:r w:rsidRPr="001C0D1B">
        <w:rPr>
          <w:rFonts w:cstheme="minorHAnsi"/>
          <w:bCs/>
          <w:sz w:val="22"/>
          <w:szCs w:val="22"/>
        </w:rPr>
        <w:t>glomerulus-on-a-chip platforms</w:t>
      </w:r>
      <w:r w:rsidR="00B72AAC">
        <w:rPr>
          <w:rFonts w:cstheme="minorHAnsi"/>
          <w:bCs/>
          <w:sz w:val="22"/>
          <w:szCs w:val="22"/>
        </w:rPr>
        <w:t xml:space="preserve"> </w:t>
      </w:r>
      <w:r w:rsidR="00291AC3">
        <w:rPr>
          <w:rFonts w:cstheme="minorHAnsi"/>
          <w:bCs/>
          <w:sz w:val="22"/>
          <w:szCs w:val="22"/>
        </w:rPr>
        <w:fldChar w:fldCharType="begin"/>
      </w:r>
      <w:r w:rsidR="00642970">
        <w:rPr>
          <w:rFonts w:cstheme="minorHAnsi"/>
          <w:bCs/>
          <w:sz w:val="22"/>
          <w:szCs w:val="22"/>
        </w:rPr>
        <w:instrText xml:space="preserve"> ADDIN ZOTERO_ITEM CSL_CITATION {"citationID":"f3y8bwWP","properties":{"formattedCitation":"(180)","plainCitation":"(180)","noteIndex":0},"citationItems":[{"id":641,"uris":["http://zotero.org/users/local/lvPLY4Gu/items/WTEMWUHM"],"itemData":{"id":641,"type":"article","abstract":"Introduction Focal segmental glomerulosclerosis (FSGS) is a significant cause of chronic kidney disease and triggered by podocyte damage which can result in cytoskeletal alterations leading to foot process effacement. Vincristine is a chemoprotective drug which alters cytoskeletal microtubules and has been used clinically to reverse FSGS. However, the mechanisms underlying the beneficial effect of vincristine are not understood.\nMethods We exposed immortalised human podocytes to serum obtained from an FSGS patient before, during, and after vincristine treatment. Using RNA-sequencing we determined the effect on the podocyte transcriptome alongside impacts on cytoskeletal structure and filtration barrier integrity using a glomerulus-on-a-chip model.\nResults We describe an adult index FSGS patient successfully treated on multiple occasions by vincristine. Podocytes exposed to serum obtained during or after vincristine treatment contained lower levels of genes associated with microtubule function compared with cells stimulated with serum collected before treatment during disease presentation. Presentation serum altered the patterning of two key podocyte cytoskeletal components, tubulin and F-actin and increased albumin permeability, changes prevented by vincristine treatment. Immunoglobulin depletion experiments revealed that the podocyte damage initiated by the presentation serum was not due to circulating autoantibodies. Defects in tubulin patterning were observed when podocytes were exposed to serum from other FSGS patients, suggestive of a common disease mechanism.\nConclusion Vincristine therapy produces a milieu that protects against pathological changes induced by FSGS serum, associated with preservation of tubulin and F-actin organisation. The functional role of vincristine warrants further investigation, to advance our understanding of this alternative FSGS therapeutic.","DOI":"10.1101/2024.11.13.623397","language":"en","license":"© 2024, Posted by Cold Spring Harbor Laboratory. This pre-print is available under a Creative Commons License (Attribution-NonCommercial-NoDerivs 4.0 International), CC BY-NC-ND 4.0, as described at http://creativecommons.org/licenses/by-nc-nd/4.0/","note":"page: 2024.11.13.623397\nsection: New Results","publisher":"bioRxiv","source":"bioRxiv","title":"Vincristine treatment reverses podocyte damage in focal segmental glomerulosclerosis","URL":"https://www.biorxiv.org/content/10.1101/2024.11.13.623397v1","author":[{"family":"Mason","given":"William J."},{"family":"Chandler","given":"Jennifer C."},{"family":"Pomeranz","given":"Gideon"},{"family":"Price","given":"Karen L."},{"family":"Antonelou","given":"Marilina"},{"family":"Henderson","given":"Scott R."},{"family":"Perin","given":"Laura"},{"family":"Sacco","given":"Stefano Da"},{"family":"Salama","given":"Alan D."},{"family":"Long","given":"David A."},{"family":"Pepper","given":"Ruth J."}],"accessed":{"date-parts":[["2025",7,9]]},"issued":{"date-parts":[["2024",11,15]]}}}],"schema":"https://github.com/citation-style-language/schema/raw/master/csl-citation.json"} </w:instrText>
      </w:r>
      <w:r w:rsidR="00291AC3">
        <w:rPr>
          <w:rFonts w:cstheme="minorHAnsi"/>
          <w:bCs/>
          <w:sz w:val="22"/>
          <w:szCs w:val="22"/>
        </w:rPr>
        <w:fldChar w:fldCharType="separate"/>
      </w:r>
      <w:r w:rsidR="00642970">
        <w:rPr>
          <w:rFonts w:cstheme="minorHAnsi"/>
          <w:bCs/>
          <w:noProof/>
          <w:sz w:val="22"/>
          <w:szCs w:val="22"/>
        </w:rPr>
        <w:t>(180)</w:t>
      </w:r>
      <w:r w:rsidR="00291AC3">
        <w:rPr>
          <w:rFonts w:cstheme="minorHAnsi"/>
          <w:bCs/>
          <w:sz w:val="22"/>
          <w:szCs w:val="22"/>
        </w:rPr>
        <w:fldChar w:fldCharType="end"/>
      </w:r>
      <w:r w:rsidR="00291AC3">
        <w:rPr>
          <w:rFonts w:cstheme="minorHAnsi"/>
          <w:bCs/>
          <w:sz w:val="22"/>
          <w:szCs w:val="22"/>
        </w:rPr>
        <w:t xml:space="preserve"> </w:t>
      </w:r>
      <w:r w:rsidRPr="001C0D1B">
        <w:rPr>
          <w:rFonts w:cstheme="minorHAnsi"/>
          <w:bCs/>
          <w:sz w:val="22"/>
          <w:szCs w:val="22"/>
        </w:rPr>
        <w:t>replicate key features of the glomerular filtration barrier</w:t>
      </w:r>
      <w:r>
        <w:rPr>
          <w:rFonts w:cstheme="minorHAnsi"/>
          <w:bCs/>
          <w:sz w:val="22"/>
          <w:szCs w:val="22"/>
        </w:rPr>
        <w:t xml:space="preserve"> and offer </w:t>
      </w:r>
      <w:r w:rsidR="00191B03">
        <w:rPr>
          <w:rFonts w:cstheme="minorHAnsi"/>
          <w:bCs/>
          <w:sz w:val="22"/>
          <w:szCs w:val="22"/>
        </w:rPr>
        <w:t>improv</w:t>
      </w:r>
      <w:r w:rsidRPr="001C0D1B">
        <w:rPr>
          <w:rFonts w:cstheme="minorHAnsi"/>
          <w:bCs/>
          <w:sz w:val="22"/>
          <w:szCs w:val="22"/>
        </w:rPr>
        <w:t>ed systems to study IM</w:t>
      </w:r>
      <w:r w:rsidR="00191B03">
        <w:rPr>
          <w:rFonts w:cstheme="minorHAnsi"/>
          <w:bCs/>
          <w:sz w:val="22"/>
          <w:szCs w:val="22"/>
        </w:rPr>
        <w:t>-</w:t>
      </w:r>
      <w:r w:rsidRPr="001C0D1B">
        <w:rPr>
          <w:rFonts w:cstheme="minorHAnsi"/>
          <w:bCs/>
          <w:sz w:val="22"/>
          <w:szCs w:val="22"/>
        </w:rPr>
        <w:t xml:space="preserve">GD. </w:t>
      </w:r>
      <w:r>
        <w:rPr>
          <w:rFonts w:cstheme="minorHAnsi"/>
          <w:bCs/>
          <w:sz w:val="22"/>
          <w:szCs w:val="22"/>
        </w:rPr>
        <w:t>U</w:t>
      </w:r>
      <w:r w:rsidRPr="001C0D1B">
        <w:rPr>
          <w:rFonts w:cstheme="minorHAnsi"/>
          <w:bCs/>
          <w:sz w:val="22"/>
          <w:szCs w:val="22"/>
        </w:rPr>
        <w:t xml:space="preserve">rine-derived cells provide a non-invasive source of </w:t>
      </w:r>
      <w:r>
        <w:rPr>
          <w:rFonts w:cstheme="minorHAnsi"/>
          <w:bCs/>
          <w:sz w:val="22"/>
          <w:szCs w:val="22"/>
        </w:rPr>
        <w:t>cells from children</w:t>
      </w:r>
      <w:r w:rsidR="00291AC3">
        <w:rPr>
          <w:rFonts w:cstheme="minorHAnsi"/>
          <w:bCs/>
          <w:sz w:val="22"/>
          <w:szCs w:val="22"/>
        </w:rPr>
        <w:t xml:space="preserve"> </w:t>
      </w:r>
      <w:r w:rsidR="00291AC3">
        <w:rPr>
          <w:rFonts w:cstheme="minorHAnsi"/>
          <w:bCs/>
          <w:sz w:val="22"/>
          <w:szCs w:val="22"/>
        </w:rPr>
        <w:fldChar w:fldCharType="begin"/>
      </w:r>
      <w:r w:rsidR="00642970">
        <w:rPr>
          <w:rFonts w:cstheme="minorHAnsi"/>
          <w:bCs/>
          <w:sz w:val="22"/>
          <w:szCs w:val="22"/>
        </w:rPr>
        <w:instrText xml:space="preserve"> ADDIN ZOTERO_ITEM CSL_CITATION {"citationID":"ie7bJ72S","properties":{"formattedCitation":"(181,182)","plainCitation":"(181,182)","noteIndex":0},"citationItems":[{"id":643,"uris":["http://zotero.org/users/local/lvPLY4Gu/items/2ZL5UBC8"],"itemData":{"id":643,"type":"article-journal","container-title":"Kidney360","DOI":"10.34067/KID.0000000000000503","ISSN":"2641-7650","issue":"9","journalAbbreviation":"Kidney360","language":"eng","note":"PMID: 39591363\nPMCID: PMC11441801","page":"1359-1363","source":"PubMed","title":"Cell Catcher: A New Method to Extract and Preserve Live Renal Cells from Urine","title-short":"Cell Catcher","volume":"5","author":[{"family":"Nazmutdinova","given":"Katia"},{"family":"Man","given":"Cheuk Yan"},{"family":"Carter","given":"Martyn"},{"family":"Beales","given":"Philip L."},{"family":"Winyard","given":"Paul J. D."},{"family":"Walsh","given":"Stephen B."},{"family":"Price","given":"Karen L."},{"family":"Long","given":"David A."}],"issued":{"date-parts":[["2024",9,1]]}}},{"id":645,"uris":["http://zotero.org/users/local/lvPLY4Gu/items/SQ3UIJXJ"],"itemData":{"id":645,"type":"article-journal","abstract":"The majority of multi-exon genes undergo alternative splicing to produce different mRNA transcripts and this may occur in a tissue-specific manner. Assessment of mRNA transcripts isolated from blood samples may sometimes be unhelpful in determining the affect on function of putative splice-site variants affecting kidney-specific mRNA transcripts. Here we present data demonstrating the power of using human urine-derived renal epithelial cells (hUREC) as a source of kidney RNA. We report clinical and molecular genetic data from three affected cases from two families all with end-stage renal disease by 15 years of age. In both families, heterozygous variants which are predicted to effect function in NPHP3 were found on one allele, in combination with a synonymous SNV (c.2154C&gt;T; p.Phe718=), 18 base pairs from the exon-intron boundary within exon 15 of NPHP3. The only mRNA transcript amplified from wild-type whole blood showed complete splicing out of exon 15. Urine samples obtained from control subjects and the father of family 2, who carried the synonymous SNV variant, were therefore used to culture hUREC and allowed us to obtain kidney-specific mRNA. Control kidney mRNA showed retention of exon 15, while the mRNA from the patient's father confirmed evidence of a heterozygous alternate splicing of exon 15 of NPHP3. Analysis of RNA derived from hUREC allows for a comparison of kidney-specific and whole-blood RNA transcripts and for assessment of the effect on function of putative splice variants leading to end-stage kidney disease.","container-title":"European journal of human genetics: EJHG","DOI":"10.1038/s41431-018-0212-5","ISSN":"1476-5438","issue":"12","journalAbbreviation":"Eur J Hum Genet","language":"eng","note":"PMID: 30002499\nPMCID: PMC6244279","page":"1791-1796","source":"PubMed","title":"Human urine-derived renal epithelial cells provide insights into kidney-specific alternate splicing variants","volume":"26","author":[{"family":"Molinari","given":"Elisa"},{"family":"Decker","given":"Eva"},{"family":"Mabillard","given":"Holly"},{"family":"Tellez","given":"James"},{"family":"Srivastava","given":"Shalabh"},{"family":"Raman","given":"Shreya"},{"family":"Wood","given":"Katrina"},{"family":"Kempf","given":"Caroline"},{"family":"Alkanderi","given":"Sumaya"},{"family":"Ramsbottom","given":"Simon A."},{"family":"Miles","given":"Colin G."},{"family":"Johnson","given":"Colin A."},{"family":"Hildebrandt","given":"Friedhelm"},{"family":"Bergmann","given":"Carsten"},{"family":"Sayer","given":"John A."}],"issued":{"date-parts":[["2018",12]]}}}],"schema":"https://github.com/citation-style-language/schema/raw/master/csl-citation.json"} </w:instrText>
      </w:r>
      <w:r w:rsidR="00291AC3">
        <w:rPr>
          <w:rFonts w:cstheme="minorHAnsi"/>
          <w:bCs/>
          <w:sz w:val="22"/>
          <w:szCs w:val="22"/>
        </w:rPr>
        <w:fldChar w:fldCharType="separate"/>
      </w:r>
      <w:r w:rsidR="00642970">
        <w:rPr>
          <w:rFonts w:cstheme="minorHAnsi"/>
          <w:bCs/>
          <w:noProof/>
          <w:sz w:val="22"/>
          <w:szCs w:val="22"/>
        </w:rPr>
        <w:t>(181,182)</w:t>
      </w:r>
      <w:r w:rsidR="00291AC3">
        <w:rPr>
          <w:rFonts w:cstheme="minorHAnsi"/>
          <w:bCs/>
          <w:sz w:val="22"/>
          <w:szCs w:val="22"/>
        </w:rPr>
        <w:fldChar w:fldCharType="end"/>
      </w:r>
      <w:r>
        <w:rPr>
          <w:rFonts w:cstheme="minorHAnsi"/>
          <w:bCs/>
          <w:sz w:val="22"/>
          <w:szCs w:val="22"/>
        </w:rPr>
        <w:t xml:space="preserve">, </w:t>
      </w:r>
      <w:r w:rsidRPr="001C0D1B">
        <w:rPr>
          <w:rFonts w:cstheme="minorHAnsi"/>
          <w:bCs/>
          <w:sz w:val="22"/>
          <w:szCs w:val="22"/>
        </w:rPr>
        <w:t>and can be used to generate kidney organoids for disease modelling and drug testing</w:t>
      </w:r>
      <w:r w:rsidR="00291AC3">
        <w:rPr>
          <w:rFonts w:cstheme="minorHAnsi"/>
          <w:bCs/>
          <w:sz w:val="22"/>
          <w:szCs w:val="22"/>
        </w:rPr>
        <w:t xml:space="preserve"> </w:t>
      </w:r>
      <w:r w:rsidR="00291AC3">
        <w:rPr>
          <w:rFonts w:cstheme="minorHAnsi"/>
          <w:bCs/>
          <w:sz w:val="22"/>
          <w:szCs w:val="22"/>
        </w:rPr>
        <w:fldChar w:fldCharType="begin"/>
      </w:r>
      <w:r w:rsidR="00642970">
        <w:rPr>
          <w:rFonts w:cstheme="minorHAnsi"/>
          <w:bCs/>
          <w:sz w:val="22"/>
          <w:szCs w:val="22"/>
        </w:rPr>
        <w:instrText xml:space="preserve"> ADDIN ZOTERO_ITEM CSL_CITATION {"citationID":"oDLkM5kc","properties":{"formattedCitation":"(183)","plainCitation":"(183)","noteIndex":0},"citationItems":[{"id":648,"uris":["http://zotero.org/users/local/lvPLY4Gu/items/B36WBAK4"],"itemData":{"id":648,"type":"article-journal","abstract":"BACKGROUND: Human induced pluripotent stem cells (iPSCs) are a promising tool to investigate pathogenic mechanisms underlying human genetic conditions, such as congenital anomalies of the kidney and urinary tract (CAKUT). Currently, iPSC-based research in pediatrics is limited by the invasiveness of cell collection.\nMETHODS: Urine cells (UCs) were isolated from pediatric urine specimens, including bag collections, and reprogrammed using episomal vectors into urinary iPSCs (UiPSCs). Following iPSC-quality assessment, human kidney organoids were generated.\nRESULTS: UCs were isolated from 71% (12/17) of single, remnant urine samples obtained in an outpatient setting (patients 1 month-17 years, volumes 10-75 ml). Three independent UCs were reprogrammed to UiPSCs with early episome loss, confirmed pluripotency and normal karyotyping. Subsequently, these UiPSCs were successfully differentiated into kidney organoids, closely resembling organoids generated from control fibroblast-derived iPSCs. Importantly, under research conditions with immediate sample processing, UC isolation was successful 100% for target pediatric CAKUT patients and controls (11/11) after at most two urine collections.\nCONCLUSIONS: Urine in small volumes or collected in bags is a reliable source for reprogrammable somatic cells that can be utilized to generate kidney organoids. This constitutes an attractive approach for patient-specific iPSC research involving infants and children with wide applicability and a low threshold for participation.","container-title":"Pediatric Research","DOI":"10.1038/s41390-019-0618-y","ISSN":"1530-0447","issue":"4","journalAbbreviation":"Pediatr Res","language":"eng","note":"PMID: 31629364","page":"647-655","source":"PubMed","title":"Generation of infant- and pediatric-derived urinary induced pluripotent stem cells competent to form kidney organoids","volume":"87","author":[{"family":"Mulder","given":"Jaap"},{"family":"Sharmin","given":"Sazia"},{"family":"Chow","given":"Theresa"},{"family":"Rodrigues","given":"Deivid Carvalho"},{"family":"Hildebrandt","given":"Matthew R."},{"family":"D'Cruz","given":"Robert"},{"family":"Rogers","given":"Ian"},{"family":"Ellis","given":"James"},{"family":"Rosenblum","given":"Norman D."}],"issued":{"date-parts":[["2020",3]]}}}],"schema":"https://github.com/citation-style-language/schema/raw/master/csl-citation.json"} </w:instrText>
      </w:r>
      <w:r w:rsidR="00291AC3">
        <w:rPr>
          <w:rFonts w:cstheme="minorHAnsi"/>
          <w:bCs/>
          <w:sz w:val="22"/>
          <w:szCs w:val="22"/>
        </w:rPr>
        <w:fldChar w:fldCharType="separate"/>
      </w:r>
      <w:r w:rsidR="00642970">
        <w:rPr>
          <w:rFonts w:cstheme="minorHAnsi"/>
          <w:bCs/>
          <w:noProof/>
          <w:sz w:val="22"/>
          <w:szCs w:val="22"/>
        </w:rPr>
        <w:t>(183)</w:t>
      </w:r>
      <w:r w:rsidR="00291AC3">
        <w:rPr>
          <w:rFonts w:cstheme="minorHAnsi"/>
          <w:bCs/>
          <w:sz w:val="22"/>
          <w:szCs w:val="22"/>
        </w:rPr>
        <w:fldChar w:fldCharType="end"/>
      </w:r>
      <w:r w:rsidRPr="001C0D1B">
        <w:rPr>
          <w:rFonts w:cstheme="minorHAnsi"/>
          <w:bCs/>
          <w:sz w:val="22"/>
          <w:szCs w:val="22"/>
        </w:rPr>
        <w:t>. These platforms are particularly valuable in rare, refractory</w:t>
      </w:r>
      <w:r w:rsidR="00191B03">
        <w:rPr>
          <w:rFonts w:cstheme="minorHAnsi"/>
          <w:bCs/>
          <w:sz w:val="22"/>
          <w:szCs w:val="22"/>
        </w:rPr>
        <w:t>,</w:t>
      </w:r>
      <w:r>
        <w:rPr>
          <w:rFonts w:cstheme="minorHAnsi"/>
          <w:bCs/>
          <w:sz w:val="22"/>
          <w:szCs w:val="22"/>
        </w:rPr>
        <w:t xml:space="preserve"> </w:t>
      </w:r>
      <w:r w:rsidRPr="001C0D1B">
        <w:rPr>
          <w:rFonts w:cstheme="minorHAnsi"/>
          <w:bCs/>
          <w:sz w:val="22"/>
          <w:szCs w:val="22"/>
        </w:rPr>
        <w:t>or biopsy-limited cases</w:t>
      </w:r>
      <w:r>
        <w:rPr>
          <w:rFonts w:cstheme="minorHAnsi"/>
          <w:bCs/>
          <w:sz w:val="22"/>
          <w:szCs w:val="22"/>
        </w:rPr>
        <w:t xml:space="preserve">, </w:t>
      </w:r>
      <w:r w:rsidRPr="00D97459">
        <w:rPr>
          <w:rFonts w:cstheme="minorHAnsi"/>
          <w:bCs/>
          <w:sz w:val="22"/>
          <w:szCs w:val="22"/>
        </w:rPr>
        <w:t>and support the development of precision therapies tailored to individual patients.</w:t>
      </w:r>
    </w:p>
    <w:p w14:paraId="721E192B" w14:textId="4661D7A2" w:rsidR="006A3E89" w:rsidRDefault="00D97459" w:rsidP="00642970">
      <w:pPr>
        <w:spacing w:after="160" w:line="360" w:lineRule="auto"/>
        <w:ind w:left="720"/>
        <w:jc w:val="both"/>
        <w:rPr>
          <w:rFonts w:cstheme="minorHAnsi"/>
          <w:b/>
          <w:sz w:val="22"/>
          <w:szCs w:val="22"/>
        </w:rPr>
      </w:pPr>
      <w:r w:rsidRPr="00BC77C0">
        <w:rPr>
          <w:rFonts w:cstheme="minorHAnsi"/>
          <w:b/>
          <w:sz w:val="22"/>
          <w:szCs w:val="22"/>
        </w:rPr>
        <w:t>AI-Driven Data Integration and Target Discovery:</w:t>
      </w:r>
      <w:r>
        <w:rPr>
          <w:rFonts w:cstheme="minorHAnsi"/>
          <w:b/>
          <w:sz w:val="22"/>
          <w:szCs w:val="22"/>
        </w:rPr>
        <w:t xml:space="preserve"> </w:t>
      </w:r>
      <w:r w:rsidRPr="00BC77C0">
        <w:rPr>
          <w:rFonts w:cstheme="minorHAnsi"/>
          <w:bCs/>
          <w:sz w:val="22"/>
          <w:szCs w:val="22"/>
        </w:rPr>
        <w:t xml:space="preserve">Artificial intelligence tools </w:t>
      </w:r>
      <w:r>
        <w:rPr>
          <w:rFonts w:cstheme="minorHAnsi"/>
          <w:bCs/>
          <w:sz w:val="22"/>
          <w:szCs w:val="22"/>
        </w:rPr>
        <w:t xml:space="preserve">enable the integration of </w:t>
      </w:r>
      <w:r w:rsidRPr="00BC77C0">
        <w:rPr>
          <w:rFonts w:cstheme="minorHAnsi"/>
          <w:bCs/>
          <w:sz w:val="22"/>
          <w:szCs w:val="22"/>
        </w:rPr>
        <w:t xml:space="preserve">complex molecular and spatial data to </w:t>
      </w:r>
      <w:r>
        <w:rPr>
          <w:rFonts w:cstheme="minorHAnsi"/>
          <w:bCs/>
          <w:sz w:val="22"/>
          <w:szCs w:val="22"/>
        </w:rPr>
        <w:t>identify disease</w:t>
      </w:r>
      <w:r w:rsidRPr="00BC77C0">
        <w:rPr>
          <w:rFonts w:cstheme="minorHAnsi"/>
          <w:bCs/>
          <w:sz w:val="22"/>
          <w:szCs w:val="22"/>
        </w:rPr>
        <w:t xml:space="preserve"> pathways and predict </w:t>
      </w:r>
      <w:r>
        <w:rPr>
          <w:rFonts w:cstheme="minorHAnsi"/>
          <w:bCs/>
          <w:sz w:val="22"/>
          <w:szCs w:val="22"/>
        </w:rPr>
        <w:t>cellular</w:t>
      </w:r>
      <w:r w:rsidRPr="00BC77C0">
        <w:rPr>
          <w:rFonts w:cstheme="minorHAnsi"/>
          <w:bCs/>
          <w:sz w:val="22"/>
          <w:szCs w:val="22"/>
        </w:rPr>
        <w:t xml:space="preserve"> respon</w:t>
      </w:r>
      <w:r>
        <w:rPr>
          <w:rFonts w:cstheme="minorHAnsi"/>
          <w:bCs/>
          <w:sz w:val="22"/>
          <w:szCs w:val="22"/>
        </w:rPr>
        <w:t>ses</w:t>
      </w:r>
      <w:r w:rsidRPr="00BC77C0">
        <w:rPr>
          <w:rFonts w:cstheme="minorHAnsi"/>
          <w:bCs/>
          <w:sz w:val="22"/>
          <w:szCs w:val="22"/>
        </w:rPr>
        <w:t xml:space="preserve"> to specific therapies</w:t>
      </w:r>
      <w:r w:rsidR="00291AC3">
        <w:rPr>
          <w:rFonts w:cstheme="minorHAnsi"/>
          <w:bCs/>
          <w:sz w:val="22"/>
          <w:szCs w:val="22"/>
        </w:rPr>
        <w:t xml:space="preserve"> </w:t>
      </w:r>
      <w:r w:rsidR="00291AC3">
        <w:rPr>
          <w:rFonts w:cstheme="minorHAnsi"/>
          <w:bCs/>
          <w:sz w:val="22"/>
          <w:szCs w:val="22"/>
        </w:rPr>
        <w:fldChar w:fldCharType="begin"/>
      </w:r>
      <w:r w:rsidR="00642970">
        <w:rPr>
          <w:rFonts w:cstheme="minorHAnsi"/>
          <w:bCs/>
          <w:sz w:val="22"/>
          <w:szCs w:val="22"/>
        </w:rPr>
        <w:instrText xml:space="preserve"> ADDIN ZOTERO_ITEM CSL_CITATION {"citationID":"ALX07WcL","properties":{"formattedCitation":"(184,185)","plainCitation":"(184,185)","noteIndex":0},"citationItems":[{"id":651,"uris":["http://zotero.org/users/local/lvPLY4Gu/items/Q9P9XX3K"],"itemData":{"id":651,"type":"article-journal","abstract":"Advancements in high-throughput screenings enable the exploration of rich phenotypic readouts through high-content microscopy, expediting the development of phenotype-based drug discovery. However, analyzing large and complex high-content imaging screenings remains challenging due to incomplete sampling of perturbations and the presence of technical variations between experiments. To tackle these shortcomings, we present IMage Perturbation Autoencoder (IMPA), a generative style-transfer model predicting morphological changes of perturbations across genetic and chemical interventions. We show that IMPA accurately captures morphological and population-level changes of both seen and unseen perturbations on breast cancer and osteosarcoma cells. Additionally, IMPA accounts for batch effects and can model perturbations across various sources of technical variation, further enhancing its robustness in diverse experimental conditions. With the increasing availability of large-scale high-content imaging screens generated by academic and industrial consortia, we envision that IMPA will facilitate the analysis of microscopy data and enable efficient experimental design via in-silico perturbation prediction.","container-title":"Nature Communications","DOI":"10.1038/s41467-024-55707-8","ISSN":"2041-1723","issue":"1","journalAbbreviation":"Nat Commun","language":"en","license":"2025 The Author(s)","note":"publisher: Nature Publishing Group","page":"505","source":"www.nature.com","title":"Predicting cell morphological responses to perturbations using generative modeling","volume":"16","author":[{"family":"Palma","given":"Alessandro"},{"family":"Theis","given":"Fabian J."},{"family":"Lotfollahi","given":"Mohammad"}],"issued":{"date-parts":[["2025",1,8]]}}},{"id":653,"uris":["http://zotero.org/users/local/lvPLY4Gu/items/YND5AFV5"],"itemData":{"id":653,"type":"article-journal","abstract":"Generative pretrained models have achieved remarkable success in various domains such as language and computer vision. Specifically, the combination of large-scale diverse datasets and pretrained transformers has emerged as a promising approach for developing foundation models. Drawing parallels between language and cellular biology (in which texts comprise words; similarly, cells are defined by genes), our study probes the applicability of foundation models to advance cellular biology and genetic research. Using burgeoning single-cell sequencing data, we have constructed a foundation model for single-cell biology, scGPT, based on a generative pretrained transformer across a repository of over 33 million cells. Our findings illustrate that scGPT effectively distills critical biological insights concerning genes and cells. Through further adaptation of transfer learning, scGPT can be optimized to achieve superior performance across diverse downstream applications. This includes tasks such as cell type annotation, multi-batch integration, multi-omic integration, perturbation response prediction and gene network inference.","container-title":"Nature Methods","DOI":"10.1038/s41592-024-02201-0","ISSN":"1548-7105","issue":"8","journalAbbreviation":"Nat Methods","language":"en","license":"2024 The Author(s), under exclusive licence to Springer Nature America, Inc.","note":"publisher: Nature Publishing Group","page":"1470-1480","source":"www.nature.com","title":"scGPT: toward building a foundation model for single-cell multi-omics using generative AI","title-short":"scGPT","volume":"21","author":[{"family":"Cui","given":"Haotian"},{"family":"Wang","given":"Chloe"},{"family":"Maan","given":"Hassaan"},{"family":"Pang","given":"Kuan"},{"family":"Luo","given":"Fengning"},{"family":"Duan","given":"Nan"},{"family":"Wang","given":"Bo"}],"issued":{"date-parts":[["2024",8]]}}}],"schema":"https://github.com/citation-style-language/schema/raw/master/csl-citation.json"} </w:instrText>
      </w:r>
      <w:r w:rsidR="00291AC3">
        <w:rPr>
          <w:rFonts w:cstheme="minorHAnsi"/>
          <w:bCs/>
          <w:sz w:val="22"/>
          <w:szCs w:val="22"/>
        </w:rPr>
        <w:fldChar w:fldCharType="separate"/>
      </w:r>
      <w:r w:rsidR="00642970">
        <w:rPr>
          <w:rFonts w:cstheme="minorHAnsi"/>
          <w:bCs/>
          <w:noProof/>
          <w:sz w:val="22"/>
          <w:szCs w:val="22"/>
        </w:rPr>
        <w:t>(184,185)</w:t>
      </w:r>
      <w:r w:rsidR="00291AC3">
        <w:rPr>
          <w:rFonts w:cstheme="minorHAnsi"/>
          <w:bCs/>
          <w:sz w:val="22"/>
          <w:szCs w:val="22"/>
        </w:rPr>
        <w:fldChar w:fldCharType="end"/>
      </w:r>
      <w:r w:rsidRPr="00BC77C0">
        <w:rPr>
          <w:rFonts w:cstheme="minorHAnsi"/>
          <w:bCs/>
          <w:sz w:val="22"/>
          <w:szCs w:val="22"/>
        </w:rPr>
        <w:t>. These virtual experiments help prioritise potential drug targets before moving to lab</w:t>
      </w:r>
      <w:r>
        <w:rPr>
          <w:rFonts w:cstheme="minorHAnsi"/>
          <w:bCs/>
          <w:sz w:val="22"/>
          <w:szCs w:val="22"/>
        </w:rPr>
        <w:t>oratory</w:t>
      </w:r>
      <w:r w:rsidRPr="00BC77C0">
        <w:rPr>
          <w:rFonts w:cstheme="minorHAnsi"/>
          <w:bCs/>
          <w:sz w:val="22"/>
          <w:szCs w:val="22"/>
        </w:rPr>
        <w:t xml:space="preserve"> or </w:t>
      </w:r>
      <w:r w:rsidRPr="00BC77C0">
        <w:rPr>
          <w:rFonts w:cstheme="minorHAnsi"/>
          <w:bCs/>
          <w:sz w:val="22"/>
          <w:szCs w:val="22"/>
        </w:rPr>
        <w:lastRenderedPageBreak/>
        <w:t>clinical testing</w:t>
      </w:r>
      <w:r w:rsidR="00291AC3">
        <w:rPr>
          <w:rFonts w:cstheme="minorHAnsi"/>
          <w:bCs/>
          <w:sz w:val="22"/>
          <w:szCs w:val="22"/>
        </w:rPr>
        <w:t xml:space="preserve"> </w:t>
      </w:r>
      <w:r w:rsidR="00291AC3">
        <w:rPr>
          <w:rFonts w:cstheme="minorHAnsi"/>
          <w:bCs/>
          <w:sz w:val="22"/>
          <w:szCs w:val="22"/>
        </w:rPr>
        <w:fldChar w:fldCharType="begin"/>
      </w:r>
      <w:r w:rsidR="00642970">
        <w:rPr>
          <w:rFonts w:cstheme="minorHAnsi"/>
          <w:bCs/>
          <w:sz w:val="22"/>
          <w:szCs w:val="22"/>
        </w:rPr>
        <w:instrText xml:space="preserve"> ADDIN ZOTERO_ITEM CSL_CITATION {"citationID":"KJQiLzdP","properties":{"formattedCitation":"(186)","plainCitation":"(186)","noteIndex":0},"citationItems":[{"id":655,"uris":["http://zotero.org/users/local/lvPLY4Gu/items/8PRG3UWC"],"itemData":{"id":655,"type":"article","abstract":"Tissue microenvironments reprogram local cellular states in disease, yet current computational spatial methods remain descriptive and do not simulate tissue perturbation. We present MintFlow, a generative AI algorithm that learns how the tissue microenvironment influences cell states and predicts how tissue perturbations can change and reprogram them. Applied to three human diseases, MintFlow uncovered distinct pathogenic spatial reprogramming in inflammatory and tumor microenvironments. In atopic dermatitis, MintFlow prioritized an epidermal resident T cell program and a dendritic cell activation niche within inflammatory hotspots within the superficial dermis. In melanoma, MintFlow identified fibrotic stroma resembling keloid scar tissue. In kidney cancer, MintFlow resolved immunosuppressive CD8+ T cell states within tertiary lymphoid structures. Furthermore, MintFlow enabled in silico perturbations of disease-relevant cell states and tissue environments. Regulatory T cell modulation in atopic dermatitis suppressed the pro-inflammatory tissue environment, supporting manipulation of these cells as a therapeutic target. Spatially-targeted macrophage depletion in kidney cancer reverted immunosuppressed T cell states, and the corresponding gene programs correlated with survival in large kidney cancer patient cohorts. These findings position MintFlow as a tool for unbiased prediction of disease mechanisms and in silico perturbations to accelerate translational hypothesis generation and guide therapeutic strategies.","DOI":"10.1101/2025.06.24.661094","language":"en","license":"© 2025, Posted by Cold Spring Harbor Laboratory. This pre-print is available under a Creative Commons License (Attribution-NonCommercial-NoDerivs 4.0 International), CC BY-NC-ND 4.0, as described at http://creativecommons.org/licenses/by-nc-nd/4.0/","note":"page: 2025.06.24.661094\nsection: New Results","publisher":"bioRxiv","source":"bioRxiv","title":"Mapping and reprogramming microenvironment-induced cell states in human disease using generative AI","URL":"https://www.biorxiv.org/content/10.1101/2025.06.24.661094v1","author":[{"family":"Akbarnejad","given":"Amir"},{"family":"Steele","given":"Lloyd"},{"family":"Jafree","given":"Daniyal J."},{"family":"Birk","given":"Sebastian"},{"family":"Sallese","given":"Marta Rosa"},{"family":"Rademaker","given":"Koen"},{"family":"Boxall","given":"Adam"},{"family":"Rumney","given":"Benjamin"},{"family":"Tudor","given":"Catherine"},{"family":"Patel","given":"Minal"},{"family":"Prete","given":"Martin"},{"family":"Makarchuk","given":"Stanislaw"},{"family":"Li","given":"Tong"},{"family":"Stanley","given":"Heather"},{"family":"Foster","given":"April Rose"},{"family":"Roberts","given":"Kenny"},{"family":"Trinh","given":"Andrew L."},{"family":"Villa","given":"Carlo Emanuele"},{"family":"Testa","given":"Giuseppe"},{"family":"Mahil","given":"Satveer"},{"family":"Mehrjou","given":"Arash"},{"family":"Smith","given":"Catherine"},{"family":"Vakili","given":"Sattar"},{"family":"Clatworthy","given":"Menna R."},{"family":"Mitchell","given":"Thomas"},{"family":"Bayraktar","given":"Omer Ali"},{"family":"Haniffa","given":"Muzlifah"},{"family":"Lotfollahi","given":"Mohammad"}],"accessed":{"date-parts":[["2025",7,9]]},"issued":{"date-parts":[["2025",6,26]]}}}],"schema":"https://github.com/citation-style-language/schema/raw/master/csl-citation.json"} </w:instrText>
      </w:r>
      <w:r w:rsidR="00291AC3">
        <w:rPr>
          <w:rFonts w:cstheme="minorHAnsi"/>
          <w:bCs/>
          <w:sz w:val="22"/>
          <w:szCs w:val="22"/>
        </w:rPr>
        <w:fldChar w:fldCharType="separate"/>
      </w:r>
      <w:r w:rsidR="00642970">
        <w:rPr>
          <w:rFonts w:cstheme="minorHAnsi"/>
          <w:bCs/>
          <w:noProof/>
          <w:sz w:val="22"/>
          <w:szCs w:val="22"/>
        </w:rPr>
        <w:t>(186)</w:t>
      </w:r>
      <w:r w:rsidR="00291AC3">
        <w:rPr>
          <w:rFonts w:cstheme="minorHAnsi"/>
          <w:bCs/>
          <w:sz w:val="22"/>
          <w:szCs w:val="22"/>
        </w:rPr>
        <w:fldChar w:fldCharType="end"/>
      </w:r>
      <w:r w:rsidRPr="00BC77C0">
        <w:rPr>
          <w:rFonts w:cstheme="minorHAnsi"/>
          <w:bCs/>
          <w:sz w:val="22"/>
          <w:szCs w:val="22"/>
        </w:rPr>
        <w:t>. With the support of high-quality reference datasets</w:t>
      </w:r>
      <w:r w:rsidR="00291AC3">
        <w:rPr>
          <w:rFonts w:cstheme="minorHAnsi"/>
          <w:bCs/>
          <w:sz w:val="22"/>
          <w:szCs w:val="22"/>
        </w:rPr>
        <w:t xml:space="preserve"> </w:t>
      </w:r>
      <w:r w:rsidR="00291AC3">
        <w:rPr>
          <w:rFonts w:cstheme="minorHAnsi"/>
          <w:bCs/>
          <w:sz w:val="22"/>
          <w:szCs w:val="22"/>
        </w:rPr>
        <w:fldChar w:fldCharType="begin"/>
      </w:r>
      <w:r w:rsidR="00642970">
        <w:rPr>
          <w:rFonts w:cstheme="minorHAnsi"/>
          <w:bCs/>
          <w:sz w:val="22"/>
          <w:szCs w:val="22"/>
        </w:rPr>
        <w:instrText xml:space="preserve"> ADDIN ZOTERO_ITEM CSL_CITATION {"citationID":"tyAWSDlw","properties":{"formattedCitation":"(187)","plainCitation":"(187)","noteIndex":0},"citationItems":[{"id":657,"uris":["http://zotero.org/users/local/lvPLY4Gu/items/JN94ITP7"],"itemData":{"id":657,"type":"article-journal","abstract":"Tissue-resident immune cells are important for organ homeostasis and defense. The epithelium may contribute to these functions directly or by cross-talk with immune cells. We used single-cell RNA sequencing to resolve the spatiotemporal immune topology of the human kidney. We reveal anatomically defined expression patterns of immune genes within the epithelial compartment, with antimicrobial peptide transcripts evident in pelvic epithelium in the mature, but not fetal, kidney. A network of tissue-resident myeloid and lymphoid immune cells was evident in both fetal and mature kidney, with postnatal acquisition of transcriptional programs that promote infection-defense capabilities. Epithelial-immune cross-talk orchestrated localization of antibacterial macrophages and neutrophils to the regions of the kidney most susceptible to infection. Overall, our study provides a global overview of how the immune landscape of the human kidney is zonated to counter the dominant immunological challenge.","container-title":"Science (New York, N.Y.)","DOI":"10.1126/science.aat5031","ISSN":"1095-9203","issue":"6460","journalAbbreviation":"Science","language":"eng","note":"PMID: 31604275\nPMCID: PMC7343525","page":"1461-1466","source":"PubMed","title":"Spatiotemporal immune zonation of the human kidney","volume":"365","author":[{"family":"Stewart","given":"Benjamin J."},{"family":"Ferdinand","given":"John R."},{"family":"Young","given":"Matthew D."},{"family":"Mitchell","given":"Thomas J."},{"family":"Loudon","given":"Kevin W."},{"family":"Riding","given":"Alexandra M."},{"family":"Richoz","given":"Nathan"},{"family":"Frazer","given":"Gordon L."},{"family":"Staniforth","given":"Joy U. L."},{"family":"Vieira Braga","given":"Felipe A."},{"family":"Botting","given":"Rachel A."},{"family":"Popescu","given":"Dorin-Mirel"},{"family":"Vento-Tormo","given":"Roser"},{"family":"Stephenson","given":"Emily"},{"family":"Cagan","given":"Alex"},{"family":"Farndon","given":"Sarah J."},{"family":"Polanski","given":"Krzysztof"},{"family":"Efremova","given":"Mirjana"},{"family":"Green","given":"Kile"},{"family":"Del Castillo Velasco-Herrera","given":"Martin"},{"family":"Guzzo","given":"Charlotte"},{"family":"Collord","given":"Grace"},{"family":"Mamanova","given":"Lira"},{"family":"Aho","given":"Tevita"},{"family":"Armitage","given":"James N."},{"family":"Riddick","given":"Antony C. P."},{"family":"Mushtaq","given":"Imran"},{"family":"Farrell","given":"Stephen"},{"family":"Rampling","given":"Dyanne"},{"family":"Nicholson","given":"James"},{"family":"Filby","given":"Andrew"},{"family":"Burge","given":"Johanna"},{"family":"Lisgo","given":"Steven"},{"family":"Lindsay","given":"Susan"},{"family":"Bajenoff","given":"Marc"},{"family":"Warren","given":"Anne Y."},{"family":"Stewart","given":"Grant D."},{"family":"Sebire","given":"Neil"},{"family":"Coleman","given":"Nicholas"},{"family":"Haniffa","given":"Muzlifah"},{"family":"Teichmann","given":"Sarah A."},{"family":"Behjati","given":"Sam"},{"family":"Clatworthy","given":"Menna R."}],"issued":{"date-parts":[["2019",9,27]]}}}],"schema":"https://github.com/citation-style-language/schema/raw/master/csl-citation.json"} </w:instrText>
      </w:r>
      <w:r w:rsidR="00291AC3">
        <w:rPr>
          <w:rFonts w:cstheme="minorHAnsi"/>
          <w:bCs/>
          <w:sz w:val="22"/>
          <w:szCs w:val="22"/>
        </w:rPr>
        <w:fldChar w:fldCharType="separate"/>
      </w:r>
      <w:r w:rsidR="00642970">
        <w:rPr>
          <w:rFonts w:cstheme="minorHAnsi"/>
          <w:bCs/>
          <w:noProof/>
          <w:sz w:val="22"/>
          <w:szCs w:val="22"/>
        </w:rPr>
        <w:t>(187)</w:t>
      </w:r>
      <w:r w:rsidR="00291AC3">
        <w:rPr>
          <w:rFonts w:cstheme="minorHAnsi"/>
          <w:bCs/>
          <w:sz w:val="22"/>
          <w:szCs w:val="22"/>
        </w:rPr>
        <w:fldChar w:fldCharType="end"/>
      </w:r>
      <w:r w:rsidRPr="00BC77C0">
        <w:rPr>
          <w:rFonts w:cstheme="minorHAnsi"/>
          <w:bCs/>
          <w:sz w:val="22"/>
          <w:szCs w:val="22"/>
        </w:rPr>
        <w:t xml:space="preserve">, these approaches offer a powerful route to accelerate target discovery and personalised treatment </w:t>
      </w:r>
      <w:r>
        <w:rPr>
          <w:rFonts w:cstheme="minorHAnsi"/>
          <w:bCs/>
          <w:sz w:val="22"/>
          <w:szCs w:val="22"/>
        </w:rPr>
        <w:t xml:space="preserve">for </w:t>
      </w:r>
      <w:r w:rsidRPr="00BC77C0">
        <w:rPr>
          <w:rFonts w:cstheme="minorHAnsi"/>
          <w:bCs/>
          <w:sz w:val="22"/>
          <w:szCs w:val="22"/>
        </w:rPr>
        <w:t>IM</w:t>
      </w:r>
      <w:r w:rsidR="00191B03">
        <w:rPr>
          <w:rFonts w:cstheme="minorHAnsi"/>
          <w:bCs/>
          <w:sz w:val="22"/>
          <w:szCs w:val="22"/>
        </w:rPr>
        <w:t>-</w:t>
      </w:r>
      <w:r w:rsidRPr="00BC77C0">
        <w:rPr>
          <w:rFonts w:cstheme="minorHAnsi"/>
          <w:bCs/>
          <w:sz w:val="22"/>
          <w:szCs w:val="22"/>
        </w:rPr>
        <w:t>GD</w:t>
      </w:r>
      <w:r>
        <w:rPr>
          <w:rFonts w:cstheme="minorHAnsi"/>
          <w:bCs/>
          <w:sz w:val="22"/>
          <w:szCs w:val="22"/>
        </w:rPr>
        <w:t xml:space="preserve"> in children.</w:t>
      </w:r>
    </w:p>
    <w:p w14:paraId="2F5278F9" w14:textId="3E8792F8" w:rsidR="003E3265" w:rsidRPr="006A3E89" w:rsidRDefault="001630D4">
      <w:pPr>
        <w:spacing w:after="160" w:line="360" w:lineRule="auto"/>
        <w:jc w:val="both"/>
        <w:rPr>
          <w:rFonts w:cstheme="minorHAnsi"/>
          <w:b/>
          <w:sz w:val="22"/>
          <w:szCs w:val="22"/>
        </w:rPr>
      </w:pPr>
      <w:r w:rsidRPr="006A3E89">
        <w:rPr>
          <w:rFonts w:cstheme="minorHAnsi"/>
          <w:b/>
          <w:sz w:val="22"/>
          <w:szCs w:val="22"/>
        </w:rPr>
        <w:t>Summary of audit recommendations</w:t>
      </w:r>
    </w:p>
    <w:p w14:paraId="5AD653BA" w14:textId="0F305946" w:rsidR="00BA23F3" w:rsidRPr="006A3E89" w:rsidRDefault="00EA336E" w:rsidP="003F494F">
      <w:pPr>
        <w:pStyle w:val="ListParagraph"/>
        <w:numPr>
          <w:ilvl w:val="0"/>
          <w:numId w:val="36"/>
        </w:numPr>
        <w:spacing w:after="160" w:line="360" w:lineRule="auto"/>
        <w:jc w:val="both"/>
        <w:rPr>
          <w:rFonts w:cstheme="minorHAnsi"/>
          <w:b/>
          <w:sz w:val="22"/>
          <w:szCs w:val="22"/>
        </w:rPr>
      </w:pPr>
      <w:r w:rsidRPr="006A3E89">
        <w:rPr>
          <w:rFonts w:cstheme="minorHAnsi"/>
          <w:bCs/>
          <w:sz w:val="22"/>
          <w:szCs w:val="22"/>
        </w:rPr>
        <w:t xml:space="preserve">The recommended consensus statements within this document can be used to form the standard criteria for conducting audit to ensure compliance and guide improvements. </w:t>
      </w:r>
    </w:p>
    <w:p w14:paraId="09F7B004" w14:textId="77777777" w:rsidR="003E3265" w:rsidRPr="00117750" w:rsidRDefault="001630D4" w:rsidP="003F494F">
      <w:pPr>
        <w:spacing w:line="360" w:lineRule="auto"/>
        <w:rPr>
          <w:rFonts w:cstheme="minorHAnsi"/>
          <w:b/>
          <w:sz w:val="22"/>
          <w:szCs w:val="22"/>
        </w:rPr>
      </w:pPr>
      <w:r w:rsidRPr="003F494F">
        <w:rPr>
          <w:rFonts w:cstheme="minorHAnsi"/>
          <w:b/>
          <w:sz w:val="22"/>
          <w:szCs w:val="22"/>
        </w:rPr>
        <w:t>Lay summary</w:t>
      </w:r>
      <w:r w:rsidRPr="00117750">
        <w:rPr>
          <w:rFonts w:cstheme="minorHAnsi"/>
          <w:b/>
          <w:sz w:val="22"/>
          <w:szCs w:val="22"/>
        </w:rPr>
        <w:t xml:space="preserve"> </w:t>
      </w:r>
    </w:p>
    <w:p w14:paraId="7E284ED5" w14:textId="242B9372" w:rsidR="003E3265" w:rsidRPr="003F494F" w:rsidRDefault="002E4D90" w:rsidP="003F494F">
      <w:pPr>
        <w:spacing w:line="360" w:lineRule="auto"/>
        <w:jc w:val="both"/>
        <w:rPr>
          <w:rFonts w:cstheme="minorHAnsi"/>
          <w:bCs/>
          <w:sz w:val="22"/>
          <w:szCs w:val="22"/>
        </w:rPr>
      </w:pPr>
      <w:r>
        <w:rPr>
          <w:rFonts w:cstheme="minorHAnsi"/>
          <w:bCs/>
          <w:sz w:val="22"/>
          <w:szCs w:val="22"/>
        </w:rPr>
        <w:t xml:space="preserve">The glomerular disease guideline is a document to support decisions about treatments in children and young people. They are divided into the different types of glomerular disease. </w:t>
      </w:r>
      <w:r w:rsidR="00191B03">
        <w:rPr>
          <w:rFonts w:cstheme="minorHAnsi"/>
          <w:bCs/>
          <w:sz w:val="22"/>
          <w:szCs w:val="22"/>
        </w:rPr>
        <w:t>It</w:t>
      </w:r>
      <w:r>
        <w:rPr>
          <w:rFonts w:cstheme="minorHAnsi"/>
          <w:bCs/>
          <w:sz w:val="22"/>
          <w:szCs w:val="22"/>
        </w:rPr>
        <w:t xml:space="preserve"> focus</w:t>
      </w:r>
      <w:r w:rsidR="00191B03">
        <w:rPr>
          <w:rFonts w:cstheme="minorHAnsi"/>
          <w:bCs/>
          <w:sz w:val="22"/>
          <w:szCs w:val="22"/>
        </w:rPr>
        <w:t>es</w:t>
      </w:r>
      <w:r>
        <w:rPr>
          <w:rFonts w:cstheme="minorHAnsi"/>
          <w:bCs/>
          <w:sz w:val="22"/>
          <w:szCs w:val="22"/>
        </w:rPr>
        <w:t xml:space="preserve"> on medicines that calm the immune system and only on the first year after getting a diagnosis. The guidelines say which medicines could be considered if they start with ‘we suggest’ and say which medicines most doctors </w:t>
      </w:r>
      <w:proofErr w:type="gramStart"/>
      <w:r>
        <w:rPr>
          <w:rFonts w:cstheme="minorHAnsi"/>
          <w:bCs/>
          <w:sz w:val="22"/>
          <w:szCs w:val="22"/>
        </w:rPr>
        <w:t>would</w:t>
      </w:r>
      <w:proofErr w:type="gramEnd"/>
      <w:r>
        <w:rPr>
          <w:rFonts w:cstheme="minorHAnsi"/>
          <w:bCs/>
          <w:sz w:val="22"/>
          <w:szCs w:val="22"/>
        </w:rPr>
        <w:t xml:space="preserve"> consider using if they start with ‘we recommend’. </w:t>
      </w:r>
      <w:r w:rsidR="004C3A37">
        <w:rPr>
          <w:rFonts w:cstheme="minorHAnsi"/>
          <w:bCs/>
          <w:sz w:val="22"/>
          <w:szCs w:val="22"/>
        </w:rPr>
        <w:t xml:space="preserve">The guidelines should help children and young people get similar treatments </w:t>
      </w:r>
      <w:proofErr w:type="gramStart"/>
      <w:r w:rsidR="004C3A37">
        <w:rPr>
          <w:rFonts w:cstheme="minorHAnsi"/>
          <w:bCs/>
          <w:sz w:val="22"/>
          <w:szCs w:val="22"/>
        </w:rPr>
        <w:t>where ever</w:t>
      </w:r>
      <w:proofErr w:type="gramEnd"/>
      <w:r w:rsidR="004C3A37">
        <w:rPr>
          <w:rFonts w:cstheme="minorHAnsi"/>
          <w:bCs/>
          <w:sz w:val="22"/>
          <w:szCs w:val="22"/>
        </w:rPr>
        <w:t xml:space="preserve"> they </w:t>
      </w:r>
      <w:proofErr w:type="gramStart"/>
      <w:r w:rsidR="004C3A37">
        <w:rPr>
          <w:rFonts w:cstheme="minorHAnsi"/>
          <w:bCs/>
          <w:sz w:val="22"/>
          <w:szCs w:val="22"/>
        </w:rPr>
        <w:t>live</w:t>
      </w:r>
      <w:proofErr w:type="gramEnd"/>
      <w:r w:rsidR="004C3A37">
        <w:rPr>
          <w:rFonts w:cstheme="minorHAnsi"/>
          <w:bCs/>
          <w:sz w:val="22"/>
          <w:szCs w:val="22"/>
        </w:rPr>
        <w:t xml:space="preserve"> and they will </w:t>
      </w:r>
      <w:r w:rsidR="00191B03">
        <w:rPr>
          <w:rFonts w:cstheme="minorHAnsi"/>
          <w:bCs/>
          <w:sz w:val="22"/>
          <w:szCs w:val="22"/>
        </w:rPr>
        <w:t>be updated to incorporate new</w:t>
      </w:r>
      <w:r w:rsidR="004C3A37">
        <w:rPr>
          <w:rFonts w:cstheme="minorHAnsi"/>
          <w:bCs/>
          <w:sz w:val="22"/>
          <w:szCs w:val="22"/>
        </w:rPr>
        <w:t xml:space="preserve"> treatments </w:t>
      </w:r>
      <w:r w:rsidR="00191B03">
        <w:rPr>
          <w:rFonts w:cstheme="minorHAnsi"/>
          <w:bCs/>
          <w:sz w:val="22"/>
          <w:szCs w:val="22"/>
        </w:rPr>
        <w:t xml:space="preserve">as they </w:t>
      </w:r>
      <w:r w:rsidR="004C3A37">
        <w:rPr>
          <w:rFonts w:cstheme="minorHAnsi"/>
          <w:bCs/>
          <w:sz w:val="22"/>
          <w:szCs w:val="22"/>
        </w:rPr>
        <w:t xml:space="preserve">become available. </w:t>
      </w:r>
    </w:p>
    <w:p w14:paraId="30FC1CA8" w14:textId="77777777" w:rsidR="003E3265" w:rsidRPr="00117750" w:rsidRDefault="003E3265" w:rsidP="003F494F">
      <w:pPr>
        <w:spacing w:line="360" w:lineRule="auto"/>
        <w:rPr>
          <w:rFonts w:cstheme="minorHAnsi"/>
          <w:b/>
          <w:sz w:val="22"/>
          <w:szCs w:val="22"/>
        </w:rPr>
      </w:pPr>
    </w:p>
    <w:p w14:paraId="52E429F4" w14:textId="77777777" w:rsidR="003E3265" w:rsidRPr="00117750" w:rsidRDefault="001630D4" w:rsidP="003F494F">
      <w:pPr>
        <w:spacing w:line="360" w:lineRule="auto"/>
        <w:rPr>
          <w:rFonts w:cstheme="minorHAnsi"/>
          <w:b/>
          <w:sz w:val="22"/>
          <w:szCs w:val="22"/>
        </w:rPr>
      </w:pPr>
      <w:r w:rsidRPr="00117750">
        <w:rPr>
          <w:rFonts w:cstheme="minorHAnsi"/>
          <w:b/>
          <w:sz w:val="22"/>
          <w:szCs w:val="22"/>
        </w:rPr>
        <w:t xml:space="preserve">Dissemination </w:t>
      </w:r>
    </w:p>
    <w:p w14:paraId="162A5614" w14:textId="77777777" w:rsidR="003E3265" w:rsidRPr="00117750" w:rsidRDefault="001630D4" w:rsidP="003F494F">
      <w:pPr>
        <w:autoSpaceDE w:val="0"/>
        <w:autoSpaceDN w:val="0"/>
        <w:adjustRightInd w:val="0"/>
        <w:spacing w:line="360" w:lineRule="auto"/>
        <w:rPr>
          <w:rFonts w:cstheme="minorHAnsi"/>
          <w:sz w:val="22"/>
          <w:szCs w:val="22"/>
        </w:rPr>
      </w:pPr>
      <w:r w:rsidRPr="00117750">
        <w:rPr>
          <w:rFonts w:cstheme="minorHAnsi"/>
          <w:sz w:val="22"/>
          <w:szCs w:val="22"/>
        </w:rPr>
        <w:t>The group discussed the importance of implementation and how to disseminate and publicise the</w:t>
      </w:r>
    </w:p>
    <w:p w14:paraId="7134E7F9" w14:textId="77777777" w:rsidR="003E3265" w:rsidRPr="00117750" w:rsidRDefault="001630D4" w:rsidP="003F494F">
      <w:pPr>
        <w:autoSpaceDE w:val="0"/>
        <w:autoSpaceDN w:val="0"/>
        <w:adjustRightInd w:val="0"/>
        <w:spacing w:line="360" w:lineRule="auto"/>
        <w:rPr>
          <w:rFonts w:cstheme="minorHAnsi"/>
          <w:sz w:val="22"/>
          <w:szCs w:val="22"/>
        </w:rPr>
      </w:pPr>
      <w:r w:rsidRPr="00117750">
        <w:rPr>
          <w:rFonts w:cstheme="minorHAnsi"/>
          <w:sz w:val="22"/>
          <w:szCs w:val="22"/>
        </w:rPr>
        <w:t xml:space="preserve">findings. Ideas for implementation included through specialist networks </w:t>
      </w:r>
      <w:proofErr w:type="gramStart"/>
      <w:r w:rsidRPr="00117750">
        <w:rPr>
          <w:rFonts w:cstheme="minorHAnsi"/>
          <w:sz w:val="22"/>
          <w:szCs w:val="22"/>
        </w:rPr>
        <w:t>including;</w:t>
      </w:r>
      <w:proofErr w:type="gramEnd"/>
    </w:p>
    <w:p w14:paraId="15B429D4" w14:textId="77777777" w:rsidR="003E3265" w:rsidRPr="00117750" w:rsidRDefault="001630D4" w:rsidP="003F494F">
      <w:pPr>
        <w:autoSpaceDE w:val="0"/>
        <w:autoSpaceDN w:val="0"/>
        <w:adjustRightInd w:val="0"/>
        <w:spacing w:line="360" w:lineRule="auto"/>
        <w:rPr>
          <w:rFonts w:cstheme="minorHAnsi"/>
          <w:sz w:val="22"/>
          <w:szCs w:val="22"/>
        </w:rPr>
      </w:pPr>
      <w:r w:rsidRPr="00117750">
        <w:rPr>
          <w:rFonts w:cstheme="minorHAnsi"/>
          <w:sz w:val="22"/>
          <w:szCs w:val="22"/>
        </w:rPr>
        <w:t>• Regional study days, network meetings</w:t>
      </w:r>
    </w:p>
    <w:p w14:paraId="3BB572EC" w14:textId="3BFA79DF" w:rsidR="003E3265" w:rsidRPr="00117750" w:rsidRDefault="001630D4" w:rsidP="003F494F">
      <w:pPr>
        <w:autoSpaceDE w:val="0"/>
        <w:autoSpaceDN w:val="0"/>
        <w:adjustRightInd w:val="0"/>
        <w:spacing w:line="360" w:lineRule="auto"/>
        <w:rPr>
          <w:rFonts w:cstheme="minorHAnsi"/>
          <w:sz w:val="22"/>
          <w:szCs w:val="22"/>
        </w:rPr>
      </w:pPr>
      <w:r w:rsidRPr="00117750">
        <w:rPr>
          <w:rFonts w:cstheme="minorHAnsi"/>
          <w:sz w:val="22"/>
          <w:szCs w:val="22"/>
        </w:rPr>
        <w:t xml:space="preserve">• </w:t>
      </w:r>
      <w:r w:rsidR="00EA336E">
        <w:rPr>
          <w:rFonts w:cstheme="minorHAnsi"/>
          <w:sz w:val="22"/>
          <w:szCs w:val="22"/>
        </w:rPr>
        <w:t>Sharing the document with the special interest in paediatric nephrology (</w:t>
      </w:r>
      <w:r w:rsidRPr="00117750">
        <w:rPr>
          <w:rFonts w:cstheme="minorHAnsi"/>
          <w:sz w:val="22"/>
          <w:szCs w:val="22"/>
        </w:rPr>
        <w:t>SPIN</w:t>
      </w:r>
      <w:r w:rsidR="00EA336E">
        <w:rPr>
          <w:rFonts w:cstheme="minorHAnsi"/>
          <w:sz w:val="22"/>
          <w:szCs w:val="22"/>
        </w:rPr>
        <w:t>)</w:t>
      </w:r>
      <w:r w:rsidRPr="00117750">
        <w:rPr>
          <w:rFonts w:cstheme="minorHAnsi"/>
          <w:sz w:val="22"/>
          <w:szCs w:val="22"/>
        </w:rPr>
        <w:t xml:space="preserve"> community</w:t>
      </w:r>
      <w:r w:rsidR="00EA336E">
        <w:rPr>
          <w:rFonts w:cstheme="minorHAnsi"/>
          <w:sz w:val="22"/>
          <w:szCs w:val="22"/>
        </w:rPr>
        <w:t xml:space="preserve"> using established connections and regional meetings. </w:t>
      </w:r>
    </w:p>
    <w:p w14:paraId="3B069775" w14:textId="1322221A" w:rsidR="003E3265" w:rsidRPr="00117750" w:rsidRDefault="001630D4" w:rsidP="003F494F">
      <w:pPr>
        <w:autoSpaceDE w:val="0"/>
        <w:autoSpaceDN w:val="0"/>
        <w:adjustRightInd w:val="0"/>
        <w:spacing w:line="360" w:lineRule="auto"/>
        <w:rPr>
          <w:rFonts w:cstheme="minorHAnsi"/>
          <w:sz w:val="22"/>
          <w:szCs w:val="22"/>
        </w:rPr>
      </w:pPr>
      <w:r w:rsidRPr="00117750">
        <w:rPr>
          <w:rFonts w:cstheme="minorHAnsi"/>
          <w:sz w:val="22"/>
          <w:szCs w:val="22"/>
        </w:rPr>
        <w:t xml:space="preserve">• </w:t>
      </w:r>
      <w:r w:rsidR="00EA336E">
        <w:rPr>
          <w:rFonts w:cstheme="minorHAnsi"/>
          <w:sz w:val="22"/>
          <w:szCs w:val="22"/>
        </w:rPr>
        <w:t>Sharing the lay summary with relevant p</w:t>
      </w:r>
      <w:r w:rsidRPr="00117750">
        <w:rPr>
          <w:rFonts w:cstheme="minorHAnsi"/>
          <w:sz w:val="22"/>
          <w:szCs w:val="22"/>
        </w:rPr>
        <w:t>atient support groups</w:t>
      </w:r>
    </w:p>
    <w:p w14:paraId="06ED4789" w14:textId="0A721CBD" w:rsidR="003E3265" w:rsidRDefault="001630D4" w:rsidP="003F494F">
      <w:pPr>
        <w:autoSpaceDE w:val="0"/>
        <w:autoSpaceDN w:val="0"/>
        <w:adjustRightInd w:val="0"/>
        <w:spacing w:line="360" w:lineRule="auto"/>
        <w:rPr>
          <w:rFonts w:cstheme="minorHAnsi"/>
          <w:sz w:val="22"/>
          <w:szCs w:val="22"/>
        </w:rPr>
      </w:pPr>
      <w:r w:rsidRPr="00117750">
        <w:rPr>
          <w:rFonts w:cstheme="minorHAnsi"/>
          <w:sz w:val="22"/>
          <w:szCs w:val="22"/>
        </w:rPr>
        <w:t xml:space="preserve">• </w:t>
      </w:r>
      <w:r w:rsidR="00EA336E">
        <w:rPr>
          <w:rFonts w:cstheme="minorHAnsi"/>
          <w:sz w:val="22"/>
          <w:szCs w:val="22"/>
        </w:rPr>
        <w:t xml:space="preserve">Submitting the work to the </w:t>
      </w:r>
      <w:r w:rsidRPr="00117750">
        <w:rPr>
          <w:rFonts w:cstheme="minorHAnsi"/>
          <w:sz w:val="22"/>
          <w:szCs w:val="22"/>
        </w:rPr>
        <w:t>R</w:t>
      </w:r>
      <w:r w:rsidR="00EA336E">
        <w:rPr>
          <w:rFonts w:cstheme="minorHAnsi"/>
          <w:sz w:val="22"/>
          <w:szCs w:val="22"/>
        </w:rPr>
        <w:t>oyal College of Paediatrics and Child Health (R</w:t>
      </w:r>
      <w:r w:rsidRPr="00117750">
        <w:rPr>
          <w:rFonts w:cstheme="minorHAnsi"/>
          <w:sz w:val="22"/>
          <w:szCs w:val="22"/>
        </w:rPr>
        <w:t>CPCH</w:t>
      </w:r>
      <w:r w:rsidR="00EA336E">
        <w:rPr>
          <w:rFonts w:cstheme="minorHAnsi"/>
          <w:sz w:val="22"/>
          <w:szCs w:val="22"/>
        </w:rPr>
        <w:t>) and/or UK Kidney Week (UKKW)</w:t>
      </w:r>
      <w:r w:rsidRPr="00117750">
        <w:rPr>
          <w:rFonts w:cstheme="minorHAnsi"/>
          <w:sz w:val="22"/>
          <w:szCs w:val="22"/>
        </w:rPr>
        <w:t xml:space="preserve"> conference</w:t>
      </w:r>
    </w:p>
    <w:p w14:paraId="7E73F018" w14:textId="743BEE13" w:rsidR="003E3265" w:rsidRPr="00117750" w:rsidRDefault="001630D4" w:rsidP="003F494F">
      <w:pPr>
        <w:autoSpaceDE w:val="0"/>
        <w:autoSpaceDN w:val="0"/>
        <w:adjustRightInd w:val="0"/>
        <w:spacing w:line="360" w:lineRule="auto"/>
        <w:rPr>
          <w:rFonts w:cstheme="minorHAnsi"/>
          <w:sz w:val="22"/>
          <w:szCs w:val="22"/>
        </w:rPr>
      </w:pPr>
      <w:r w:rsidRPr="00117750">
        <w:rPr>
          <w:rFonts w:cstheme="minorHAnsi"/>
          <w:sz w:val="22"/>
          <w:szCs w:val="22"/>
        </w:rPr>
        <w:t xml:space="preserve">• </w:t>
      </w:r>
      <w:r w:rsidR="00EA336E">
        <w:rPr>
          <w:rFonts w:cstheme="minorHAnsi"/>
          <w:sz w:val="22"/>
          <w:szCs w:val="22"/>
        </w:rPr>
        <w:t xml:space="preserve">Adding hyperlinks to the </w:t>
      </w:r>
      <w:proofErr w:type="spellStart"/>
      <w:r w:rsidRPr="00117750">
        <w:rPr>
          <w:rFonts w:cstheme="minorHAnsi"/>
          <w:sz w:val="22"/>
          <w:szCs w:val="22"/>
        </w:rPr>
        <w:t>Infokid</w:t>
      </w:r>
      <w:proofErr w:type="spellEnd"/>
      <w:r w:rsidR="00EA336E">
        <w:rPr>
          <w:rFonts w:cstheme="minorHAnsi"/>
          <w:sz w:val="22"/>
          <w:szCs w:val="22"/>
        </w:rPr>
        <w:t xml:space="preserve"> portal </w:t>
      </w:r>
    </w:p>
    <w:p w14:paraId="002DEAC1" w14:textId="77777777" w:rsidR="003E3265" w:rsidRPr="00117750" w:rsidRDefault="003E3265" w:rsidP="003F494F">
      <w:pPr>
        <w:spacing w:line="360" w:lineRule="auto"/>
        <w:rPr>
          <w:rFonts w:cstheme="minorHAnsi"/>
          <w:b/>
          <w:sz w:val="22"/>
          <w:szCs w:val="22"/>
        </w:rPr>
      </w:pPr>
    </w:p>
    <w:p w14:paraId="7C939AD8" w14:textId="77777777" w:rsidR="003E3265" w:rsidRPr="00117750" w:rsidRDefault="001630D4" w:rsidP="003F494F">
      <w:pPr>
        <w:spacing w:line="360" w:lineRule="auto"/>
        <w:rPr>
          <w:rFonts w:cstheme="minorHAnsi"/>
          <w:b/>
          <w:sz w:val="22"/>
          <w:szCs w:val="22"/>
        </w:rPr>
      </w:pPr>
      <w:r w:rsidRPr="00117750">
        <w:rPr>
          <w:rFonts w:cstheme="minorHAnsi"/>
          <w:b/>
          <w:sz w:val="22"/>
          <w:szCs w:val="22"/>
        </w:rPr>
        <w:t xml:space="preserve">Sources of further patient information </w:t>
      </w:r>
    </w:p>
    <w:p w14:paraId="45A83B2B" w14:textId="77777777" w:rsidR="003E3265" w:rsidRPr="00117750" w:rsidRDefault="001630D4" w:rsidP="003F494F">
      <w:pPr>
        <w:pStyle w:val="ListParagraph"/>
        <w:numPr>
          <w:ilvl w:val="0"/>
          <w:numId w:val="11"/>
        </w:numPr>
        <w:spacing w:after="160" w:line="360" w:lineRule="auto"/>
        <w:rPr>
          <w:rFonts w:cstheme="minorHAnsi"/>
          <w:sz w:val="22"/>
          <w:szCs w:val="22"/>
        </w:rPr>
      </w:pPr>
      <w:hyperlink w:history="1">
        <w:r w:rsidRPr="00117750">
          <w:rPr>
            <w:rStyle w:val="Hyperlink"/>
            <w:rFonts w:cstheme="minorHAnsi"/>
            <w:sz w:val="22"/>
            <w:szCs w:val="22"/>
          </w:rPr>
          <w:t>https://www.infokid.org.uk/</w:t>
        </w:r>
      </w:hyperlink>
    </w:p>
    <w:p w14:paraId="61F2BBA8" w14:textId="77777777" w:rsidR="003E3265" w:rsidRPr="00117750" w:rsidRDefault="001630D4" w:rsidP="003F494F">
      <w:pPr>
        <w:pStyle w:val="ListParagraph"/>
        <w:numPr>
          <w:ilvl w:val="0"/>
          <w:numId w:val="11"/>
        </w:numPr>
        <w:spacing w:after="160" w:line="360" w:lineRule="auto"/>
        <w:rPr>
          <w:rFonts w:cstheme="minorHAnsi"/>
          <w:sz w:val="22"/>
          <w:szCs w:val="22"/>
        </w:rPr>
      </w:pPr>
      <w:hyperlink w:history="1">
        <w:r w:rsidRPr="00117750">
          <w:rPr>
            <w:rStyle w:val="Hyperlink"/>
            <w:rFonts w:cstheme="minorHAnsi"/>
            <w:sz w:val="22"/>
            <w:szCs w:val="22"/>
          </w:rPr>
          <w:t>http://www.alportuk.org/</w:t>
        </w:r>
      </w:hyperlink>
    </w:p>
    <w:p w14:paraId="38161078" w14:textId="77777777" w:rsidR="003E3265" w:rsidRPr="00117750" w:rsidRDefault="001630D4" w:rsidP="003F494F">
      <w:pPr>
        <w:pStyle w:val="ListParagraph"/>
        <w:numPr>
          <w:ilvl w:val="0"/>
          <w:numId w:val="11"/>
        </w:numPr>
        <w:spacing w:after="160" w:line="360" w:lineRule="auto"/>
        <w:rPr>
          <w:rFonts w:cstheme="minorHAnsi"/>
          <w:sz w:val="22"/>
          <w:szCs w:val="22"/>
        </w:rPr>
      </w:pPr>
      <w:hyperlink w:history="1">
        <w:r w:rsidRPr="00117750">
          <w:rPr>
            <w:rStyle w:val="Hyperlink"/>
            <w:rFonts w:cstheme="minorHAnsi"/>
            <w:sz w:val="22"/>
            <w:szCs w:val="22"/>
          </w:rPr>
          <w:t>https://nstrust.co.uk/</w:t>
        </w:r>
      </w:hyperlink>
    </w:p>
    <w:p w14:paraId="4182AFC6" w14:textId="77777777" w:rsidR="003E3265" w:rsidRPr="00117750" w:rsidRDefault="001630D4" w:rsidP="003F494F">
      <w:pPr>
        <w:pStyle w:val="ListParagraph"/>
        <w:numPr>
          <w:ilvl w:val="0"/>
          <w:numId w:val="11"/>
        </w:numPr>
        <w:spacing w:after="160" w:line="360" w:lineRule="auto"/>
        <w:rPr>
          <w:rFonts w:cstheme="minorHAnsi"/>
          <w:sz w:val="22"/>
          <w:szCs w:val="22"/>
        </w:rPr>
      </w:pPr>
      <w:hyperlink w:history="1">
        <w:r w:rsidRPr="00117750">
          <w:rPr>
            <w:rStyle w:val="Hyperlink"/>
            <w:rFonts w:cstheme="minorHAnsi"/>
            <w:sz w:val="22"/>
            <w:szCs w:val="22"/>
          </w:rPr>
          <w:t>https://www.medicinesforchildren.org.uk/</w:t>
        </w:r>
      </w:hyperlink>
      <w:r w:rsidRPr="00117750">
        <w:rPr>
          <w:rFonts w:cstheme="minorHAnsi"/>
          <w:sz w:val="22"/>
          <w:szCs w:val="22"/>
        </w:rPr>
        <w:t xml:space="preserve"> </w:t>
      </w:r>
    </w:p>
    <w:p w14:paraId="3A286440" w14:textId="329A450F" w:rsidR="003E3265" w:rsidRDefault="001630D4" w:rsidP="003F494F">
      <w:pPr>
        <w:spacing w:line="360" w:lineRule="auto"/>
        <w:rPr>
          <w:rFonts w:cstheme="minorHAnsi"/>
          <w:b/>
          <w:sz w:val="22"/>
          <w:szCs w:val="22"/>
        </w:rPr>
      </w:pPr>
      <w:r>
        <w:rPr>
          <w:rFonts w:cstheme="minorHAnsi"/>
          <w:b/>
          <w:sz w:val="22"/>
          <w:szCs w:val="22"/>
        </w:rPr>
        <w:br w:type="page"/>
      </w:r>
      <w:r w:rsidRPr="00117750">
        <w:rPr>
          <w:rFonts w:cstheme="minorHAnsi"/>
          <w:b/>
          <w:sz w:val="22"/>
          <w:szCs w:val="22"/>
        </w:rPr>
        <w:lastRenderedPageBreak/>
        <w:t xml:space="preserve">Appendix </w:t>
      </w:r>
    </w:p>
    <w:p w14:paraId="6C796D6C" w14:textId="637C61DE" w:rsidR="006F0C5C" w:rsidRPr="003E3265" w:rsidRDefault="001630D4" w:rsidP="003F494F">
      <w:pPr>
        <w:spacing w:line="360" w:lineRule="auto"/>
        <w:rPr>
          <w:rFonts w:cstheme="minorHAnsi"/>
          <w:b/>
          <w:sz w:val="22"/>
          <w:szCs w:val="22"/>
        </w:rPr>
      </w:pPr>
      <w:r w:rsidRPr="00117750">
        <w:rPr>
          <w:rFonts w:cstheme="minorHAnsi"/>
          <w:b/>
          <w:sz w:val="22"/>
          <w:szCs w:val="22"/>
        </w:rPr>
        <w:t xml:space="preserve">Appendix </w:t>
      </w:r>
      <w:r>
        <w:rPr>
          <w:rFonts w:cstheme="minorHAnsi"/>
          <w:b/>
          <w:sz w:val="22"/>
          <w:szCs w:val="22"/>
        </w:rPr>
        <w:t xml:space="preserve">1: </w:t>
      </w:r>
      <w:r w:rsidR="00C00DD6" w:rsidRPr="00C00DD6">
        <w:rPr>
          <w:rFonts w:cstheme="minorHAnsi"/>
          <w:b/>
        </w:rPr>
        <w:t>A b</w:t>
      </w:r>
      <w:r w:rsidR="00F24595" w:rsidRPr="00C00DD6">
        <w:rPr>
          <w:rFonts w:cstheme="minorHAnsi"/>
          <w:b/>
        </w:rPr>
        <w:t xml:space="preserve">rief overview of key </w:t>
      </w:r>
      <w:r w:rsidR="00C00DD6" w:rsidRPr="00C00DD6">
        <w:rPr>
          <w:rFonts w:cstheme="minorHAnsi"/>
          <w:b/>
        </w:rPr>
        <w:t xml:space="preserve">immunosuppressive </w:t>
      </w:r>
      <w:r w:rsidR="00F24595" w:rsidRPr="00C00DD6">
        <w:rPr>
          <w:rFonts w:cstheme="minorHAnsi"/>
          <w:b/>
        </w:rPr>
        <w:t>m</w:t>
      </w:r>
      <w:r w:rsidR="00EC01B6" w:rsidRPr="00C00DD6">
        <w:rPr>
          <w:rFonts w:cstheme="minorHAnsi"/>
          <w:b/>
        </w:rPr>
        <w:t xml:space="preserve">edications </w:t>
      </w:r>
      <w:r w:rsidR="00EA336E">
        <w:rPr>
          <w:rFonts w:cstheme="minorHAnsi"/>
          <w:b/>
        </w:rPr>
        <w:t xml:space="preserve">and suggested doses to be </w:t>
      </w:r>
      <w:r w:rsidR="00C00DD6" w:rsidRPr="00C00DD6">
        <w:rPr>
          <w:rFonts w:cstheme="minorHAnsi"/>
          <w:b/>
        </w:rPr>
        <w:t xml:space="preserve">used for </w:t>
      </w:r>
      <w:r w:rsidR="0018278F">
        <w:rPr>
          <w:rFonts w:cstheme="minorHAnsi"/>
          <w:b/>
        </w:rPr>
        <w:t>IM-</w:t>
      </w:r>
      <w:r w:rsidR="002A4060">
        <w:rPr>
          <w:rFonts w:cstheme="minorHAnsi"/>
          <w:b/>
        </w:rPr>
        <w:t>GD</w:t>
      </w:r>
      <w:r w:rsidR="0018278F" w:rsidRPr="00C00DD6">
        <w:rPr>
          <w:rFonts w:cstheme="minorHAnsi"/>
          <w:b/>
        </w:rPr>
        <w:t xml:space="preserve"> </w:t>
      </w:r>
      <w:r w:rsidR="00C00DD6" w:rsidRPr="00C00DD6">
        <w:rPr>
          <w:rFonts w:cstheme="minorHAnsi"/>
          <w:b/>
        </w:rPr>
        <w:t xml:space="preserve">in children </w:t>
      </w:r>
    </w:p>
    <w:p w14:paraId="3B9A4265" w14:textId="77777777" w:rsidR="00EC01B6" w:rsidRPr="00117750" w:rsidRDefault="00EC01B6" w:rsidP="003F494F">
      <w:pPr>
        <w:pStyle w:val="NoSpacing"/>
        <w:spacing w:line="360" w:lineRule="auto"/>
        <w:rPr>
          <w:rFonts w:cstheme="minorHAnsi"/>
          <w:b/>
        </w:rPr>
      </w:pPr>
    </w:p>
    <w:p w14:paraId="004D08C7" w14:textId="0A167205" w:rsidR="00C00DD6" w:rsidRPr="00C00DD6" w:rsidRDefault="001630D4" w:rsidP="003F494F">
      <w:pPr>
        <w:pStyle w:val="NoSpacing"/>
        <w:spacing w:line="360" w:lineRule="auto"/>
        <w:rPr>
          <w:rFonts w:cstheme="minorHAnsi"/>
          <w:b/>
          <w:u w:val="single"/>
        </w:rPr>
      </w:pPr>
      <w:r w:rsidRPr="00C00DD6">
        <w:rPr>
          <w:rFonts w:cstheme="minorHAnsi"/>
          <w:b/>
          <w:u w:val="single"/>
        </w:rPr>
        <w:t>Corticosteroids</w:t>
      </w:r>
    </w:p>
    <w:p w14:paraId="1E7AA01E" w14:textId="6F9D4AD7" w:rsidR="00913B14" w:rsidRPr="00117750" w:rsidRDefault="001630D4" w:rsidP="003F494F">
      <w:pPr>
        <w:pStyle w:val="NoSpacing"/>
        <w:spacing w:line="360" w:lineRule="auto"/>
        <w:rPr>
          <w:rFonts w:cstheme="minorHAnsi"/>
          <w:b/>
        </w:rPr>
      </w:pPr>
      <w:r w:rsidRPr="00117750">
        <w:rPr>
          <w:rFonts w:cstheme="minorHAnsi"/>
          <w:b/>
        </w:rPr>
        <w:t xml:space="preserve">Intravenous steroid </w:t>
      </w:r>
    </w:p>
    <w:p w14:paraId="6852B8D3" w14:textId="47B35DE5" w:rsidR="00913B14" w:rsidRPr="00117750" w:rsidRDefault="001630D4" w:rsidP="003F494F">
      <w:pPr>
        <w:pStyle w:val="NoSpacing"/>
        <w:spacing w:line="360" w:lineRule="auto"/>
        <w:rPr>
          <w:rFonts w:cstheme="minorHAnsi"/>
          <w:bCs/>
        </w:rPr>
      </w:pPr>
      <w:r w:rsidRPr="00117750">
        <w:rPr>
          <w:rFonts w:cstheme="minorHAnsi"/>
          <w:bCs/>
        </w:rPr>
        <w:t xml:space="preserve">Maximum </w:t>
      </w:r>
      <w:r w:rsidR="008925FE">
        <w:rPr>
          <w:rFonts w:cstheme="minorHAnsi"/>
          <w:bCs/>
        </w:rPr>
        <w:t xml:space="preserve">routine </w:t>
      </w:r>
      <w:r w:rsidRPr="00117750">
        <w:rPr>
          <w:rFonts w:cstheme="minorHAnsi"/>
          <w:bCs/>
        </w:rPr>
        <w:t>dose of IV methylprednisolone 500mg for 3 days (aligned with adult practice)</w:t>
      </w:r>
      <w:r w:rsidR="00191B03">
        <w:rPr>
          <w:rFonts w:cstheme="minorHAnsi"/>
          <w:bCs/>
        </w:rPr>
        <w:t xml:space="preserve">. Deviation may be necessary for atypical or severe cases. </w:t>
      </w:r>
    </w:p>
    <w:p w14:paraId="2D2548A9" w14:textId="77777777" w:rsidR="00913B14" w:rsidRPr="00117750" w:rsidRDefault="00913B14" w:rsidP="003F494F">
      <w:pPr>
        <w:pStyle w:val="NoSpacing"/>
        <w:spacing w:line="360" w:lineRule="auto"/>
        <w:rPr>
          <w:rFonts w:cstheme="minorHAnsi"/>
          <w:b/>
        </w:rPr>
      </w:pPr>
    </w:p>
    <w:p w14:paraId="135D0824" w14:textId="63D24088" w:rsidR="00EC01B6" w:rsidRDefault="001630D4" w:rsidP="003F494F">
      <w:pPr>
        <w:pStyle w:val="NoSpacing"/>
        <w:spacing w:line="360" w:lineRule="auto"/>
        <w:rPr>
          <w:rFonts w:cstheme="minorHAnsi"/>
          <w:b/>
        </w:rPr>
      </w:pPr>
      <w:r w:rsidRPr="00117750">
        <w:rPr>
          <w:rFonts w:cstheme="minorHAnsi"/>
          <w:b/>
        </w:rPr>
        <w:t>Oral steroid suggested tapering after induction treatment</w:t>
      </w:r>
    </w:p>
    <w:p w14:paraId="6FC42370" w14:textId="0EC287EF" w:rsidR="00191B03" w:rsidRPr="00191B03" w:rsidRDefault="00191B03" w:rsidP="003F494F">
      <w:pPr>
        <w:pStyle w:val="NoSpacing"/>
        <w:spacing w:line="360" w:lineRule="auto"/>
        <w:rPr>
          <w:rFonts w:cstheme="minorHAnsi"/>
          <w:bCs/>
        </w:rPr>
      </w:pPr>
      <w:r>
        <w:rPr>
          <w:rFonts w:cstheme="minorHAnsi"/>
          <w:bCs/>
        </w:rPr>
        <w:t xml:space="preserve">Maximum routine single oral dose 60mg once a day in the morning. Suggested taper period over 3 or 6 months using the example regimens as below. </w:t>
      </w:r>
    </w:p>
    <w:tbl>
      <w:tblPr>
        <w:tblW w:w="6361" w:type="dxa"/>
        <w:tblLook w:val="04A0" w:firstRow="1" w:lastRow="0" w:firstColumn="1" w:lastColumn="0" w:noHBand="0" w:noVBand="1"/>
      </w:tblPr>
      <w:tblGrid>
        <w:gridCol w:w="1779"/>
        <w:gridCol w:w="701"/>
        <w:gridCol w:w="701"/>
        <w:gridCol w:w="1060"/>
        <w:gridCol w:w="1060"/>
        <w:gridCol w:w="1060"/>
      </w:tblGrid>
      <w:tr w:rsidR="00837E18" w14:paraId="5507CF60" w14:textId="77777777" w:rsidTr="00EC01B6">
        <w:trPr>
          <w:trHeight w:val="300"/>
        </w:trPr>
        <w:tc>
          <w:tcPr>
            <w:tcW w:w="3181" w:type="dxa"/>
            <w:gridSpan w:val="3"/>
            <w:tcBorders>
              <w:top w:val="nil"/>
              <w:left w:val="nil"/>
              <w:bottom w:val="nil"/>
              <w:right w:val="nil"/>
            </w:tcBorders>
            <w:shd w:val="clear" w:color="auto" w:fill="auto"/>
            <w:noWrap/>
            <w:vAlign w:val="bottom"/>
            <w:hideMark/>
          </w:tcPr>
          <w:p w14:paraId="5FCC85A1" w14:textId="3EF6A5D0" w:rsidR="00191B03" w:rsidRPr="00191B03" w:rsidRDefault="00191B03" w:rsidP="003F494F">
            <w:pPr>
              <w:spacing w:line="360" w:lineRule="auto"/>
              <w:rPr>
                <w:rFonts w:eastAsia="Times New Roman" w:cstheme="minorHAnsi"/>
                <w:b/>
                <w:bCs/>
                <w:color w:val="000000"/>
                <w:sz w:val="22"/>
                <w:szCs w:val="22"/>
                <w:lang w:eastAsia="en-GB"/>
              </w:rPr>
            </w:pPr>
            <w:r w:rsidRPr="00191B03">
              <w:rPr>
                <w:rFonts w:eastAsia="Times New Roman" w:cstheme="minorHAnsi"/>
                <w:b/>
                <w:bCs/>
                <w:color w:val="000000"/>
                <w:sz w:val="22"/>
                <w:szCs w:val="22"/>
                <w:lang w:eastAsia="en-GB"/>
              </w:rPr>
              <w:t>Taper period: 3 months</w:t>
            </w:r>
          </w:p>
        </w:tc>
        <w:tc>
          <w:tcPr>
            <w:tcW w:w="1060" w:type="dxa"/>
            <w:tcBorders>
              <w:top w:val="nil"/>
              <w:left w:val="nil"/>
              <w:bottom w:val="nil"/>
              <w:right w:val="nil"/>
            </w:tcBorders>
            <w:shd w:val="clear" w:color="auto" w:fill="auto"/>
            <w:noWrap/>
            <w:vAlign w:val="bottom"/>
            <w:hideMark/>
          </w:tcPr>
          <w:p w14:paraId="442F4987" w14:textId="77777777" w:rsidR="00EC01B6" w:rsidRPr="00117750" w:rsidRDefault="00EC01B6" w:rsidP="003F494F">
            <w:pPr>
              <w:spacing w:line="360" w:lineRule="auto"/>
              <w:rPr>
                <w:rFonts w:eastAsia="Times New Roman" w:cstheme="minorHAnsi"/>
                <w:color w:val="000000"/>
                <w:sz w:val="22"/>
                <w:szCs w:val="22"/>
                <w:lang w:eastAsia="en-GB"/>
              </w:rPr>
            </w:pPr>
          </w:p>
        </w:tc>
        <w:tc>
          <w:tcPr>
            <w:tcW w:w="1060" w:type="dxa"/>
            <w:tcBorders>
              <w:top w:val="nil"/>
              <w:left w:val="nil"/>
              <w:bottom w:val="nil"/>
              <w:right w:val="nil"/>
            </w:tcBorders>
            <w:shd w:val="clear" w:color="auto" w:fill="auto"/>
            <w:noWrap/>
            <w:vAlign w:val="bottom"/>
            <w:hideMark/>
          </w:tcPr>
          <w:p w14:paraId="6524AA4A" w14:textId="77777777" w:rsidR="00EC01B6" w:rsidRPr="00117750" w:rsidRDefault="00EC01B6" w:rsidP="003F494F">
            <w:pPr>
              <w:spacing w:line="360" w:lineRule="auto"/>
              <w:rPr>
                <w:rFonts w:eastAsia="Times New Roman" w:cstheme="minorHAnsi"/>
                <w:sz w:val="22"/>
                <w:szCs w:val="22"/>
                <w:lang w:eastAsia="en-GB"/>
              </w:rPr>
            </w:pPr>
          </w:p>
        </w:tc>
        <w:tc>
          <w:tcPr>
            <w:tcW w:w="1060" w:type="dxa"/>
            <w:tcBorders>
              <w:top w:val="nil"/>
              <w:left w:val="nil"/>
              <w:bottom w:val="nil"/>
              <w:right w:val="nil"/>
            </w:tcBorders>
            <w:shd w:val="clear" w:color="auto" w:fill="auto"/>
            <w:noWrap/>
            <w:vAlign w:val="bottom"/>
            <w:hideMark/>
          </w:tcPr>
          <w:p w14:paraId="4AA5C873" w14:textId="77777777" w:rsidR="00EC01B6" w:rsidRPr="00117750" w:rsidRDefault="00EC01B6" w:rsidP="003F494F">
            <w:pPr>
              <w:spacing w:line="360" w:lineRule="auto"/>
              <w:rPr>
                <w:rFonts w:eastAsia="Times New Roman" w:cstheme="minorHAnsi"/>
                <w:sz w:val="22"/>
                <w:szCs w:val="22"/>
                <w:lang w:eastAsia="en-GB"/>
              </w:rPr>
            </w:pPr>
          </w:p>
        </w:tc>
      </w:tr>
      <w:tr w:rsidR="00837E18" w14:paraId="4A579FBE" w14:textId="77777777" w:rsidTr="00EC01B6">
        <w:trPr>
          <w:trHeight w:val="300"/>
        </w:trPr>
        <w:tc>
          <w:tcPr>
            <w:tcW w:w="1779" w:type="dxa"/>
            <w:tcBorders>
              <w:top w:val="nil"/>
              <w:left w:val="nil"/>
              <w:bottom w:val="nil"/>
              <w:right w:val="nil"/>
            </w:tcBorders>
            <w:shd w:val="clear" w:color="auto" w:fill="auto"/>
            <w:noWrap/>
            <w:vAlign w:val="bottom"/>
            <w:hideMark/>
          </w:tcPr>
          <w:p w14:paraId="27AB696C" w14:textId="77777777" w:rsidR="00EC01B6" w:rsidRPr="00117750" w:rsidRDefault="00EC01B6" w:rsidP="003F494F">
            <w:pPr>
              <w:spacing w:line="360" w:lineRule="auto"/>
              <w:rPr>
                <w:rFonts w:eastAsia="Times New Roman" w:cstheme="minorHAnsi"/>
                <w:sz w:val="22"/>
                <w:szCs w:val="22"/>
                <w:lang w:eastAsia="en-GB"/>
              </w:rPr>
            </w:pPr>
          </w:p>
        </w:tc>
        <w:tc>
          <w:tcPr>
            <w:tcW w:w="4582" w:type="dxa"/>
            <w:gridSpan w:val="5"/>
            <w:tcBorders>
              <w:top w:val="nil"/>
              <w:left w:val="nil"/>
              <w:bottom w:val="nil"/>
              <w:right w:val="nil"/>
            </w:tcBorders>
            <w:shd w:val="clear" w:color="auto" w:fill="auto"/>
            <w:noWrap/>
            <w:vAlign w:val="bottom"/>
            <w:hideMark/>
          </w:tcPr>
          <w:p w14:paraId="75F81C03" w14:textId="23461453" w:rsidR="00EC01B6" w:rsidRPr="00117750" w:rsidRDefault="00812DE7" w:rsidP="003F494F">
            <w:pPr>
              <w:spacing w:line="360" w:lineRule="auto"/>
              <w:rPr>
                <w:rFonts w:eastAsia="Times New Roman" w:cstheme="minorHAnsi"/>
                <w:sz w:val="22"/>
                <w:szCs w:val="22"/>
                <w:lang w:eastAsia="en-GB"/>
              </w:rPr>
            </w:pPr>
            <w:r>
              <w:rPr>
                <w:rFonts w:eastAsia="Times New Roman" w:cstheme="minorHAnsi"/>
                <w:sz w:val="22"/>
                <w:szCs w:val="22"/>
                <w:lang w:eastAsia="en-GB"/>
              </w:rPr>
              <w:t>S</w:t>
            </w:r>
            <w:r w:rsidR="008925FE">
              <w:rPr>
                <w:rFonts w:eastAsia="Times New Roman" w:cstheme="minorHAnsi"/>
                <w:sz w:val="22"/>
                <w:szCs w:val="22"/>
                <w:lang w:eastAsia="en-GB"/>
              </w:rPr>
              <w:t>elect s</w:t>
            </w:r>
            <w:r>
              <w:rPr>
                <w:rFonts w:eastAsia="Times New Roman" w:cstheme="minorHAnsi"/>
                <w:sz w:val="22"/>
                <w:szCs w:val="22"/>
                <w:lang w:eastAsia="en-GB"/>
              </w:rPr>
              <w:t>tarting d</w:t>
            </w:r>
            <w:r w:rsidR="001630D4" w:rsidRPr="00117750">
              <w:rPr>
                <w:rFonts w:eastAsia="Times New Roman" w:cstheme="minorHAnsi"/>
                <w:sz w:val="22"/>
                <w:szCs w:val="22"/>
                <w:lang w:eastAsia="en-GB"/>
              </w:rPr>
              <w:t>ose of oral prednisolone (mg/day)</w:t>
            </w:r>
          </w:p>
        </w:tc>
      </w:tr>
      <w:tr w:rsidR="00837E18" w14:paraId="633B3140" w14:textId="77777777" w:rsidTr="00EC01B6">
        <w:trPr>
          <w:trHeight w:val="300"/>
        </w:trPr>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81138" w14:textId="77777777" w:rsidR="00EC01B6" w:rsidRPr="00117750" w:rsidRDefault="001630D4" w:rsidP="003F494F">
            <w:pPr>
              <w:spacing w:line="360" w:lineRule="auto"/>
              <w:rPr>
                <w:rFonts w:eastAsia="Times New Roman" w:cstheme="minorHAnsi"/>
                <w:b/>
                <w:bCs/>
                <w:color w:val="000000"/>
                <w:sz w:val="22"/>
                <w:szCs w:val="22"/>
                <w:lang w:eastAsia="en-GB"/>
              </w:rPr>
            </w:pPr>
            <w:r w:rsidRPr="00117750">
              <w:rPr>
                <w:rFonts w:eastAsia="Times New Roman" w:cstheme="minorHAnsi"/>
                <w:b/>
                <w:bCs/>
                <w:color w:val="000000"/>
                <w:sz w:val="22"/>
                <w:szCs w:val="22"/>
                <w:lang w:eastAsia="en-GB"/>
              </w:rPr>
              <w:t>Weeks</w:t>
            </w:r>
          </w:p>
        </w:tc>
        <w:tc>
          <w:tcPr>
            <w:tcW w:w="701" w:type="dxa"/>
            <w:tcBorders>
              <w:top w:val="single" w:sz="4" w:space="0" w:color="auto"/>
              <w:left w:val="nil"/>
              <w:bottom w:val="single" w:sz="4" w:space="0" w:color="auto"/>
              <w:right w:val="single" w:sz="4" w:space="0" w:color="auto"/>
            </w:tcBorders>
            <w:shd w:val="clear" w:color="auto" w:fill="auto"/>
            <w:noWrap/>
            <w:vAlign w:val="bottom"/>
            <w:hideMark/>
          </w:tcPr>
          <w:p w14:paraId="4AD958FA" w14:textId="77777777" w:rsidR="00EC01B6" w:rsidRPr="00117750" w:rsidRDefault="001630D4" w:rsidP="003F494F">
            <w:pPr>
              <w:spacing w:line="360" w:lineRule="auto"/>
              <w:jc w:val="right"/>
              <w:rPr>
                <w:rFonts w:eastAsia="Times New Roman" w:cstheme="minorHAnsi"/>
                <w:b/>
                <w:bCs/>
                <w:color w:val="000000"/>
                <w:sz w:val="22"/>
                <w:szCs w:val="22"/>
                <w:lang w:eastAsia="en-GB"/>
              </w:rPr>
            </w:pPr>
            <w:r w:rsidRPr="00117750">
              <w:rPr>
                <w:rFonts w:eastAsia="Times New Roman" w:cstheme="minorHAnsi"/>
                <w:b/>
                <w:bCs/>
                <w:color w:val="000000"/>
                <w:sz w:val="22"/>
                <w:szCs w:val="22"/>
                <w:lang w:eastAsia="en-GB"/>
              </w:rPr>
              <w:t>40</w:t>
            </w:r>
          </w:p>
        </w:tc>
        <w:tc>
          <w:tcPr>
            <w:tcW w:w="701" w:type="dxa"/>
            <w:tcBorders>
              <w:top w:val="single" w:sz="4" w:space="0" w:color="auto"/>
              <w:left w:val="nil"/>
              <w:bottom w:val="single" w:sz="4" w:space="0" w:color="auto"/>
              <w:right w:val="single" w:sz="4" w:space="0" w:color="auto"/>
            </w:tcBorders>
            <w:shd w:val="clear" w:color="auto" w:fill="auto"/>
            <w:noWrap/>
            <w:vAlign w:val="bottom"/>
            <w:hideMark/>
          </w:tcPr>
          <w:p w14:paraId="0F373B2D" w14:textId="77777777" w:rsidR="00EC01B6" w:rsidRPr="00117750" w:rsidRDefault="001630D4" w:rsidP="003F494F">
            <w:pPr>
              <w:spacing w:line="360" w:lineRule="auto"/>
              <w:jc w:val="right"/>
              <w:rPr>
                <w:rFonts w:eastAsia="Times New Roman" w:cstheme="minorHAnsi"/>
                <w:b/>
                <w:bCs/>
                <w:color w:val="000000"/>
                <w:sz w:val="22"/>
                <w:szCs w:val="22"/>
                <w:lang w:eastAsia="en-GB"/>
              </w:rPr>
            </w:pPr>
            <w:r w:rsidRPr="00117750">
              <w:rPr>
                <w:rFonts w:eastAsia="Times New Roman" w:cstheme="minorHAnsi"/>
                <w:b/>
                <w:bCs/>
                <w:color w:val="000000"/>
                <w:sz w:val="22"/>
                <w:szCs w:val="22"/>
                <w:lang w:eastAsia="en-GB"/>
              </w:rPr>
              <w:t>35</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54E5E458" w14:textId="77777777" w:rsidR="00EC01B6" w:rsidRPr="00117750" w:rsidRDefault="001630D4" w:rsidP="003F494F">
            <w:pPr>
              <w:spacing w:line="360" w:lineRule="auto"/>
              <w:jc w:val="right"/>
              <w:rPr>
                <w:rFonts w:eastAsia="Times New Roman" w:cstheme="minorHAnsi"/>
                <w:b/>
                <w:bCs/>
                <w:color w:val="000000"/>
                <w:sz w:val="22"/>
                <w:szCs w:val="22"/>
                <w:lang w:eastAsia="en-GB"/>
              </w:rPr>
            </w:pPr>
            <w:r w:rsidRPr="00117750">
              <w:rPr>
                <w:rFonts w:eastAsia="Times New Roman" w:cstheme="minorHAnsi"/>
                <w:b/>
                <w:bCs/>
                <w:color w:val="000000"/>
                <w:sz w:val="22"/>
                <w:szCs w:val="22"/>
                <w:lang w:eastAsia="en-GB"/>
              </w:rPr>
              <w:t>30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1275EA40" w14:textId="77777777" w:rsidR="00EC01B6" w:rsidRPr="00117750" w:rsidRDefault="001630D4" w:rsidP="003F494F">
            <w:pPr>
              <w:spacing w:line="360" w:lineRule="auto"/>
              <w:jc w:val="right"/>
              <w:rPr>
                <w:rFonts w:eastAsia="Times New Roman" w:cstheme="minorHAnsi"/>
                <w:b/>
                <w:bCs/>
                <w:color w:val="000000"/>
                <w:sz w:val="22"/>
                <w:szCs w:val="22"/>
                <w:lang w:eastAsia="en-GB"/>
              </w:rPr>
            </w:pPr>
            <w:r w:rsidRPr="00117750">
              <w:rPr>
                <w:rFonts w:eastAsia="Times New Roman" w:cstheme="minorHAnsi"/>
                <w:b/>
                <w:bCs/>
                <w:color w:val="000000"/>
                <w:sz w:val="22"/>
                <w:szCs w:val="22"/>
                <w:lang w:eastAsia="en-GB"/>
              </w:rPr>
              <w:t>25</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50A84A67" w14:textId="77777777" w:rsidR="00EC01B6" w:rsidRPr="00117750" w:rsidRDefault="001630D4" w:rsidP="003F494F">
            <w:pPr>
              <w:spacing w:line="360" w:lineRule="auto"/>
              <w:jc w:val="right"/>
              <w:rPr>
                <w:rFonts w:eastAsia="Times New Roman" w:cstheme="minorHAnsi"/>
                <w:b/>
                <w:bCs/>
                <w:color w:val="000000"/>
                <w:sz w:val="22"/>
                <w:szCs w:val="22"/>
                <w:lang w:eastAsia="en-GB"/>
              </w:rPr>
            </w:pPr>
            <w:r w:rsidRPr="00117750">
              <w:rPr>
                <w:rFonts w:eastAsia="Times New Roman" w:cstheme="minorHAnsi"/>
                <w:b/>
                <w:bCs/>
                <w:color w:val="000000"/>
                <w:sz w:val="22"/>
                <w:szCs w:val="22"/>
                <w:lang w:eastAsia="en-GB"/>
              </w:rPr>
              <w:t>20</w:t>
            </w:r>
          </w:p>
        </w:tc>
      </w:tr>
      <w:tr w:rsidR="00837E18" w14:paraId="71F7493D" w14:textId="77777777" w:rsidTr="00EC01B6">
        <w:trPr>
          <w:trHeight w:val="300"/>
        </w:trPr>
        <w:tc>
          <w:tcPr>
            <w:tcW w:w="1779" w:type="dxa"/>
            <w:tcBorders>
              <w:top w:val="nil"/>
              <w:left w:val="single" w:sz="4" w:space="0" w:color="auto"/>
              <w:bottom w:val="single" w:sz="4" w:space="0" w:color="auto"/>
              <w:right w:val="single" w:sz="4" w:space="0" w:color="auto"/>
            </w:tcBorders>
            <w:shd w:val="clear" w:color="auto" w:fill="auto"/>
            <w:noWrap/>
            <w:vAlign w:val="bottom"/>
            <w:hideMark/>
          </w:tcPr>
          <w:p w14:paraId="70DD4A4D" w14:textId="77777777" w:rsidR="00EC01B6" w:rsidRPr="00117750" w:rsidRDefault="001630D4" w:rsidP="003F494F">
            <w:pPr>
              <w:spacing w:line="360" w:lineRule="auto"/>
              <w:rPr>
                <w:rFonts w:eastAsia="Times New Roman" w:cstheme="minorHAnsi"/>
                <w:color w:val="000000"/>
                <w:sz w:val="22"/>
                <w:szCs w:val="22"/>
                <w:lang w:eastAsia="en-GB"/>
              </w:rPr>
            </w:pPr>
            <w:r w:rsidRPr="00117750">
              <w:rPr>
                <w:rFonts w:eastAsia="Times New Roman" w:cstheme="minorHAnsi"/>
                <w:color w:val="000000"/>
                <w:sz w:val="22"/>
                <w:szCs w:val="22"/>
                <w:lang w:eastAsia="en-GB"/>
              </w:rPr>
              <w:t>1-4</w:t>
            </w:r>
          </w:p>
        </w:tc>
        <w:tc>
          <w:tcPr>
            <w:tcW w:w="701" w:type="dxa"/>
            <w:tcBorders>
              <w:top w:val="nil"/>
              <w:left w:val="nil"/>
              <w:bottom w:val="nil"/>
              <w:right w:val="nil"/>
            </w:tcBorders>
            <w:shd w:val="clear" w:color="auto" w:fill="auto"/>
            <w:noWrap/>
            <w:vAlign w:val="bottom"/>
            <w:hideMark/>
          </w:tcPr>
          <w:p w14:paraId="747854F2"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40</w:t>
            </w:r>
          </w:p>
        </w:tc>
        <w:tc>
          <w:tcPr>
            <w:tcW w:w="701" w:type="dxa"/>
            <w:tcBorders>
              <w:top w:val="nil"/>
              <w:left w:val="nil"/>
              <w:bottom w:val="nil"/>
              <w:right w:val="nil"/>
            </w:tcBorders>
            <w:shd w:val="clear" w:color="auto" w:fill="auto"/>
            <w:noWrap/>
            <w:vAlign w:val="bottom"/>
            <w:hideMark/>
          </w:tcPr>
          <w:p w14:paraId="475FB42F"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35</w:t>
            </w:r>
          </w:p>
        </w:tc>
        <w:tc>
          <w:tcPr>
            <w:tcW w:w="1060" w:type="dxa"/>
            <w:tcBorders>
              <w:top w:val="nil"/>
              <w:left w:val="nil"/>
              <w:bottom w:val="nil"/>
              <w:right w:val="nil"/>
            </w:tcBorders>
            <w:shd w:val="clear" w:color="auto" w:fill="auto"/>
            <w:noWrap/>
            <w:vAlign w:val="bottom"/>
            <w:hideMark/>
          </w:tcPr>
          <w:p w14:paraId="3D905B0C"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25</w:t>
            </w:r>
          </w:p>
        </w:tc>
        <w:tc>
          <w:tcPr>
            <w:tcW w:w="1060" w:type="dxa"/>
            <w:tcBorders>
              <w:top w:val="nil"/>
              <w:left w:val="nil"/>
              <w:bottom w:val="nil"/>
              <w:right w:val="nil"/>
            </w:tcBorders>
            <w:shd w:val="clear" w:color="auto" w:fill="auto"/>
            <w:noWrap/>
            <w:vAlign w:val="bottom"/>
            <w:hideMark/>
          </w:tcPr>
          <w:p w14:paraId="6601AB61"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25</w:t>
            </w:r>
          </w:p>
        </w:tc>
        <w:tc>
          <w:tcPr>
            <w:tcW w:w="1060" w:type="dxa"/>
            <w:tcBorders>
              <w:top w:val="nil"/>
              <w:left w:val="nil"/>
              <w:bottom w:val="nil"/>
              <w:right w:val="single" w:sz="4" w:space="0" w:color="auto"/>
            </w:tcBorders>
            <w:shd w:val="clear" w:color="auto" w:fill="auto"/>
            <w:noWrap/>
            <w:vAlign w:val="bottom"/>
            <w:hideMark/>
          </w:tcPr>
          <w:p w14:paraId="6918A824"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20</w:t>
            </w:r>
          </w:p>
        </w:tc>
      </w:tr>
      <w:tr w:rsidR="00837E18" w14:paraId="79E7B734" w14:textId="77777777" w:rsidTr="00EC01B6">
        <w:trPr>
          <w:trHeight w:val="300"/>
        </w:trPr>
        <w:tc>
          <w:tcPr>
            <w:tcW w:w="1779" w:type="dxa"/>
            <w:tcBorders>
              <w:top w:val="nil"/>
              <w:left w:val="single" w:sz="4" w:space="0" w:color="auto"/>
              <w:bottom w:val="single" w:sz="4" w:space="0" w:color="auto"/>
              <w:right w:val="single" w:sz="4" w:space="0" w:color="auto"/>
            </w:tcBorders>
            <w:shd w:val="clear" w:color="auto" w:fill="auto"/>
            <w:noWrap/>
            <w:vAlign w:val="bottom"/>
            <w:hideMark/>
          </w:tcPr>
          <w:p w14:paraId="36C19309" w14:textId="77777777" w:rsidR="00EC01B6" w:rsidRPr="00117750" w:rsidRDefault="001630D4" w:rsidP="003F494F">
            <w:pPr>
              <w:spacing w:line="360" w:lineRule="auto"/>
              <w:rPr>
                <w:rFonts w:eastAsia="Times New Roman" w:cstheme="minorHAnsi"/>
                <w:color w:val="000000"/>
                <w:sz w:val="22"/>
                <w:szCs w:val="22"/>
                <w:lang w:eastAsia="en-GB"/>
              </w:rPr>
            </w:pPr>
            <w:r w:rsidRPr="00117750">
              <w:rPr>
                <w:rFonts w:eastAsia="Times New Roman" w:cstheme="minorHAnsi"/>
                <w:color w:val="000000"/>
                <w:sz w:val="22"/>
                <w:szCs w:val="22"/>
                <w:lang w:eastAsia="en-GB"/>
              </w:rPr>
              <w:t>5-6</w:t>
            </w:r>
          </w:p>
        </w:tc>
        <w:tc>
          <w:tcPr>
            <w:tcW w:w="701" w:type="dxa"/>
            <w:tcBorders>
              <w:top w:val="nil"/>
              <w:left w:val="nil"/>
              <w:bottom w:val="nil"/>
              <w:right w:val="nil"/>
            </w:tcBorders>
            <w:shd w:val="clear" w:color="auto" w:fill="auto"/>
            <w:noWrap/>
            <w:vAlign w:val="bottom"/>
            <w:hideMark/>
          </w:tcPr>
          <w:p w14:paraId="3B328D12"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30</w:t>
            </w:r>
          </w:p>
        </w:tc>
        <w:tc>
          <w:tcPr>
            <w:tcW w:w="701" w:type="dxa"/>
            <w:tcBorders>
              <w:top w:val="nil"/>
              <w:left w:val="nil"/>
              <w:bottom w:val="nil"/>
              <w:right w:val="nil"/>
            </w:tcBorders>
            <w:shd w:val="clear" w:color="auto" w:fill="auto"/>
            <w:noWrap/>
            <w:vAlign w:val="bottom"/>
            <w:hideMark/>
          </w:tcPr>
          <w:p w14:paraId="1D5ACC59"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25</w:t>
            </w:r>
          </w:p>
        </w:tc>
        <w:tc>
          <w:tcPr>
            <w:tcW w:w="1060" w:type="dxa"/>
            <w:tcBorders>
              <w:top w:val="nil"/>
              <w:left w:val="nil"/>
              <w:bottom w:val="nil"/>
              <w:right w:val="nil"/>
            </w:tcBorders>
            <w:shd w:val="clear" w:color="auto" w:fill="auto"/>
            <w:noWrap/>
            <w:vAlign w:val="bottom"/>
            <w:hideMark/>
          </w:tcPr>
          <w:p w14:paraId="3F5E3FE2"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20</w:t>
            </w:r>
          </w:p>
        </w:tc>
        <w:tc>
          <w:tcPr>
            <w:tcW w:w="1060" w:type="dxa"/>
            <w:tcBorders>
              <w:top w:val="nil"/>
              <w:left w:val="nil"/>
              <w:bottom w:val="nil"/>
              <w:right w:val="nil"/>
            </w:tcBorders>
            <w:shd w:val="clear" w:color="auto" w:fill="auto"/>
            <w:noWrap/>
            <w:vAlign w:val="bottom"/>
            <w:hideMark/>
          </w:tcPr>
          <w:p w14:paraId="1DC59ADE"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20</w:t>
            </w:r>
          </w:p>
        </w:tc>
        <w:tc>
          <w:tcPr>
            <w:tcW w:w="1060" w:type="dxa"/>
            <w:tcBorders>
              <w:top w:val="nil"/>
              <w:left w:val="nil"/>
              <w:bottom w:val="nil"/>
              <w:right w:val="single" w:sz="4" w:space="0" w:color="auto"/>
            </w:tcBorders>
            <w:shd w:val="clear" w:color="auto" w:fill="auto"/>
            <w:noWrap/>
            <w:vAlign w:val="bottom"/>
            <w:hideMark/>
          </w:tcPr>
          <w:p w14:paraId="40D3015A"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15</w:t>
            </w:r>
          </w:p>
        </w:tc>
      </w:tr>
      <w:tr w:rsidR="00837E18" w14:paraId="363F8AC9" w14:textId="77777777" w:rsidTr="00EC01B6">
        <w:trPr>
          <w:trHeight w:val="300"/>
        </w:trPr>
        <w:tc>
          <w:tcPr>
            <w:tcW w:w="1779" w:type="dxa"/>
            <w:tcBorders>
              <w:top w:val="nil"/>
              <w:left w:val="single" w:sz="4" w:space="0" w:color="auto"/>
              <w:bottom w:val="single" w:sz="4" w:space="0" w:color="auto"/>
              <w:right w:val="single" w:sz="4" w:space="0" w:color="auto"/>
            </w:tcBorders>
            <w:shd w:val="clear" w:color="auto" w:fill="auto"/>
            <w:noWrap/>
            <w:vAlign w:val="bottom"/>
            <w:hideMark/>
          </w:tcPr>
          <w:p w14:paraId="496C3A1B" w14:textId="77777777" w:rsidR="00EC01B6" w:rsidRPr="00117750" w:rsidRDefault="001630D4" w:rsidP="003F494F">
            <w:pPr>
              <w:spacing w:line="360" w:lineRule="auto"/>
              <w:rPr>
                <w:rFonts w:eastAsia="Times New Roman" w:cstheme="minorHAnsi"/>
                <w:color w:val="000000"/>
                <w:sz w:val="22"/>
                <w:szCs w:val="22"/>
                <w:lang w:eastAsia="en-GB"/>
              </w:rPr>
            </w:pPr>
            <w:r w:rsidRPr="00117750">
              <w:rPr>
                <w:rFonts w:eastAsia="Times New Roman" w:cstheme="minorHAnsi"/>
                <w:color w:val="000000"/>
                <w:sz w:val="22"/>
                <w:szCs w:val="22"/>
                <w:lang w:eastAsia="en-GB"/>
              </w:rPr>
              <w:t>7-8</w:t>
            </w:r>
          </w:p>
        </w:tc>
        <w:tc>
          <w:tcPr>
            <w:tcW w:w="701" w:type="dxa"/>
            <w:tcBorders>
              <w:top w:val="nil"/>
              <w:left w:val="nil"/>
              <w:bottom w:val="nil"/>
              <w:right w:val="nil"/>
            </w:tcBorders>
            <w:shd w:val="clear" w:color="auto" w:fill="auto"/>
            <w:noWrap/>
            <w:vAlign w:val="bottom"/>
            <w:hideMark/>
          </w:tcPr>
          <w:p w14:paraId="57FDED28"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20</w:t>
            </w:r>
          </w:p>
        </w:tc>
        <w:tc>
          <w:tcPr>
            <w:tcW w:w="701" w:type="dxa"/>
            <w:tcBorders>
              <w:top w:val="nil"/>
              <w:left w:val="nil"/>
              <w:bottom w:val="nil"/>
              <w:right w:val="nil"/>
            </w:tcBorders>
            <w:shd w:val="clear" w:color="auto" w:fill="auto"/>
            <w:noWrap/>
            <w:vAlign w:val="bottom"/>
            <w:hideMark/>
          </w:tcPr>
          <w:p w14:paraId="437FFF15"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15</w:t>
            </w:r>
          </w:p>
        </w:tc>
        <w:tc>
          <w:tcPr>
            <w:tcW w:w="1060" w:type="dxa"/>
            <w:tcBorders>
              <w:top w:val="nil"/>
              <w:left w:val="nil"/>
              <w:bottom w:val="nil"/>
              <w:right w:val="nil"/>
            </w:tcBorders>
            <w:shd w:val="clear" w:color="auto" w:fill="auto"/>
            <w:noWrap/>
            <w:vAlign w:val="bottom"/>
            <w:hideMark/>
          </w:tcPr>
          <w:p w14:paraId="2069A385"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15</w:t>
            </w:r>
          </w:p>
        </w:tc>
        <w:tc>
          <w:tcPr>
            <w:tcW w:w="1060" w:type="dxa"/>
            <w:tcBorders>
              <w:top w:val="nil"/>
              <w:left w:val="nil"/>
              <w:bottom w:val="nil"/>
              <w:right w:val="nil"/>
            </w:tcBorders>
            <w:shd w:val="clear" w:color="auto" w:fill="auto"/>
            <w:noWrap/>
            <w:vAlign w:val="bottom"/>
            <w:hideMark/>
          </w:tcPr>
          <w:p w14:paraId="0FB2E575"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15</w:t>
            </w:r>
          </w:p>
        </w:tc>
        <w:tc>
          <w:tcPr>
            <w:tcW w:w="1060" w:type="dxa"/>
            <w:tcBorders>
              <w:top w:val="nil"/>
              <w:left w:val="nil"/>
              <w:bottom w:val="nil"/>
              <w:right w:val="single" w:sz="4" w:space="0" w:color="auto"/>
            </w:tcBorders>
            <w:shd w:val="clear" w:color="auto" w:fill="auto"/>
            <w:noWrap/>
            <w:vAlign w:val="bottom"/>
            <w:hideMark/>
          </w:tcPr>
          <w:p w14:paraId="5D197F8F"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10</w:t>
            </w:r>
          </w:p>
        </w:tc>
      </w:tr>
      <w:tr w:rsidR="00837E18" w14:paraId="2DCA87ED" w14:textId="77777777" w:rsidTr="00EC01B6">
        <w:trPr>
          <w:trHeight w:val="300"/>
        </w:trPr>
        <w:tc>
          <w:tcPr>
            <w:tcW w:w="1779" w:type="dxa"/>
            <w:tcBorders>
              <w:top w:val="nil"/>
              <w:left w:val="single" w:sz="4" w:space="0" w:color="auto"/>
              <w:bottom w:val="single" w:sz="4" w:space="0" w:color="auto"/>
              <w:right w:val="single" w:sz="4" w:space="0" w:color="auto"/>
            </w:tcBorders>
            <w:shd w:val="clear" w:color="auto" w:fill="auto"/>
            <w:noWrap/>
            <w:vAlign w:val="bottom"/>
            <w:hideMark/>
          </w:tcPr>
          <w:p w14:paraId="3EBC01D5" w14:textId="77777777" w:rsidR="00EC01B6" w:rsidRPr="00117750" w:rsidRDefault="001630D4" w:rsidP="003F494F">
            <w:pPr>
              <w:spacing w:line="360" w:lineRule="auto"/>
              <w:rPr>
                <w:rFonts w:eastAsia="Times New Roman" w:cstheme="minorHAnsi"/>
                <w:color w:val="000000"/>
                <w:sz w:val="22"/>
                <w:szCs w:val="22"/>
                <w:lang w:eastAsia="en-GB"/>
              </w:rPr>
            </w:pPr>
            <w:r w:rsidRPr="00117750">
              <w:rPr>
                <w:rFonts w:eastAsia="Times New Roman" w:cstheme="minorHAnsi"/>
                <w:color w:val="000000"/>
                <w:sz w:val="22"/>
                <w:szCs w:val="22"/>
                <w:lang w:eastAsia="en-GB"/>
              </w:rPr>
              <w:t>9-12</w:t>
            </w:r>
          </w:p>
        </w:tc>
        <w:tc>
          <w:tcPr>
            <w:tcW w:w="701" w:type="dxa"/>
            <w:tcBorders>
              <w:top w:val="nil"/>
              <w:left w:val="nil"/>
              <w:bottom w:val="nil"/>
              <w:right w:val="nil"/>
            </w:tcBorders>
            <w:shd w:val="clear" w:color="auto" w:fill="auto"/>
            <w:noWrap/>
            <w:vAlign w:val="bottom"/>
            <w:hideMark/>
          </w:tcPr>
          <w:p w14:paraId="4D9F26CA"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10</w:t>
            </w:r>
          </w:p>
        </w:tc>
        <w:tc>
          <w:tcPr>
            <w:tcW w:w="701" w:type="dxa"/>
            <w:tcBorders>
              <w:top w:val="nil"/>
              <w:left w:val="nil"/>
              <w:bottom w:val="nil"/>
              <w:right w:val="nil"/>
            </w:tcBorders>
            <w:shd w:val="clear" w:color="auto" w:fill="auto"/>
            <w:noWrap/>
            <w:vAlign w:val="bottom"/>
            <w:hideMark/>
          </w:tcPr>
          <w:p w14:paraId="6D9FE820"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10</w:t>
            </w:r>
          </w:p>
        </w:tc>
        <w:tc>
          <w:tcPr>
            <w:tcW w:w="1060" w:type="dxa"/>
            <w:tcBorders>
              <w:top w:val="nil"/>
              <w:left w:val="nil"/>
              <w:bottom w:val="nil"/>
              <w:right w:val="nil"/>
            </w:tcBorders>
            <w:shd w:val="clear" w:color="auto" w:fill="auto"/>
            <w:noWrap/>
            <w:vAlign w:val="bottom"/>
            <w:hideMark/>
          </w:tcPr>
          <w:p w14:paraId="2A98FE2D"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10</w:t>
            </w:r>
          </w:p>
        </w:tc>
        <w:tc>
          <w:tcPr>
            <w:tcW w:w="1060" w:type="dxa"/>
            <w:tcBorders>
              <w:top w:val="nil"/>
              <w:left w:val="nil"/>
              <w:bottom w:val="nil"/>
              <w:right w:val="nil"/>
            </w:tcBorders>
            <w:shd w:val="clear" w:color="auto" w:fill="auto"/>
            <w:noWrap/>
            <w:vAlign w:val="bottom"/>
            <w:hideMark/>
          </w:tcPr>
          <w:p w14:paraId="4A5BC336"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10</w:t>
            </w:r>
          </w:p>
        </w:tc>
        <w:tc>
          <w:tcPr>
            <w:tcW w:w="1060" w:type="dxa"/>
            <w:tcBorders>
              <w:top w:val="nil"/>
              <w:left w:val="nil"/>
              <w:bottom w:val="nil"/>
              <w:right w:val="single" w:sz="4" w:space="0" w:color="auto"/>
            </w:tcBorders>
            <w:shd w:val="clear" w:color="auto" w:fill="auto"/>
            <w:noWrap/>
            <w:vAlign w:val="bottom"/>
            <w:hideMark/>
          </w:tcPr>
          <w:p w14:paraId="3D5CD7AB"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5</w:t>
            </w:r>
          </w:p>
        </w:tc>
      </w:tr>
      <w:tr w:rsidR="00837E18" w14:paraId="7BDEC6F6" w14:textId="77777777" w:rsidTr="00EC01B6">
        <w:trPr>
          <w:trHeight w:val="300"/>
        </w:trPr>
        <w:tc>
          <w:tcPr>
            <w:tcW w:w="1779" w:type="dxa"/>
            <w:tcBorders>
              <w:top w:val="nil"/>
              <w:left w:val="single" w:sz="4" w:space="0" w:color="auto"/>
              <w:bottom w:val="single" w:sz="4" w:space="0" w:color="auto"/>
              <w:right w:val="single" w:sz="4" w:space="0" w:color="auto"/>
            </w:tcBorders>
            <w:shd w:val="clear" w:color="auto" w:fill="auto"/>
            <w:noWrap/>
            <w:vAlign w:val="bottom"/>
            <w:hideMark/>
          </w:tcPr>
          <w:p w14:paraId="4DCD498B" w14:textId="77777777" w:rsidR="00EC01B6" w:rsidRPr="00117750" w:rsidRDefault="001630D4" w:rsidP="003F494F">
            <w:pPr>
              <w:spacing w:line="360" w:lineRule="auto"/>
              <w:rPr>
                <w:rFonts w:eastAsia="Times New Roman" w:cstheme="minorHAnsi"/>
                <w:color w:val="000000"/>
                <w:sz w:val="22"/>
                <w:szCs w:val="22"/>
                <w:lang w:eastAsia="en-GB"/>
              </w:rPr>
            </w:pPr>
            <w:r w:rsidRPr="00117750">
              <w:rPr>
                <w:rFonts w:eastAsia="Times New Roman" w:cstheme="minorHAnsi"/>
                <w:color w:val="000000"/>
                <w:sz w:val="22"/>
                <w:szCs w:val="22"/>
                <w:lang w:eastAsia="en-GB"/>
              </w:rPr>
              <w:t>11-12</w:t>
            </w:r>
          </w:p>
        </w:tc>
        <w:tc>
          <w:tcPr>
            <w:tcW w:w="701" w:type="dxa"/>
            <w:tcBorders>
              <w:top w:val="nil"/>
              <w:left w:val="nil"/>
              <w:bottom w:val="single" w:sz="4" w:space="0" w:color="auto"/>
              <w:right w:val="nil"/>
            </w:tcBorders>
            <w:shd w:val="clear" w:color="auto" w:fill="auto"/>
            <w:noWrap/>
            <w:vAlign w:val="bottom"/>
            <w:hideMark/>
          </w:tcPr>
          <w:p w14:paraId="578B270C"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5</w:t>
            </w:r>
          </w:p>
        </w:tc>
        <w:tc>
          <w:tcPr>
            <w:tcW w:w="701" w:type="dxa"/>
            <w:tcBorders>
              <w:top w:val="nil"/>
              <w:left w:val="nil"/>
              <w:bottom w:val="single" w:sz="4" w:space="0" w:color="auto"/>
              <w:right w:val="nil"/>
            </w:tcBorders>
            <w:shd w:val="clear" w:color="auto" w:fill="auto"/>
            <w:noWrap/>
            <w:vAlign w:val="bottom"/>
            <w:hideMark/>
          </w:tcPr>
          <w:p w14:paraId="1065D120"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5</w:t>
            </w:r>
          </w:p>
        </w:tc>
        <w:tc>
          <w:tcPr>
            <w:tcW w:w="1060" w:type="dxa"/>
            <w:tcBorders>
              <w:top w:val="nil"/>
              <w:left w:val="nil"/>
              <w:bottom w:val="single" w:sz="4" w:space="0" w:color="auto"/>
              <w:right w:val="nil"/>
            </w:tcBorders>
            <w:shd w:val="clear" w:color="auto" w:fill="auto"/>
            <w:noWrap/>
            <w:vAlign w:val="bottom"/>
            <w:hideMark/>
          </w:tcPr>
          <w:p w14:paraId="2D148354"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5</w:t>
            </w:r>
          </w:p>
        </w:tc>
        <w:tc>
          <w:tcPr>
            <w:tcW w:w="1060" w:type="dxa"/>
            <w:tcBorders>
              <w:top w:val="nil"/>
              <w:left w:val="nil"/>
              <w:bottom w:val="single" w:sz="4" w:space="0" w:color="auto"/>
              <w:right w:val="nil"/>
            </w:tcBorders>
            <w:shd w:val="clear" w:color="auto" w:fill="auto"/>
            <w:noWrap/>
            <w:vAlign w:val="bottom"/>
            <w:hideMark/>
          </w:tcPr>
          <w:p w14:paraId="06FF0B08"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5</w:t>
            </w:r>
          </w:p>
        </w:tc>
        <w:tc>
          <w:tcPr>
            <w:tcW w:w="1060" w:type="dxa"/>
            <w:tcBorders>
              <w:top w:val="nil"/>
              <w:left w:val="nil"/>
              <w:bottom w:val="single" w:sz="4" w:space="0" w:color="auto"/>
              <w:right w:val="single" w:sz="4" w:space="0" w:color="auto"/>
            </w:tcBorders>
            <w:shd w:val="clear" w:color="auto" w:fill="auto"/>
            <w:noWrap/>
            <w:vAlign w:val="bottom"/>
            <w:hideMark/>
          </w:tcPr>
          <w:p w14:paraId="0156D966"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2.5</w:t>
            </w:r>
          </w:p>
        </w:tc>
      </w:tr>
      <w:tr w:rsidR="00837E18" w14:paraId="502899E7" w14:textId="77777777" w:rsidTr="00EC01B6">
        <w:trPr>
          <w:trHeight w:val="300"/>
        </w:trPr>
        <w:tc>
          <w:tcPr>
            <w:tcW w:w="1779" w:type="dxa"/>
            <w:tcBorders>
              <w:top w:val="nil"/>
              <w:left w:val="nil"/>
              <w:bottom w:val="nil"/>
              <w:right w:val="nil"/>
            </w:tcBorders>
            <w:shd w:val="clear" w:color="auto" w:fill="auto"/>
            <w:noWrap/>
            <w:vAlign w:val="bottom"/>
            <w:hideMark/>
          </w:tcPr>
          <w:p w14:paraId="2C83D251" w14:textId="77777777" w:rsidR="00EC01B6" w:rsidRPr="00117750" w:rsidRDefault="00EC01B6" w:rsidP="003F494F">
            <w:pPr>
              <w:spacing w:line="360" w:lineRule="auto"/>
              <w:jc w:val="right"/>
              <w:rPr>
                <w:rFonts w:eastAsia="Times New Roman" w:cstheme="minorHAnsi"/>
                <w:color w:val="000000"/>
                <w:sz w:val="22"/>
                <w:szCs w:val="22"/>
                <w:lang w:eastAsia="en-GB"/>
              </w:rPr>
            </w:pPr>
          </w:p>
        </w:tc>
        <w:tc>
          <w:tcPr>
            <w:tcW w:w="701" w:type="dxa"/>
            <w:tcBorders>
              <w:top w:val="nil"/>
              <w:left w:val="nil"/>
              <w:bottom w:val="nil"/>
              <w:right w:val="nil"/>
            </w:tcBorders>
            <w:shd w:val="clear" w:color="auto" w:fill="auto"/>
            <w:noWrap/>
            <w:vAlign w:val="bottom"/>
            <w:hideMark/>
          </w:tcPr>
          <w:p w14:paraId="582831AF" w14:textId="77777777" w:rsidR="00EC01B6" w:rsidRPr="00117750" w:rsidRDefault="00EC01B6" w:rsidP="003F494F">
            <w:pPr>
              <w:spacing w:line="360" w:lineRule="auto"/>
              <w:rPr>
                <w:rFonts w:eastAsia="Times New Roman" w:cstheme="minorHAnsi"/>
                <w:sz w:val="22"/>
                <w:szCs w:val="22"/>
                <w:lang w:eastAsia="en-GB"/>
              </w:rPr>
            </w:pPr>
          </w:p>
        </w:tc>
        <w:tc>
          <w:tcPr>
            <w:tcW w:w="701" w:type="dxa"/>
            <w:tcBorders>
              <w:top w:val="nil"/>
              <w:left w:val="nil"/>
              <w:bottom w:val="nil"/>
              <w:right w:val="nil"/>
            </w:tcBorders>
            <w:shd w:val="clear" w:color="auto" w:fill="auto"/>
            <w:noWrap/>
            <w:vAlign w:val="bottom"/>
            <w:hideMark/>
          </w:tcPr>
          <w:p w14:paraId="1906F2A0" w14:textId="77777777" w:rsidR="00EC01B6" w:rsidRPr="00117750" w:rsidRDefault="00EC01B6" w:rsidP="003F494F">
            <w:pPr>
              <w:spacing w:line="360" w:lineRule="auto"/>
              <w:rPr>
                <w:rFonts w:eastAsia="Times New Roman" w:cstheme="minorHAnsi"/>
                <w:sz w:val="22"/>
                <w:szCs w:val="22"/>
                <w:lang w:eastAsia="en-GB"/>
              </w:rPr>
            </w:pPr>
          </w:p>
        </w:tc>
        <w:tc>
          <w:tcPr>
            <w:tcW w:w="1060" w:type="dxa"/>
            <w:tcBorders>
              <w:top w:val="nil"/>
              <w:left w:val="nil"/>
              <w:bottom w:val="nil"/>
              <w:right w:val="nil"/>
            </w:tcBorders>
            <w:shd w:val="clear" w:color="auto" w:fill="auto"/>
            <w:noWrap/>
            <w:vAlign w:val="bottom"/>
            <w:hideMark/>
          </w:tcPr>
          <w:p w14:paraId="3A9694C1" w14:textId="77777777" w:rsidR="00EC01B6" w:rsidRPr="00117750" w:rsidRDefault="00EC01B6" w:rsidP="003F494F">
            <w:pPr>
              <w:spacing w:line="360" w:lineRule="auto"/>
              <w:rPr>
                <w:rFonts w:eastAsia="Times New Roman" w:cstheme="minorHAnsi"/>
                <w:sz w:val="22"/>
                <w:szCs w:val="22"/>
                <w:lang w:eastAsia="en-GB"/>
              </w:rPr>
            </w:pPr>
          </w:p>
        </w:tc>
        <w:tc>
          <w:tcPr>
            <w:tcW w:w="1060" w:type="dxa"/>
            <w:tcBorders>
              <w:top w:val="nil"/>
              <w:left w:val="nil"/>
              <w:bottom w:val="nil"/>
              <w:right w:val="nil"/>
            </w:tcBorders>
            <w:shd w:val="clear" w:color="auto" w:fill="auto"/>
            <w:noWrap/>
            <w:vAlign w:val="bottom"/>
            <w:hideMark/>
          </w:tcPr>
          <w:p w14:paraId="3DD58588" w14:textId="77777777" w:rsidR="00EC01B6" w:rsidRPr="00117750" w:rsidRDefault="00EC01B6" w:rsidP="003F494F">
            <w:pPr>
              <w:spacing w:line="360" w:lineRule="auto"/>
              <w:rPr>
                <w:rFonts w:eastAsia="Times New Roman" w:cstheme="minorHAnsi"/>
                <w:sz w:val="22"/>
                <w:szCs w:val="22"/>
                <w:lang w:eastAsia="en-GB"/>
              </w:rPr>
            </w:pPr>
          </w:p>
        </w:tc>
        <w:tc>
          <w:tcPr>
            <w:tcW w:w="1060" w:type="dxa"/>
            <w:tcBorders>
              <w:top w:val="nil"/>
              <w:left w:val="nil"/>
              <w:bottom w:val="nil"/>
              <w:right w:val="nil"/>
            </w:tcBorders>
            <w:shd w:val="clear" w:color="auto" w:fill="auto"/>
            <w:noWrap/>
            <w:vAlign w:val="bottom"/>
            <w:hideMark/>
          </w:tcPr>
          <w:p w14:paraId="43708EF1" w14:textId="77777777" w:rsidR="00EC01B6" w:rsidRPr="00117750" w:rsidRDefault="00EC01B6" w:rsidP="003F494F">
            <w:pPr>
              <w:spacing w:line="360" w:lineRule="auto"/>
              <w:rPr>
                <w:rFonts w:eastAsia="Times New Roman" w:cstheme="minorHAnsi"/>
                <w:sz w:val="22"/>
                <w:szCs w:val="22"/>
                <w:lang w:eastAsia="en-GB"/>
              </w:rPr>
            </w:pPr>
          </w:p>
        </w:tc>
      </w:tr>
    </w:tbl>
    <w:p w14:paraId="3BF6B8D8" w14:textId="77777777" w:rsidR="00EC01B6" w:rsidRPr="00117750" w:rsidRDefault="00EC01B6" w:rsidP="003F494F">
      <w:pPr>
        <w:pStyle w:val="NoSpacing"/>
        <w:spacing w:line="360" w:lineRule="auto"/>
        <w:rPr>
          <w:rFonts w:cstheme="minorHAnsi"/>
          <w:b/>
        </w:rPr>
      </w:pPr>
    </w:p>
    <w:tbl>
      <w:tblPr>
        <w:tblW w:w="6361" w:type="dxa"/>
        <w:tblLook w:val="04A0" w:firstRow="1" w:lastRow="0" w:firstColumn="1" w:lastColumn="0" w:noHBand="0" w:noVBand="1"/>
      </w:tblPr>
      <w:tblGrid>
        <w:gridCol w:w="1779"/>
        <w:gridCol w:w="701"/>
        <w:gridCol w:w="701"/>
        <w:gridCol w:w="1060"/>
        <w:gridCol w:w="1060"/>
        <w:gridCol w:w="1060"/>
      </w:tblGrid>
      <w:tr w:rsidR="00837E18" w14:paraId="1405535C" w14:textId="77777777" w:rsidTr="00EC01B6">
        <w:trPr>
          <w:trHeight w:val="300"/>
        </w:trPr>
        <w:tc>
          <w:tcPr>
            <w:tcW w:w="3181" w:type="dxa"/>
            <w:gridSpan w:val="3"/>
            <w:tcBorders>
              <w:top w:val="nil"/>
              <w:left w:val="nil"/>
              <w:bottom w:val="nil"/>
              <w:right w:val="nil"/>
            </w:tcBorders>
            <w:shd w:val="clear" w:color="auto" w:fill="auto"/>
            <w:noWrap/>
            <w:vAlign w:val="bottom"/>
            <w:hideMark/>
          </w:tcPr>
          <w:p w14:paraId="080F7526" w14:textId="23817323" w:rsidR="00EC01B6" w:rsidRPr="00191B03" w:rsidRDefault="001630D4" w:rsidP="003F494F">
            <w:pPr>
              <w:spacing w:line="360" w:lineRule="auto"/>
              <w:rPr>
                <w:rFonts w:eastAsia="Times New Roman" w:cstheme="minorHAnsi"/>
                <w:b/>
                <w:bCs/>
                <w:color w:val="000000"/>
                <w:sz w:val="22"/>
                <w:szCs w:val="22"/>
                <w:lang w:eastAsia="en-GB"/>
              </w:rPr>
            </w:pPr>
            <w:r w:rsidRPr="00191B03">
              <w:rPr>
                <w:rFonts w:eastAsia="Times New Roman" w:cstheme="minorHAnsi"/>
                <w:b/>
                <w:bCs/>
                <w:color w:val="000000"/>
                <w:sz w:val="22"/>
                <w:szCs w:val="22"/>
                <w:lang w:eastAsia="en-GB"/>
              </w:rPr>
              <w:t xml:space="preserve">Taper period: 6 months </w:t>
            </w:r>
          </w:p>
        </w:tc>
        <w:tc>
          <w:tcPr>
            <w:tcW w:w="1060" w:type="dxa"/>
            <w:tcBorders>
              <w:top w:val="nil"/>
              <w:left w:val="nil"/>
              <w:bottom w:val="nil"/>
              <w:right w:val="nil"/>
            </w:tcBorders>
            <w:shd w:val="clear" w:color="auto" w:fill="auto"/>
            <w:noWrap/>
            <w:vAlign w:val="bottom"/>
            <w:hideMark/>
          </w:tcPr>
          <w:p w14:paraId="540DF531" w14:textId="77777777" w:rsidR="00EC01B6" w:rsidRPr="00117750" w:rsidRDefault="00EC01B6" w:rsidP="003F494F">
            <w:pPr>
              <w:spacing w:line="360" w:lineRule="auto"/>
              <w:rPr>
                <w:rFonts w:eastAsia="Times New Roman" w:cstheme="minorHAnsi"/>
                <w:color w:val="000000"/>
                <w:sz w:val="22"/>
                <w:szCs w:val="22"/>
                <w:lang w:eastAsia="en-GB"/>
              </w:rPr>
            </w:pPr>
          </w:p>
        </w:tc>
        <w:tc>
          <w:tcPr>
            <w:tcW w:w="1060" w:type="dxa"/>
            <w:tcBorders>
              <w:top w:val="nil"/>
              <w:left w:val="nil"/>
              <w:bottom w:val="nil"/>
              <w:right w:val="nil"/>
            </w:tcBorders>
            <w:shd w:val="clear" w:color="auto" w:fill="auto"/>
            <w:noWrap/>
            <w:vAlign w:val="bottom"/>
            <w:hideMark/>
          </w:tcPr>
          <w:p w14:paraId="36843018" w14:textId="77777777" w:rsidR="00EC01B6" w:rsidRPr="00117750" w:rsidRDefault="00EC01B6" w:rsidP="003F494F">
            <w:pPr>
              <w:spacing w:line="360" w:lineRule="auto"/>
              <w:rPr>
                <w:rFonts w:eastAsia="Times New Roman" w:cstheme="minorHAnsi"/>
                <w:sz w:val="22"/>
                <w:szCs w:val="22"/>
                <w:lang w:eastAsia="en-GB"/>
              </w:rPr>
            </w:pPr>
          </w:p>
        </w:tc>
        <w:tc>
          <w:tcPr>
            <w:tcW w:w="1060" w:type="dxa"/>
            <w:tcBorders>
              <w:top w:val="nil"/>
              <w:left w:val="nil"/>
              <w:bottom w:val="nil"/>
              <w:right w:val="nil"/>
            </w:tcBorders>
            <w:shd w:val="clear" w:color="auto" w:fill="auto"/>
            <w:noWrap/>
            <w:vAlign w:val="bottom"/>
            <w:hideMark/>
          </w:tcPr>
          <w:p w14:paraId="0835D3A7" w14:textId="77777777" w:rsidR="00EC01B6" w:rsidRPr="00117750" w:rsidRDefault="00EC01B6" w:rsidP="003F494F">
            <w:pPr>
              <w:spacing w:line="360" w:lineRule="auto"/>
              <w:rPr>
                <w:rFonts w:eastAsia="Times New Roman" w:cstheme="minorHAnsi"/>
                <w:sz w:val="22"/>
                <w:szCs w:val="22"/>
                <w:lang w:eastAsia="en-GB"/>
              </w:rPr>
            </w:pPr>
          </w:p>
        </w:tc>
      </w:tr>
      <w:tr w:rsidR="00837E18" w14:paraId="5CD26403" w14:textId="77777777" w:rsidTr="00EC01B6">
        <w:trPr>
          <w:trHeight w:val="300"/>
        </w:trPr>
        <w:tc>
          <w:tcPr>
            <w:tcW w:w="1779" w:type="dxa"/>
            <w:tcBorders>
              <w:top w:val="nil"/>
              <w:left w:val="nil"/>
              <w:bottom w:val="nil"/>
              <w:right w:val="nil"/>
            </w:tcBorders>
            <w:shd w:val="clear" w:color="auto" w:fill="auto"/>
            <w:noWrap/>
            <w:vAlign w:val="bottom"/>
            <w:hideMark/>
          </w:tcPr>
          <w:p w14:paraId="2B5BB1E9" w14:textId="77777777" w:rsidR="00EC01B6" w:rsidRPr="00117750" w:rsidRDefault="00EC01B6" w:rsidP="003F494F">
            <w:pPr>
              <w:spacing w:line="360" w:lineRule="auto"/>
              <w:rPr>
                <w:rFonts w:eastAsia="Times New Roman" w:cstheme="minorHAnsi"/>
                <w:sz w:val="22"/>
                <w:szCs w:val="22"/>
                <w:lang w:eastAsia="en-GB"/>
              </w:rPr>
            </w:pPr>
          </w:p>
        </w:tc>
        <w:tc>
          <w:tcPr>
            <w:tcW w:w="4582" w:type="dxa"/>
            <w:gridSpan w:val="5"/>
            <w:tcBorders>
              <w:top w:val="nil"/>
              <w:left w:val="nil"/>
              <w:bottom w:val="nil"/>
              <w:right w:val="nil"/>
            </w:tcBorders>
            <w:shd w:val="clear" w:color="auto" w:fill="auto"/>
            <w:noWrap/>
            <w:vAlign w:val="bottom"/>
            <w:hideMark/>
          </w:tcPr>
          <w:p w14:paraId="77C5080A" w14:textId="52867C75" w:rsidR="00EC01B6" w:rsidRPr="00117750" w:rsidRDefault="00812DE7" w:rsidP="003F494F">
            <w:pPr>
              <w:spacing w:line="360" w:lineRule="auto"/>
              <w:rPr>
                <w:rFonts w:eastAsia="Times New Roman" w:cstheme="minorHAnsi"/>
                <w:sz w:val="22"/>
                <w:szCs w:val="22"/>
                <w:lang w:eastAsia="en-GB"/>
              </w:rPr>
            </w:pPr>
            <w:r>
              <w:rPr>
                <w:rFonts w:eastAsia="Times New Roman" w:cstheme="minorHAnsi"/>
                <w:sz w:val="22"/>
                <w:szCs w:val="22"/>
                <w:lang w:eastAsia="en-GB"/>
              </w:rPr>
              <w:t>S</w:t>
            </w:r>
            <w:r w:rsidR="008925FE">
              <w:rPr>
                <w:rFonts w:eastAsia="Times New Roman" w:cstheme="minorHAnsi"/>
                <w:sz w:val="22"/>
                <w:szCs w:val="22"/>
                <w:lang w:eastAsia="en-GB"/>
              </w:rPr>
              <w:t>elect s</w:t>
            </w:r>
            <w:r>
              <w:rPr>
                <w:rFonts w:eastAsia="Times New Roman" w:cstheme="minorHAnsi"/>
                <w:sz w:val="22"/>
                <w:szCs w:val="22"/>
                <w:lang w:eastAsia="en-GB"/>
              </w:rPr>
              <w:t>tarting d</w:t>
            </w:r>
            <w:r w:rsidR="001630D4" w:rsidRPr="00117750">
              <w:rPr>
                <w:rFonts w:eastAsia="Times New Roman" w:cstheme="minorHAnsi"/>
                <w:sz w:val="22"/>
                <w:szCs w:val="22"/>
                <w:lang w:eastAsia="en-GB"/>
              </w:rPr>
              <w:t>ose of oral prednisolone (mg/day)</w:t>
            </w:r>
          </w:p>
        </w:tc>
      </w:tr>
      <w:tr w:rsidR="00837E18" w14:paraId="221E48E2" w14:textId="77777777" w:rsidTr="00EC01B6">
        <w:trPr>
          <w:trHeight w:val="300"/>
        </w:trPr>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3B503" w14:textId="77777777" w:rsidR="00EC01B6" w:rsidRPr="00117750" w:rsidRDefault="001630D4" w:rsidP="003F494F">
            <w:pPr>
              <w:spacing w:line="360" w:lineRule="auto"/>
              <w:rPr>
                <w:rFonts w:eastAsia="Times New Roman" w:cstheme="minorHAnsi"/>
                <w:b/>
                <w:bCs/>
                <w:color w:val="000000"/>
                <w:sz w:val="22"/>
                <w:szCs w:val="22"/>
                <w:lang w:eastAsia="en-GB"/>
              </w:rPr>
            </w:pPr>
            <w:r w:rsidRPr="00117750">
              <w:rPr>
                <w:rFonts w:eastAsia="Times New Roman" w:cstheme="minorHAnsi"/>
                <w:b/>
                <w:bCs/>
                <w:color w:val="000000"/>
                <w:sz w:val="22"/>
                <w:szCs w:val="22"/>
                <w:lang w:eastAsia="en-GB"/>
              </w:rPr>
              <w:t>Weeks</w:t>
            </w:r>
          </w:p>
        </w:tc>
        <w:tc>
          <w:tcPr>
            <w:tcW w:w="701" w:type="dxa"/>
            <w:tcBorders>
              <w:top w:val="single" w:sz="4" w:space="0" w:color="auto"/>
              <w:left w:val="nil"/>
              <w:bottom w:val="single" w:sz="4" w:space="0" w:color="auto"/>
              <w:right w:val="single" w:sz="4" w:space="0" w:color="auto"/>
            </w:tcBorders>
            <w:shd w:val="clear" w:color="auto" w:fill="auto"/>
            <w:noWrap/>
            <w:vAlign w:val="bottom"/>
            <w:hideMark/>
          </w:tcPr>
          <w:p w14:paraId="3C53F979" w14:textId="77777777" w:rsidR="00EC01B6" w:rsidRPr="00117750" w:rsidRDefault="001630D4" w:rsidP="003F494F">
            <w:pPr>
              <w:spacing w:line="360" w:lineRule="auto"/>
              <w:jc w:val="right"/>
              <w:rPr>
                <w:rFonts w:eastAsia="Times New Roman" w:cstheme="minorHAnsi"/>
                <w:b/>
                <w:bCs/>
                <w:color w:val="000000"/>
                <w:sz w:val="22"/>
                <w:szCs w:val="22"/>
                <w:lang w:eastAsia="en-GB"/>
              </w:rPr>
            </w:pPr>
            <w:r w:rsidRPr="00117750">
              <w:rPr>
                <w:rFonts w:eastAsia="Times New Roman" w:cstheme="minorHAnsi"/>
                <w:b/>
                <w:bCs/>
                <w:color w:val="000000"/>
                <w:sz w:val="22"/>
                <w:szCs w:val="22"/>
                <w:lang w:eastAsia="en-GB"/>
              </w:rPr>
              <w:t>40</w:t>
            </w:r>
          </w:p>
        </w:tc>
        <w:tc>
          <w:tcPr>
            <w:tcW w:w="701" w:type="dxa"/>
            <w:tcBorders>
              <w:top w:val="single" w:sz="4" w:space="0" w:color="auto"/>
              <w:left w:val="nil"/>
              <w:bottom w:val="single" w:sz="4" w:space="0" w:color="auto"/>
              <w:right w:val="single" w:sz="4" w:space="0" w:color="auto"/>
            </w:tcBorders>
            <w:shd w:val="clear" w:color="auto" w:fill="auto"/>
            <w:noWrap/>
            <w:vAlign w:val="bottom"/>
            <w:hideMark/>
          </w:tcPr>
          <w:p w14:paraId="7C96786F" w14:textId="77777777" w:rsidR="00EC01B6" w:rsidRPr="00117750" w:rsidRDefault="001630D4" w:rsidP="003F494F">
            <w:pPr>
              <w:spacing w:line="360" w:lineRule="auto"/>
              <w:jc w:val="right"/>
              <w:rPr>
                <w:rFonts w:eastAsia="Times New Roman" w:cstheme="minorHAnsi"/>
                <w:b/>
                <w:bCs/>
                <w:color w:val="000000"/>
                <w:sz w:val="22"/>
                <w:szCs w:val="22"/>
                <w:lang w:eastAsia="en-GB"/>
              </w:rPr>
            </w:pPr>
            <w:r w:rsidRPr="00117750">
              <w:rPr>
                <w:rFonts w:eastAsia="Times New Roman" w:cstheme="minorHAnsi"/>
                <w:b/>
                <w:bCs/>
                <w:color w:val="000000"/>
                <w:sz w:val="22"/>
                <w:szCs w:val="22"/>
                <w:lang w:eastAsia="en-GB"/>
              </w:rPr>
              <w:t>35</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33974697" w14:textId="77777777" w:rsidR="00EC01B6" w:rsidRPr="00117750" w:rsidRDefault="001630D4" w:rsidP="003F494F">
            <w:pPr>
              <w:spacing w:line="360" w:lineRule="auto"/>
              <w:jc w:val="right"/>
              <w:rPr>
                <w:rFonts w:eastAsia="Times New Roman" w:cstheme="minorHAnsi"/>
                <w:b/>
                <w:bCs/>
                <w:color w:val="000000"/>
                <w:sz w:val="22"/>
                <w:szCs w:val="22"/>
                <w:lang w:eastAsia="en-GB"/>
              </w:rPr>
            </w:pPr>
            <w:r w:rsidRPr="00117750">
              <w:rPr>
                <w:rFonts w:eastAsia="Times New Roman" w:cstheme="minorHAnsi"/>
                <w:b/>
                <w:bCs/>
                <w:color w:val="000000"/>
                <w:sz w:val="22"/>
                <w:szCs w:val="22"/>
                <w:lang w:eastAsia="en-GB"/>
              </w:rPr>
              <w:t>30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4D7BE9E5" w14:textId="77777777" w:rsidR="00EC01B6" w:rsidRPr="00117750" w:rsidRDefault="001630D4" w:rsidP="003F494F">
            <w:pPr>
              <w:spacing w:line="360" w:lineRule="auto"/>
              <w:jc w:val="right"/>
              <w:rPr>
                <w:rFonts w:eastAsia="Times New Roman" w:cstheme="minorHAnsi"/>
                <w:b/>
                <w:bCs/>
                <w:color w:val="000000"/>
                <w:sz w:val="22"/>
                <w:szCs w:val="22"/>
                <w:lang w:eastAsia="en-GB"/>
              </w:rPr>
            </w:pPr>
            <w:r w:rsidRPr="00117750">
              <w:rPr>
                <w:rFonts w:eastAsia="Times New Roman" w:cstheme="minorHAnsi"/>
                <w:b/>
                <w:bCs/>
                <w:color w:val="000000"/>
                <w:sz w:val="22"/>
                <w:szCs w:val="22"/>
                <w:lang w:eastAsia="en-GB"/>
              </w:rPr>
              <w:t>25</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25C8C445" w14:textId="77777777" w:rsidR="00EC01B6" w:rsidRPr="00117750" w:rsidRDefault="001630D4" w:rsidP="003F494F">
            <w:pPr>
              <w:spacing w:line="360" w:lineRule="auto"/>
              <w:jc w:val="right"/>
              <w:rPr>
                <w:rFonts w:eastAsia="Times New Roman" w:cstheme="minorHAnsi"/>
                <w:b/>
                <w:bCs/>
                <w:color w:val="000000"/>
                <w:sz w:val="22"/>
                <w:szCs w:val="22"/>
                <w:lang w:eastAsia="en-GB"/>
              </w:rPr>
            </w:pPr>
            <w:r w:rsidRPr="00117750">
              <w:rPr>
                <w:rFonts w:eastAsia="Times New Roman" w:cstheme="minorHAnsi"/>
                <w:b/>
                <w:bCs/>
                <w:color w:val="000000"/>
                <w:sz w:val="22"/>
                <w:szCs w:val="22"/>
                <w:lang w:eastAsia="en-GB"/>
              </w:rPr>
              <w:t>20</w:t>
            </w:r>
          </w:p>
        </w:tc>
      </w:tr>
      <w:tr w:rsidR="00837E18" w14:paraId="5DD9167F" w14:textId="77777777" w:rsidTr="00EC01B6">
        <w:trPr>
          <w:trHeight w:val="300"/>
        </w:trPr>
        <w:tc>
          <w:tcPr>
            <w:tcW w:w="1779" w:type="dxa"/>
            <w:tcBorders>
              <w:top w:val="nil"/>
              <w:left w:val="single" w:sz="4" w:space="0" w:color="auto"/>
              <w:bottom w:val="single" w:sz="4" w:space="0" w:color="auto"/>
              <w:right w:val="single" w:sz="4" w:space="0" w:color="auto"/>
            </w:tcBorders>
            <w:shd w:val="clear" w:color="auto" w:fill="auto"/>
            <w:noWrap/>
            <w:vAlign w:val="bottom"/>
            <w:hideMark/>
          </w:tcPr>
          <w:p w14:paraId="7EDEDA51" w14:textId="77777777" w:rsidR="00EC01B6" w:rsidRPr="00117750" w:rsidRDefault="001630D4" w:rsidP="003F494F">
            <w:pPr>
              <w:spacing w:line="360" w:lineRule="auto"/>
              <w:rPr>
                <w:rFonts w:eastAsia="Times New Roman" w:cstheme="minorHAnsi"/>
                <w:color w:val="000000"/>
                <w:sz w:val="22"/>
                <w:szCs w:val="22"/>
                <w:lang w:eastAsia="en-GB"/>
              </w:rPr>
            </w:pPr>
            <w:r w:rsidRPr="00117750">
              <w:rPr>
                <w:rFonts w:eastAsia="Times New Roman" w:cstheme="minorHAnsi"/>
                <w:color w:val="000000"/>
                <w:sz w:val="22"/>
                <w:szCs w:val="22"/>
                <w:lang w:eastAsia="en-GB"/>
              </w:rPr>
              <w:t>1-4</w:t>
            </w:r>
          </w:p>
        </w:tc>
        <w:tc>
          <w:tcPr>
            <w:tcW w:w="701" w:type="dxa"/>
            <w:tcBorders>
              <w:top w:val="nil"/>
              <w:left w:val="nil"/>
              <w:bottom w:val="nil"/>
              <w:right w:val="nil"/>
            </w:tcBorders>
            <w:shd w:val="clear" w:color="auto" w:fill="auto"/>
            <w:noWrap/>
            <w:vAlign w:val="bottom"/>
            <w:hideMark/>
          </w:tcPr>
          <w:p w14:paraId="466A5BEC"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40</w:t>
            </w:r>
          </w:p>
        </w:tc>
        <w:tc>
          <w:tcPr>
            <w:tcW w:w="701" w:type="dxa"/>
            <w:tcBorders>
              <w:top w:val="nil"/>
              <w:left w:val="nil"/>
              <w:bottom w:val="nil"/>
              <w:right w:val="nil"/>
            </w:tcBorders>
            <w:shd w:val="clear" w:color="auto" w:fill="auto"/>
            <w:noWrap/>
            <w:vAlign w:val="bottom"/>
            <w:hideMark/>
          </w:tcPr>
          <w:p w14:paraId="7955485E"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35</w:t>
            </w:r>
          </w:p>
        </w:tc>
        <w:tc>
          <w:tcPr>
            <w:tcW w:w="1060" w:type="dxa"/>
            <w:tcBorders>
              <w:top w:val="nil"/>
              <w:left w:val="nil"/>
              <w:bottom w:val="nil"/>
              <w:right w:val="nil"/>
            </w:tcBorders>
            <w:shd w:val="clear" w:color="auto" w:fill="auto"/>
            <w:noWrap/>
            <w:vAlign w:val="bottom"/>
            <w:hideMark/>
          </w:tcPr>
          <w:p w14:paraId="57C643F8"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30</w:t>
            </w:r>
          </w:p>
        </w:tc>
        <w:tc>
          <w:tcPr>
            <w:tcW w:w="1060" w:type="dxa"/>
            <w:tcBorders>
              <w:top w:val="nil"/>
              <w:left w:val="nil"/>
              <w:bottom w:val="nil"/>
              <w:right w:val="nil"/>
            </w:tcBorders>
            <w:shd w:val="clear" w:color="auto" w:fill="auto"/>
            <w:noWrap/>
            <w:vAlign w:val="bottom"/>
            <w:hideMark/>
          </w:tcPr>
          <w:p w14:paraId="6C2A6AD1"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25</w:t>
            </w:r>
          </w:p>
        </w:tc>
        <w:tc>
          <w:tcPr>
            <w:tcW w:w="1060" w:type="dxa"/>
            <w:tcBorders>
              <w:top w:val="nil"/>
              <w:left w:val="nil"/>
              <w:bottom w:val="nil"/>
              <w:right w:val="single" w:sz="4" w:space="0" w:color="auto"/>
            </w:tcBorders>
            <w:shd w:val="clear" w:color="auto" w:fill="auto"/>
            <w:noWrap/>
            <w:vAlign w:val="bottom"/>
            <w:hideMark/>
          </w:tcPr>
          <w:p w14:paraId="3250B915"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20</w:t>
            </w:r>
          </w:p>
        </w:tc>
      </w:tr>
      <w:tr w:rsidR="00837E18" w14:paraId="46152961" w14:textId="77777777" w:rsidTr="00EC01B6">
        <w:trPr>
          <w:trHeight w:val="300"/>
        </w:trPr>
        <w:tc>
          <w:tcPr>
            <w:tcW w:w="1779" w:type="dxa"/>
            <w:tcBorders>
              <w:top w:val="nil"/>
              <w:left w:val="single" w:sz="4" w:space="0" w:color="auto"/>
              <w:bottom w:val="single" w:sz="4" w:space="0" w:color="auto"/>
              <w:right w:val="single" w:sz="4" w:space="0" w:color="auto"/>
            </w:tcBorders>
            <w:shd w:val="clear" w:color="auto" w:fill="auto"/>
            <w:noWrap/>
            <w:vAlign w:val="bottom"/>
            <w:hideMark/>
          </w:tcPr>
          <w:p w14:paraId="6C40E4FE" w14:textId="77777777" w:rsidR="00EC01B6" w:rsidRPr="00117750" w:rsidRDefault="001630D4" w:rsidP="003F494F">
            <w:pPr>
              <w:spacing w:line="360" w:lineRule="auto"/>
              <w:rPr>
                <w:rFonts w:eastAsia="Times New Roman" w:cstheme="minorHAnsi"/>
                <w:color w:val="000000"/>
                <w:sz w:val="22"/>
                <w:szCs w:val="22"/>
                <w:lang w:eastAsia="en-GB"/>
              </w:rPr>
            </w:pPr>
            <w:r w:rsidRPr="00117750">
              <w:rPr>
                <w:rFonts w:eastAsia="Times New Roman" w:cstheme="minorHAnsi"/>
                <w:color w:val="000000"/>
                <w:sz w:val="22"/>
                <w:szCs w:val="22"/>
                <w:lang w:eastAsia="en-GB"/>
              </w:rPr>
              <w:t>5-8</w:t>
            </w:r>
          </w:p>
        </w:tc>
        <w:tc>
          <w:tcPr>
            <w:tcW w:w="701" w:type="dxa"/>
            <w:tcBorders>
              <w:top w:val="nil"/>
              <w:left w:val="nil"/>
              <w:bottom w:val="nil"/>
              <w:right w:val="nil"/>
            </w:tcBorders>
            <w:shd w:val="clear" w:color="auto" w:fill="auto"/>
            <w:noWrap/>
            <w:vAlign w:val="bottom"/>
            <w:hideMark/>
          </w:tcPr>
          <w:p w14:paraId="109DE2D5"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30</w:t>
            </w:r>
          </w:p>
        </w:tc>
        <w:tc>
          <w:tcPr>
            <w:tcW w:w="701" w:type="dxa"/>
            <w:tcBorders>
              <w:top w:val="nil"/>
              <w:left w:val="nil"/>
              <w:bottom w:val="nil"/>
              <w:right w:val="nil"/>
            </w:tcBorders>
            <w:shd w:val="clear" w:color="auto" w:fill="auto"/>
            <w:noWrap/>
            <w:vAlign w:val="bottom"/>
            <w:hideMark/>
          </w:tcPr>
          <w:p w14:paraId="1413B0EA"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25</w:t>
            </w:r>
          </w:p>
        </w:tc>
        <w:tc>
          <w:tcPr>
            <w:tcW w:w="1060" w:type="dxa"/>
            <w:tcBorders>
              <w:top w:val="nil"/>
              <w:left w:val="nil"/>
              <w:bottom w:val="nil"/>
              <w:right w:val="nil"/>
            </w:tcBorders>
            <w:shd w:val="clear" w:color="auto" w:fill="auto"/>
            <w:noWrap/>
            <w:vAlign w:val="bottom"/>
            <w:hideMark/>
          </w:tcPr>
          <w:p w14:paraId="5276C8F0"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25</w:t>
            </w:r>
          </w:p>
        </w:tc>
        <w:tc>
          <w:tcPr>
            <w:tcW w:w="1060" w:type="dxa"/>
            <w:tcBorders>
              <w:top w:val="nil"/>
              <w:left w:val="nil"/>
              <w:bottom w:val="nil"/>
              <w:right w:val="nil"/>
            </w:tcBorders>
            <w:shd w:val="clear" w:color="auto" w:fill="auto"/>
            <w:noWrap/>
            <w:vAlign w:val="bottom"/>
            <w:hideMark/>
          </w:tcPr>
          <w:p w14:paraId="3207876A"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20</w:t>
            </w:r>
          </w:p>
        </w:tc>
        <w:tc>
          <w:tcPr>
            <w:tcW w:w="1060" w:type="dxa"/>
            <w:tcBorders>
              <w:top w:val="nil"/>
              <w:left w:val="nil"/>
              <w:bottom w:val="nil"/>
              <w:right w:val="single" w:sz="4" w:space="0" w:color="auto"/>
            </w:tcBorders>
            <w:shd w:val="clear" w:color="auto" w:fill="auto"/>
            <w:noWrap/>
            <w:vAlign w:val="bottom"/>
            <w:hideMark/>
          </w:tcPr>
          <w:p w14:paraId="65E2BA62"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15</w:t>
            </w:r>
          </w:p>
        </w:tc>
      </w:tr>
      <w:tr w:rsidR="00837E18" w14:paraId="79BEBC95" w14:textId="77777777" w:rsidTr="00EC01B6">
        <w:trPr>
          <w:trHeight w:val="300"/>
        </w:trPr>
        <w:tc>
          <w:tcPr>
            <w:tcW w:w="1779" w:type="dxa"/>
            <w:tcBorders>
              <w:top w:val="nil"/>
              <w:left w:val="single" w:sz="4" w:space="0" w:color="auto"/>
              <w:bottom w:val="single" w:sz="4" w:space="0" w:color="auto"/>
              <w:right w:val="single" w:sz="4" w:space="0" w:color="auto"/>
            </w:tcBorders>
            <w:shd w:val="clear" w:color="auto" w:fill="auto"/>
            <w:noWrap/>
            <w:vAlign w:val="bottom"/>
            <w:hideMark/>
          </w:tcPr>
          <w:p w14:paraId="34E137AB" w14:textId="77777777" w:rsidR="00EC01B6" w:rsidRPr="00117750" w:rsidRDefault="001630D4" w:rsidP="003F494F">
            <w:pPr>
              <w:spacing w:line="360" w:lineRule="auto"/>
              <w:rPr>
                <w:rFonts w:eastAsia="Times New Roman" w:cstheme="minorHAnsi"/>
                <w:color w:val="000000"/>
                <w:sz w:val="22"/>
                <w:szCs w:val="22"/>
                <w:lang w:eastAsia="en-GB"/>
              </w:rPr>
            </w:pPr>
            <w:r w:rsidRPr="00117750">
              <w:rPr>
                <w:rFonts w:eastAsia="Times New Roman" w:cstheme="minorHAnsi"/>
                <w:color w:val="000000"/>
                <w:sz w:val="22"/>
                <w:szCs w:val="22"/>
                <w:lang w:eastAsia="en-GB"/>
              </w:rPr>
              <w:t>9-12</w:t>
            </w:r>
          </w:p>
        </w:tc>
        <w:tc>
          <w:tcPr>
            <w:tcW w:w="701" w:type="dxa"/>
            <w:tcBorders>
              <w:top w:val="nil"/>
              <w:left w:val="nil"/>
              <w:bottom w:val="nil"/>
              <w:right w:val="nil"/>
            </w:tcBorders>
            <w:shd w:val="clear" w:color="auto" w:fill="auto"/>
            <w:noWrap/>
            <w:vAlign w:val="bottom"/>
            <w:hideMark/>
          </w:tcPr>
          <w:p w14:paraId="3F217543"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20</w:t>
            </w:r>
          </w:p>
        </w:tc>
        <w:tc>
          <w:tcPr>
            <w:tcW w:w="701" w:type="dxa"/>
            <w:tcBorders>
              <w:top w:val="nil"/>
              <w:left w:val="nil"/>
              <w:bottom w:val="nil"/>
              <w:right w:val="nil"/>
            </w:tcBorders>
            <w:shd w:val="clear" w:color="auto" w:fill="auto"/>
            <w:noWrap/>
            <w:vAlign w:val="bottom"/>
            <w:hideMark/>
          </w:tcPr>
          <w:p w14:paraId="019C5287"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20</w:t>
            </w:r>
          </w:p>
        </w:tc>
        <w:tc>
          <w:tcPr>
            <w:tcW w:w="1060" w:type="dxa"/>
            <w:tcBorders>
              <w:top w:val="nil"/>
              <w:left w:val="nil"/>
              <w:bottom w:val="nil"/>
              <w:right w:val="nil"/>
            </w:tcBorders>
            <w:shd w:val="clear" w:color="auto" w:fill="auto"/>
            <w:noWrap/>
            <w:vAlign w:val="bottom"/>
            <w:hideMark/>
          </w:tcPr>
          <w:p w14:paraId="6516A795"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20</w:t>
            </w:r>
          </w:p>
        </w:tc>
        <w:tc>
          <w:tcPr>
            <w:tcW w:w="1060" w:type="dxa"/>
            <w:tcBorders>
              <w:top w:val="nil"/>
              <w:left w:val="nil"/>
              <w:bottom w:val="nil"/>
              <w:right w:val="nil"/>
            </w:tcBorders>
            <w:shd w:val="clear" w:color="auto" w:fill="auto"/>
            <w:noWrap/>
            <w:vAlign w:val="bottom"/>
            <w:hideMark/>
          </w:tcPr>
          <w:p w14:paraId="3127F538"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15</w:t>
            </w:r>
          </w:p>
        </w:tc>
        <w:tc>
          <w:tcPr>
            <w:tcW w:w="1060" w:type="dxa"/>
            <w:tcBorders>
              <w:top w:val="nil"/>
              <w:left w:val="nil"/>
              <w:bottom w:val="nil"/>
              <w:right w:val="single" w:sz="4" w:space="0" w:color="auto"/>
            </w:tcBorders>
            <w:shd w:val="clear" w:color="auto" w:fill="auto"/>
            <w:noWrap/>
            <w:vAlign w:val="bottom"/>
            <w:hideMark/>
          </w:tcPr>
          <w:p w14:paraId="64F72E79"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10</w:t>
            </w:r>
          </w:p>
        </w:tc>
      </w:tr>
      <w:tr w:rsidR="00837E18" w14:paraId="0B1081E3" w14:textId="77777777" w:rsidTr="00EC01B6">
        <w:trPr>
          <w:trHeight w:val="300"/>
        </w:trPr>
        <w:tc>
          <w:tcPr>
            <w:tcW w:w="1779" w:type="dxa"/>
            <w:tcBorders>
              <w:top w:val="nil"/>
              <w:left w:val="single" w:sz="4" w:space="0" w:color="auto"/>
              <w:bottom w:val="single" w:sz="4" w:space="0" w:color="auto"/>
              <w:right w:val="single" w:sz="4" w:space="0" w:color="auto"/>
            </w:tcBorders>
            <w:shd w:val="clear" w:color="auto" w:fill="auto"/>
            <w:noWrap/>
            <w:vAlign w:val="bottom"/>
            <w:hideMark/>
          </w:tcPr>
          <w:p w14:paraId="25559E29" w14:textId="77777777" w:rsidR="00EC01B6" w:rsidRPr="00117750" w:rsidRDefault="001630D4" w:rsidP="003F494F">
            <w:pPr>
              <w:spacing w:line="360" w:lineRule="auto"/>
              <w:rPr>
                <w:rFonts w:eastAsia="Times New Roman" w:cstheme="minorHAnsi"/>
                <w:color w:val="000000"/>
                <w:sz w:val="22"/>
                <w:szCs w:val="22"/>
                <w:lang w:eastAsia="en-GB"/>
              </w:rPr>
            </w:pPr>
            <w:r w:rsidRPr="00117750">
              <w:rPr>
                <w:rFonts w:eastAsia="Times New Roman" w:cstheme="minorHAnsi"/>
                <w:color w:val="000000"/>
                <w:sz w:val="22"/>
                <w:szCs w:val="22"/>
                <w:lang w:eastAsia="en-GB"/>
              </w:rPr>
              <w:t>13-16</w:t>
            </w:r>
          </w:p>
        </w:tc>
        <w:tc>
          <w:tcPr>
            <w:tcW w:w="701" w:type="dxa"/>
            <w:tcBorders>
              <w:top w:val="nil"/>
              <w:left w:val="nil"/>
              <w:bottom w:val="nil"/>
              <w:right w:val="nil"/>
            </w:tcBorders>
            <w:shd w:val="clear" w:color="auto" w:fill="auto"/>
            <w:noWrap/>
            <w:vAlign w:val="bottom"/>
            <w:hideMark/>
          </w:tcPr>
          <w:p w14:paraId="60A15273"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15</w:t>
            </w:r>
          </w:p>
        </w:tc>
        <w:tc>
          <w:tcPr>
            <w:tcW w:w="701" w:type="dxa"/>
            <w:tcBorders>
              <w:top w:val="nil"/>
              <w:left w:val="nil"/>
              <w:bottom w:val="nil"/>
              <w:right w:val="nil"/>
            </w:tcBorders>
            <w:shd w:val="clear" w:color="auto" w:fill="auto"/>
            <w:noWrap/>
            <w:vAlign w:val="bottom"/>
            <w:hideMark/>
          </w:tcPr>
          <w:p w14:paraId="27E4F187"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15</w:t>
            </w:r>
          </w:p>
        </w:tc>
        <w:tc>
          <w:tcPr>
            <w:tcW w:w="1060" w:type="dxa"/>
            <w:tcBorders>
              <w:top w:val="nil"/>
              <w:left w:val="nil"/>
              <w:bottom w:val="nil"/>
              <w:right w:val="nil"/>
            </w:tcBorders>
            <w:shd w:val="clear" w:color="auto" w:fill="auto"/>
            <w:noWrap/>
            <w:vAlign w:val="bottom"/>
            <w:hideMark/>
          </w:tcPr>
          <w:p w14:paraId="1512832A"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15</w:t>
            </w:r>
          </w:p>
        </w:tc>
        <w:tc>
          <w:tcPr>
            <w:tcW w:w="1060" w:type="dxa"/>
            <w:tcBorders>
              <w:top w:val="nil"/>
              <w:left w:val="nil"/>
              <w:bottom w:val="nil"/>
              <w:right w:val="nil"/>
            </w:tcBorders>
            <w:shd w:val="clear" w:color="auto" w:fill="auto"/>
            <w:noWrap/>
            <w:vAlign w:val="bottom"/>
            <w:hideMark/>
          </w:tcPr>
          <w:p w14:paraId="023EA1CD"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10</w:t>
            </w:r>
          </w:p>
        </w:tc>
        <w:tc>
          <w:tcPr>
            <w:tcW w:w="1060" w:type="dxa"/>
            <w:tcBorders>
              <w:top w:val="nil"/>
              <w:left w:val="nil"/>
              <w:bottom w:val="nil"/>
              <w:right w:val="single" w:sz="4" w:space="0" w:color="auto"/>
            </w:tcBorders>
            <w:shd w:val="clear" w:color="auto" w:fill="auto"/>
            <w:noWrap/>
            <w:vAlign w:val="bottom"/>
            <w:hideMark/>
          </w:tcPr>
          <w:p w14:paraId="37D1EA26"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7.5</w:t>
            </w:r>
          </w:p>
        </w:tc>
      </w:tr>
      <w:tr w:rsidR="00837E18" w14:paraId="2EC71982" w14:textId="77777777" w:rsidTr="00EC01B6">
        <w:trPr>
          <w:trHeight w:val="300"/>
        </w:trPr>
        <w:tc>
          <w:tcPr>
            <w:tcW w:w="1779" w:type="dxa"/>
            <w:tcBorders>
              <w:top w:val="nil"/>
              <w:left w:val="single" w:sz="4" w:space="0" w:color="auto"/>
              <w:bottom w:val="single" w:sz="4" w:space="0" w:color="auto"/>
              <w:right w:val="single" w:sz="4" w:space="0" w:color="auto"/>
            </w:tcBorders>
            <w:shd w:val="clear" w:color="auto" w:fill="auto"/>
            <w:noWrap/>
            <w:vAlign w:val="bottom"/>
            <w:hideMark/>
          </w:tcPr>
          <w:p w14:paraId="13538FEC" w14:textId="77777777" w:rsidR="00EC01B6" w:rsidRPr="00117750" w:rsidRDefault="001630D4" w:rsidP="003F494F">
            <w:pPr>
              <w:spacing w:line="360" w:lineRule="auto"/>
              <w:rPr>
                <w:rFonts w:eastAsia="Times New Roman" w:cstheme="minorHAnsi"/>
                <w:color w:val="000000"/>
                <w:sz w:val="22"/>
                <w:szCs w:val="22"/>
                <w:lang w:eastAsia="en-GB"/>
              </w:rPr>
            </w:pPr>
            <w:r w:rsidRPr="00117750">
              <w:rPr>
                <w:rFonts w:eastAsia="Times New Roman" w:cstheme="minorHAnsi"/>
                <w:color w:val="000000"/>
                <w:sz w:val="22"/>
                <w:szCs w:val="22"/>
                <w:lang w:eastAsia="en-GB"/>
              </w:rPr>
              <w:t>17-20</w:t>
            </w:r>
          </w:p>
        </w:tc>
        <w:tc>
          <w:tcPr>
            <w:tcW w:w="701" w:type="dxa"/>
            <w:tcBorders>
              <w:top w:val="nil"/>
              <w:left w:val="nil"/>
              <w:bottom w:val="nil"/>
              <w:right w:val="nil"/>
            </w:tcBorders>
            <w:shd w:val="clear" w:color="auto" w:fill="auto"/>
            <w:noWrap/>
            <w:vAlign w:val="bottom"/>
            <w:hideMark/>
          </w:tcPr>
          <w:p w14:paraId="07C51BE4"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10</w:t>
            </w:r>
          </w:p>
        </w:tc>
        <w:tc>
          <w:tcPr>
            <w:tcW w:w="701" w:type="dxa"/>
            <w:tcBorders>
              <w:top w:val="nil"/>
              <w:left w:val="nil"/>
              <w:bottom w:val="nil"/>
              <w:right w:val="nil"/>
            </w:tcBorders>
            <w:shd w:val="clear" w:color="auto" w:fill="auto"/>
            <w:noWrap/>
            <w:vAlign w:val="bottom"/>
            <w:hideMark/>
          </w:tcPr>
          <w:p w14:paraId="2FCBB46C"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10</w:t>
            </w:r>
          </w:p>
        </w:tc>
        <w:tc>
          <w:tcPr>
            <w:tcW w:w="1060" w:type="dxa"/>
            <w:tcBorders>
              <w:top w:val="nil"/>
              <w:left w:val="nil"/>
              <w:bottom w:val="nil"/>
              <w:right w:val="nil"/>
            </w:tcBorders>
            <w:shd w:val="clear" w:color="auto" w:fill="auto"/>
            <w:noWrap/>
            <w:vAlign w:val="bottom"/>
            <w:hideMark/>
          </w:tcPr>
          <w:p w14:paraId="34D56EB9"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10</w:t>
            </w:r>
          </w:p>
        </w:tc>
        <w:tc>
          <w:tcPr>
            <w:tcW w:w="1060" w:type="dxa"/>
            <w:tcBorders>
              <w:top w:val="nil"/>
              <w:left w:val="nil"/>
              <w:bottom w:val="nil"/>
              <w:right w:val="nil"/>
            </w:tcBorders>
            <w:shd w:val="clear" w:color="auto" w:fill="auto"/>
            <w:noWrap/>
            <w:vAlign w:val="bottom"/>
            <w:hideMark/>
          </w:tcPr>
          <w:p w14:paraId="7B0580BA"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5</w:t>
            </w:r>
          </w:p>
        </w:tc>
        <w:tc>
          <w:tcPr>
            <w:tcW w:w="1060" w:type="dxa"/>
            <w:tcBorders>
              <w:top w:val="nil"/>
              <w:left w:val="nil"/>
              <w:bottom w:val="nil"/>
              <w:right w:val="single" w:sz="4" w:space="0" w:color="auto"/>
            </w:tcBorders>
            <w:shd w:val="clear" w:color="auto" w:fill="auto"/>
            <w:noWrap/>
            <w:vAlign w:val="bottom"/>
            <w:hideMark/>
          </w:tcPr>
          <w:p w14:paraId="1D285164"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5</w:t>
            </w:r>
          </w:p>
        </w:tc>
      </w:tr>
      <w:tr w:rsidR="00837E18" w14:paraId="207763B1" w14:textId="77777777" w:rsidTr="00EC01B6">
        <w:trPr>
          <w:trHeight w:val="300"/>
        </w:trPr>
        <w:tc>
          <w:tcPr>
            <w:tcW w:w="1779" w:type="dxa"/>
            <w:tcBorders>
              <w:top w:val="nil"/>
              <w:left w:val="single" w:sz="4" w:space="0" w:color="auto"/>
              <w:bottom w:val="single" w:sz="4" w:space="0" w:color="auto"/>
              <w:right w:val="single" w:sz="4" w:space="0" w:color="auto"/>
            </w:tcBorders>
            <w:shd w:val="clear" w:color="auto" w:fill="auto"/>
            <w:noWrap/>
            <w:vAlign w:val="bottom"/>
            <w:hideMark/>
          </w:tcPr>
          <w:p w14:paraId="272A6233" w14:textId="77777777" w:rsidR="00EC01B6" w:rsidRPr="00117750" w:rsidRDefault="001630D4" w:rsidP="003F494F">
            <w:pPr>
              <w:spacing w:line="360" w:lineRule="auto"/>
              <w:rPr>
                <w:rFonts w:eastAsia="Times New Roman" w:cstheme="minorHAnsi"/>
                <w:color w:val="000000"/>
                <w:sz w:val="22"/>
                <w:szCs w:val="22"/>
                <w:lang w:eastAsia="en-GB"/>
              </w:rPr>
            </w:pPr>
            <w:r w:rsidRPr="00117750">
              <w:rPr>
                <w:rFonts w:eastAsia="Times New Roman" w:cstheme="minorHAnsi"/>
                <w:color w:val="000000"/>
                <w:sz w:val="22"/>
                <w:szCs w:val="22"/>
                <w:lang w:eastAsia="en-GB"/>
              </w:rPr>
              <w:t>21-24</w:t>
            </w:r>
          </w:p>
        </w:tc>
        <w:tc>
          <w:tcPr>
            <w:tcW w:w="701" w:type="dxa"/>
            <w:tcBorders>
              <w:top w:val="nil"/>
              <w:left w:val="nil"/>
              <w:bottom w:val="single" w:sz="4" w:space="0" w:color="auto"/>
              <w:right w:val="nil"/>
            </w:tcBorders>
            <w:shd w:val="clear" w:color="auto" w:fill="auto"/>
            <w:noWrap/>
            <w:vAlign w:val="bottom"/>
            <w:hideMark/>
          </w:tcPr>
          <w:p w14:paraId="20060D6E"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5</w:t>
            </w:r>
          </w:p>
        </w:tc>
        <w:tc>
          <w:tcPr>
            <w:tcW w:w="701" w:type="dxa"/>
            <w:tcBorders>
              <w:top w:val="nil"/>
              <w:left w:val="nil"/>
              <w:bottom w:val="single" w:sz="4" w:space="0" w:color="auto"/>
              <w:right w:val="nil"/>
            </w:tcBorders>
            <w:shd w:val="clear" w:color="auto" w:fill="auto"/>
            <w:noWrap/>
            <w:vAlign w:val="bottom"/>
            <w:hideMark/>
          </w:tcPr>
          <w:p w14:paraId="233DF2B4"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5</w:t>
            </w:r>
          </w:p>
        </w:tc>
        <w:tc>
          <w:tcPr>
            <w:tcW w:w="1060" w:type="dxa"/>
            <w:tcBorders>
              <w:top w:val="nil"/>
              <w:left w:val="nil"/>
              <w:bottom w:val="single" w:sz="4" w:space="0" w:color="auto"/>
              <w:right w:val="nil"/>
            </w:tcBorders>
            <w:shd w:val="clear" w:color="auto" w:fill="auto"/>
            <w:noWrap/>
            <w:vAlign w:val="bottom"/>
            <w:hideMark/>
          </w:tcPr>
          <w:p w14:paraId="1A94B0A5"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5</w:t>
            </w:r>
          </w:p>
        </w:tc>
        <w:tc>
          <w:tcPr>
            <w:tcW w:w="1060" w:type="dxa"/>
            <w:tcBorders>
              <w:top w:val="nil"/>
              <w:left w:val="nil"/>
              <w:bottom w:val="single" w:sz="4" w:space="0" w:color="auto"/>
              <w:right w:val="nil"/>
            </w:tcBorders>
            <w:shd w:val="clear" w:color="auto" w:fill="auto"/>
            <w:noWrap/>
            <w:vAlign w:val="bottom"/>
            <w:hideMark/>
          </w:tcPr>
          <w:p w14:paraId="554967D5"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2.5</w:t>
            </w:r>
          </w:p>
        </w:tc>
        <w:tc>
          <w:tcPr>
            <w:tcW w:w="1060" w:type="dxa"/>
            <w:tcBorders>
              <w:top w:val="nil"/>
              <w:left w:val="nil"/>
              <w:bottom w:val="single" w:sz="4" w:space="0" w:color="auto"/>
              <w:right w:val="single" w:sz="4" w:space="0" w:color="auto"/>
            </w:tcBorders>
            <w:shd w:val="clear" w:color="auto" w:fill="auto"/>
            <w:noWrap/>
            <w:vAlign w:val="bottom"/>
            <w:hideMark/>
          </w:tcPr>
          <w:p w14:paraId="7C213190" w14:textId="77777777" w:rsidR="00EC01B6" w:rsidRPr="00117750" w:rsidRDefault="001630D4" w:rsidP="003F494F">
            <w:pPr>
              <w:spacing w:line="360" w:lineRule="auto"/>
              <w:jc w:val="right"/>
              <w:rPr>
                <w:rFonts w:eastAsia="Times New Roman" w:cstheme="minorHAnsi"/>
                <w:color w:val="000000"/>
                <w:sz w:val="22"/>
                <w:szCs w:val="22"/>
                <w:lang w:eastAsia="en-GB"/>
              </w:rPr>
            </w:pPr>
            <w:r w:rsidRPr="00117750">
              <w:rPr>
                <w:rFonts w:eastAsia="Times New Roman" w:cstheme="minorHAnsi"/>
                <w:color w:val="000000"/>
                <w:sz w:val="22"/>
                <w:szCs w:val="22"/>
                <w:lang w:eastAsia="en-GB"/>
              </w:rPr>
              <w:t>2.5</w:t>
            </w:r>
          </w:p>
        </w:tc>
      </w:tr>
      <w:tr w:rsidR="00837E18" w14:paraId="41998001" w14:textId="77777777" w:rsidTr="00EC01B6">
        <w:trPr>
          <w:trHeight w:val="300"/>
        </w:trPr>
        <w:tc>
          <w:tcPr>
            <w:tcW w:w="1779" w:type="dxa"/>
            <w:tcBorders>
              <w:top w:val="nil"/>
              <w:left w:val="nil"/>
              <w:bottom w:val="nil"/>
              <w:right w:val="nil"/>
            </w:tcBorders>
            <w:shd w:val="clear" w:color="auto" w:fill="auto"/>
            <w:noWrap/>
            <w:vAlign w:val="bottom"/>
            <w:hideMark/>
          </w:tcPr>
          <w:p w14:paraId="1F3832E0" w14:textId="77777777" w:rsidR="00EC01B6" w:rsidRPr="00117750" w:rsidRDefault="00EC01B6" w:rsidP="003F494F">
            <w:pPr>
              <w:spacing w:line="360" w:lineRule="auto"/>
              <w:jc w:val="right"/>
              <w:rPr>
                <w:rFonts w:eastAsia="Times New Roman" w:cstheme="minorHAnsi"/>
                <w:color w:val="000000"/>
                <w:sz w:val="22"/>
                <w:szCs w:val="22"/>
                <w:lang w:eastAsia="en-GB"/>
              </w:rPr>
            </w:pPr>
          </w:p>
        </w:tc>
        <w:tc>
          <w:tcPr>
            <w:tcW w:w="701" w:type="dxa"/>
            <w:tcBorders>
              <w:top w:val="nil"/>
              <w:left w:val="nil"/>
              <w:bottom w:val="nil"/>
              <w:right w:val="nil"/>
            </w:tcBorders>
            <w:shd w:val="clear" w:color="auto" w:fill="auto"/>
            <w:noWrap/>
            <w:vAlign w:val="bottom"/>
            <w:hideMark/>
          </w:tcPr>
          <w:p w14:paraId="4A049058" w14:textId="77777777" w:rsidR="00EC01B6" w:rsidRPr="00117750" w:rsidRDefault="00EC01B6" w:rsidP="003F494F">
            <w:pPr>
              <w:spacing w:line="360" w:lineRule="auto"/>
              <w:rPr>
                <w:rFonts w:eastAsia="Times New Roman" w:cstheme="minorHAnsi"/>
                <w:sz w:val="22"/>
                <w:szCs w:val="22"/>
                <w:lang w:eastAsia="en-GB"/>
              </w:rPr>
            </w:pPr>
          </w:p>
        </w:tc>
        <w:tc>
          <w:tcPr>
            <w:tcW w:w="701" w:type="dxa"/>
            <w:tcBorders>
              <w:top w:val="nil"/>
              <w:left w:val="nil"/>
              <w:bottom w:val="nil"/>
              <w:right w:val="nil"/>
            </w:tcBorders>
            <w:shd w:val="clear" w:color="auto" w:fill="auto"/>
            <w:noWrap/>
            <w:vAlign w:val="bottom"/>
            <w:hideMark/>
          </w:tcPr>
          <w:p w14:paraId="2C22590F" w14:textId="77777777" w:rsidR="00EC01B6" w:rsidRPr="00117750" w:rsidRDefault="00EC01B6" w:rsidP="003F494F">
            <w:pPr>
              <w:spacing w:line="360" w:lineRule="auto"/>
              <w:rPr>
                <w:rFonts w:eastAsia="Times New Roman" w:cstheme="minorHAnsi"/>
                <w:sz w:val="22"/>
                <w:szCs w:val="22"/>
                <w:lang w:eastAsia="en-GB"/>
              </w:rPr>
            </w:pPr>
          </w:p>
        </w:tc>
        <w:tc>
          <w:tcPr>
            <w:tcW w:w="1060" w:type="dxa"/>
            <w:tcBorders>
              <w:top w:val="nil"/>
              <w:left w:val="nil"/>
              <w:bottom w:val="nil"/>
              <w:right w:val="nil"/>
            </w:tcBorders>
            <w:shd w:val="clear" w:color="auto" w:fill="auto"/>
            <w:noWrap/>
            <w:vAlign w:val="bottom"/>
            <w:hideMark/>
          </w:tcPr>
          <w:p w14:paraId="3CBF6D2A" w14:textId="77777777" w:rsidR="00EC01B6" w:rsidRPr="00117750" w:rsidRDefault="00EC01B6" w:rsidP="003F494F">
            <w:pPr>
              <w:spacing w:line="360" w:lineRule="auto"/>
              <w:rPr>
                <w:rFonts w:eastAsia="Times New Roman" w:cstheme="minorHAnsi"/>
                <w:sz w:val="22"/>
                <w:szCs w:val="22"/>
                <w:lang w:eastAsia="en-GB"/>
              </w:rPr>
            </w:pPr>
          </w:p>
        </w:tc>
        <w:tc>
          <w:tcPr>
            <w:tcW w:w="1060" w:type="dxa"/>
            <w:tcBorders>
              <w:top w:val="nil"/>
              <w:left w:val="nil"/>
              <w:bottom w:val="nil"/>
              <w:right w:val="nil"/>
            </w:tcBorders>
            <w:shd w:val="clear" w:color="auto" w:fill="auto"/>
            <w:noWrap/>
            <w:vAlign w:val="bottom"/>
            <w:hideMark/>
          </w:tcPr>
          <w:p w14:paraId="16CBC07F" w14:textId="77777777" w:rsidR="00EC01B6" w:rsidRPr="00117750" w:rsidRDefault="00EC01B6" w:rsidP="003F494F">
            <w:pPr>
              <w:spacing w:line="360" w:lineRule="auto"/>
              <w:rPr>
                <w:rFonts w:eastAsia="Times New Roman" w:cstheme="minorHAnsi"/>
                <w:sz w:val="22"/>
                <w:szCs w:val="22"/>
                <w:lang w:eastAsia="en-GB"/>
              </w:rPr>
            </w:pPr>
          </w:p>
        </w:tc>
        <w:tc>
          <w:tcPr>
            <w:tcW w:w="1060" w:type="dxa"/>
            <w:tcBorders>
              <w:top w:val="nil"/>
              <w:left w:val="nil"/>
              <w:bottom w:val="nil"/>
              <w:right w:val="nil"/>
            </w:tcBorders>
            <w:shd w:val="clear" w:color="auto" w:fill="auto"/>
            <w:noWrap/>
            <w:vAlign w:val="bottom"/>
            <w:hideMark/>
          </w:tcPr>
          <w:p w14:paraId="21A4929E" w14:textId="77777777" w:rsidR="00EC01B6" w:rsidRPr="00117750" w:rsidRDefault="00EC01B6" w:rsidP="003F494F">
            <w:pPr>
              <w:spacing w:line="360" w:lineRule="auto"/>
              <w:rPr>
                <w:rFonts w:eastAsia="Times New Roman" w:cstheme="minorHAnsi"/>
                <w:sz w:val="22"/>
                <w:szCs w:val="22"/>
                <w:lang w:eastAsia="en-GB"/>
              </w:rPr>
            </w:pPr>
          </w:p>
        </w:tc>
      </w:tr>
    </w:tbl>
    <w:p w14:paraId="11091B58" w14:textId="256ACC12" w:rsidR="00C00DD6" w:rsidRPr="00C00DD6" w:rsidRDefault="001630D4" w:rsidP="003F494F">
      <w:pPr>
        <w:pStyle w:val="NoSpacing"/>
        <w:spacing w:line="360" w:lineRule="auto"/>
        <w:rPr>
          <w:rFonts w:cstheme="minorHAnsi"/>
          <w:b/>
          <w:u w:val="single"/>
        </w:rPr>
      </w:pPr>
      <w:r w:rsidRPr="00C00DD6">
        <w:rPr>
          <w:rFonts w:cstheme="minorHAnsi"/>
          <w:b/>
          <w:u w:val="single"/>
        </w:rPr>
        <w:t xml:space="preserve">B cell depletion </w:t>
      </w:r>
    </w:p>
    <w:p w14:paraId="1DC905B0" w14:textId="0C617936" w:rsidR="00741996" w:rsidRDefault="001630D4">
      <w:pPr>
        <w:pStyle w:val="NoSpacing"/>
        <w:spacing w:line="360" w:lineRule="auto"/>
        <w:rPr>
          <w:rFonts w:cstheme="minorHAnsi"/>
          <w:b/>
        </w:rPr>
      </w:pPr>
      <w:r w:rsidRPr="00117750">
        <w:rPr>
          <w:rFonts w:cstheme="minorHAnsi"/>
          <w:b/>
        </w:rPr>
        <w:lastRenderedPageBreak/>
        <w:t xml:space="preserve">Rituximab </w:t>
      </w:r>
    </w:p>
    <w:p w14:paraId="6E1F5B65" w14:textId="5B6AE052" w:rsidR="006F0C5C" w:rsidRPr="003F494F" w:rsidRDefault="00F24595" w:rsidP="003F494F">
      <w:pPr>
        <w:pStyle w:val="NoSpacing"/>
        <w:spacing w:line="360" w:lineRule="auto"/>
        <w:jc w:val="both"/>
        <w:rPr>
          <w:rFonts w:cstheme="minorHAnsi"/>
          <w:bCs/>
        </w:rPr>
      </w:pPr>
      <w:r w:rsidRPr="003F494F">
        <w:rPr>
          <w:rFonts w:cstheme="minorHAnsi"/>
          <w:bCs/>
        </w:rPr>
        <w:t xml:space="preserve">NHS England guidance </w:t>
      </w:r>
      <w:r w:rsidR="00191B03">
        <w:rPr>
          <w:rFonts w:cstheme="minorHAnsi"/>
          <w:bCs/>
        </w:rPr>
        <w:t xml:space="preserve">for the use of rituximab in idiopathic childhood nephrotic syndrome </w:t>
      </w:r>
      <w:r w:rsidR="00741996" w:rsidRPr="003F494F">
        <w:rPr>
          <w:rFonts w:cstheme="minorHAnsi"/>
          <w:bCs/>
        </w:rPr>
        <w:t>suggest</w:t>
      </w:r>
      <w:r w:rsidR="00191B03">
        <w:rPr>
          <w:rFonts w:cstheme="minorHAnsi"/>
          <w:bCs/>
        </w:rPr>
        <w:t>s the use of</w:t>
      </w:r>
      <w:r w:rsidR="00741996" w:rsidRPr="003F494F">
        <w:rPr>
          <w:rFonts w:cstheme="minorHAnsi"/>
          <w:bCs/>
        </w:rPr>
        <w:t xml:space="preserve"> two high doses of rituximab </w:t>
      </w:r>
      <w:r w:rsidR="00191B03">
        <w:rPr>
          <w:rFonts w:cstheme="minorHAnsi"/>
          <w:bCs/>
        </w:rPr>
        <w:t>(</w:t>
      </w:r>
      <w:r w:rsidR="00191B03" w:rsidRPr="00117750">
        <w:rPr>
          <w:rFonts w:cstheme="minorHAnsi"/>
        </w:rPr>
        <w:t>750mg/m² (max 1g</w:t>
      </w:r>
      <w:r w:rsidR="00191B03">
        <w:rPr>
          <w:rFonts w:cstheme="minorHAnsi"/>
        </w:rPr>
        <w:t xml:space="preserve">) </w:t>
      </w:r>
      <w:r w:rsidR="00191B03">
        <w:rPr>
          <w:rFonts w:cstheme="minorHAnsi"/>
          <w:bCs/>
        </w:rPr>
        <w:t xml:space="preserve">per dose) </w:t>
      </w:r>
      <w:r w:rsidR="00741996" w:rsidRPr="003F494F">
        <w:rPr>
          <w:rFonts w:cstheme="minorHAnsi"/>
          <w:bCs/>
        </w:rPr>
        <w:t xml:space="preserve">however it was acknowledged that several </w:t>
      </w:r>
      <w:r w:rsidRPr="003F494F">
        <w:rPr>
          <w:rFonts w:cstheme="minorHAnsi"/>
          <w:bCs/>
        </w:rPr>
        <w:t>local protocols</w:t>
      </w:r>
      <w:r w:rsidR="00741996" w:rsidRPr="003F494F">
        <w:rPr>
          <w:rFonts w:cstheme="minorHAnsi"/>
          <w:bCs/>
        </w:rPr>
        <w:t xml:space="preserve"> </w:t>
      </w:r>
      <w:r w:rsidR="00191B03">
        <w:rPr>
          <w:rFonts w:cstheme="minorHAnsi"/>
          <w:bCs/>
        </w:rPr>
        <w:t xml:space="preserve">have begun to </w:t>
      </w:r>
      <w:r w:rsidR="00741996" w:rsidRPr="003F494F">
        <w:rPr>
          <w:rFonts w:cstheme="minorHAnsi"/>
          <w:bCs/>
        </w:rPr>
        <w:t xml:space="preserve">incorporate a single half dose of rituximab and this is standard clinical practice </w:t>
      </w:r>
      <w:r w:rsidR="00191B03">
        <w:rPr>
          <w:rFonts w:cstheme="minorHAnsi"/>
          <w:bCs/>
        </w:rPr>
        <w:t>in some centres supported by case series</w:t>
      </w:r>
      <w:r w:rsidR="00741996" w:rsidRPr="003F494F">
        <w:rPr>
          <w:rFonts w:cstheme="minorHAnsi"/>
          <w:bCs/>
        </w:rPr>
        <w:t xml:space="preserve"> to support efficacy</w:t>
      </w:r>
      <w:r w:rsidR="001F3A16">
        <w:rPr>
          <w:rFonts w:cstheme="minorHAnsi"/>
          <w:bCs/>
        </w:rPr>
        <w:t xml:space="preserve"> </w:t>
      </w:r>
      <w:r w:rsidR="001F3A16">
        <w:rPr>
          <w:rFonts w:cstheme="minorHAnsi"/>
          <w:bCs/>
        </w:rPr>
        <w:fldChar w:fldCharType="begin"/>
      </w:r>
      <w:r w:rsidR="00642970">
        <w:rPr>
          <w:rFonts w:cstheme="minorHAnsi"/>
          <w:bCs/>
        </w:rPr>
        <w:instrText xml:space="preserve"> ADDIN ZOTERO_ITEM CSL_CITATION {"citationID":"pzASRvM1","properties":{"formattedCitation":"(188)","plainCitation":"(188)","noteIndex":0},"citationItems":[{"id":660,"uris":["http://zotero.org/users/local/lvPLY4Gu/items/6FLR63KU"],"itemData":{"id":660,"type":"article-journal","abstract":"Rituximab is an established therapy in children with idiopathic nephrotic syndrome to sustain short- to medium-term disease remission and avoid steroid toxicities. Recent trials focus on its use as a first-line agent among those with milder disease severity. Rituximab is used in multidrug refractory nephrotic syndrome and post-transplant disease recurrence, although the evidence is much less substantial. Available data suggest that the treatment response to rituximab depends on various patient factors, dosing regimen, and the concomitant use of maintenance immunosuppression. After repeated treatments, patients are found to have an improving response overall with a longer relapse-free period. The drug effect, however, is not permanent, and 80% of patients eventually relapse and many will require an additional course of rituximab. This underpins the importance of understanding the long-term safety profile on repeated treatments. Although rituximab appears to be generally safe, there are concerns about long-term hypogammaglobulinemia, especially in young children. Reliable immunophenotyping and biomarkers are yet to be discovered to predict treatment success, risk of both rare and severe side effects, e.g. , persistent hypogammaglobulinemia, and guiding of redosing strategy. In this review, we highlight recent advances in the use of rituximab for childhood nephrotic syndrome and how the therapeutic landscape is evolving.","container-title":"Clinical journal of the American Society of Nephrology: CJASN","DOI":"10.2215/CJN.08570722","ISSN":"1555-905X","issue":"4","journalAbbreviation":"Clin J Am Soc Nephrol","language":"eng","note":"PMID: 36456193\nPMCID: PMC10103321","page":"533-548","source":"PubMed","title":"Use of Rituximab in Childhood Idiopathic Nephrotic Syndrome","volume":"18","author":[{"family":"Chan","given":"Eugene Yu-Hin"},{"family":"Yap","given":"Desmond Yat-Hin"},{"family":"Colucci","given":"Manuela"},{"family":"Ma","given":"Alison Lap-Tak"},{"family":"Parekh","given":"Rulan S."},{"family":"Tullus","given":"Kjell"}],"issued":{"date-parts":[["2023",4,1]]}}}],"schema":"https://github.com/citation-style-language/schema/raw/master/csl-citation.json"} </w:instrText>
      </w:r>
      <w:r w:rsidR="001F3A16">
        <w:rPr>
          <w:rFonts w:cstheme="minorHAnsi"/>
          <w:bCs/>
        </w:rPr>
        <w:fldChar w:fldCharType="separate"/>
      </w:r>
      <w:r w:rsidR="00642970">
        <w:rPr>
          <w:rFonts w:cstheme="minorHAnsi"/>
          <w:bCs/>
          <w:noProof/>
        </w:rPr>
        <w:t>(188)</w:t>
      </w:r>
      <w:r w:rsidR="001F3A16">
        <w:rPr>
          <w:rFonts w:cstheme="minorHAnsi"/>
          <w:bCs/>
        </w:rPr>
        <w:fldChar w:fldCharType="end"/>
      </w:r>
      <w:r w:rsidR="00741996" w:rsidRPr="003F494F">
        <w:rPr>
          <w:rFonts w:cstheme="minorHAnsi"/>
          <w:bCs/>
        </w:rPr>
        <w:t xml:space="preserve">. It was therefore agreed </w:t>
      </w:r>
      <w:r w:rsidR="00191B03">
        <w:rPr>
          <w:rFonts w:cstheme="minorHAnsi"/>
          <w:bCs/>
        </w:rPr>
        <w:t xml:space="preserve">by the GDG </w:t>
      </w:r>
      <w:r w:rsidR="00741996" w:rsidRPr="003F494F">
        <w:rPr>
          <w:rFonts w:cstheme="minorHAnsi"/>
          <w:bCs/>
        </w:rPr>
        <w:t xml:space="preserve">that it may be appropriate to use </w:t>
      </w:r>
      <w:r w:rsidR="00191B03">
        <w:rPr>
          <w:rFonts w:cstheme="minorHAnsi"/>
          <w:bCs/>
        </w:rPr>
        <w:t xml:space="preserve">either </w:t>
      </w:r>
      <w:r w:rsidR="00741996" w:rsidRPr="003F494F">
        <w:rPr>
          <w:rFonts w:cstheme="minorHAnsi"/>
          <w:bCs/>
        </w:rPr>
        <w:t>a lower single dose</w:t>
      </w:r>
      <w:r w:rsidR="00191B03">
        <w:rPr>
          <w:rFonts w:cstheme="minorHAnsi"/>
          <w:bCs/>
        </w:rPr>
        <w:t>, or standard regimen,</w:t>
      </w:r>
      <w:r w:rsidR="00741996" w:rsidRPr="003F494F">
        <w:rPr>
          <w:rFonts w:cstheme="minorHAnsi"/>
          <w:bCs/>
        </w:rPr>
        <w:t xml:space="preserve"> in uncomplicated cases of IM-GD.  The standard dose is recommended for complex or </w:t>
      </w:r>
      <w:proofErr w:type="spellStart"/>
      <w:proofErr w:type="gramStart"/>
      <w:r w:rsidR="00741996" w:rsidRPr="003F494F">
        <w:rPr>
          <w:rFonts w:cstheme="minorHAnsi"/>
          <w:bCs/>
        </w:rPr>
        <w:t>non responding</w:t>
      </w:r>
      <w:proofErr w:type="spellEnd"/>
      <w:proofErr w:type="gramEnd"/>
      <w:r w:rsidR="00741996" w:rsidRPr="003F494F">
        <w:rPr>
          <w:rFonts w:cstheme="minorHAnsi"/>
          <w:bCs/>
        </w:rPr>
        <w:t xml:space="preserve"> idiopathic NS and other forms of </w:t>
      </w:r>
      <w:r w:rsidR="00191B03">
        <w:rPr>
          <w:rFonts w:cstheme="minorHAnsi"/>
          <w:bCs/>
        </w:rPr>
        <w:t xml:space="preserve">more severe </w:t>
      </w:r>
      <w:r w:rsidR="00741996" w:rsidRPr="003F494F">
        <w:rPr>
          <w:rFonts w:cstheme="minorHAnsi"/>
          <w:bCs/>
        </w:rPr>
        <w:t xml:space="preserve">glomerulonephritis. </w:t>
      </w:r>
      <w:r w:rsidR="00741996">
        <w:rPr>
          <w:rFonts w:cstheme="minorHAnsi"/>
          <w:bCs/>
        </w:rPr>
        <w:t xml:space="preserve">Detailed administration, monitoring guidance and </w:t>
      </w:r>
      <w:proofErr w:type="gramStart"/>
      <w:r w:rsidR="00741996">
        <w:rPr>
          <w:rFonts w:cstheme="minorHAnsi"/>
          <w:bCs/>
        </w:rPr>
        <w:t>long term</w:t>
      </w:r>
      <w:proofErr w:type="gramEnd"/>
      <w:r w:rsidR="00741996">
        <w:rPr>
          <w:rFonts w:cstheme="minorHAnsi"/>
          <w:bCs/>
        </w:rPr>
        <w:t xml:space="preserve"> safety profile considerations </w:t>
      </w:r>
      <w:r w:rsidR="00191B03">
        <w:rPr>
          <w:rFonts w:cstheme="minorHAnsi"/>
          <w:bCs/>
        </w:rPr>
        <w:t xml:space="preserve">of rituximab </w:t>
      </w:r>
      <w:r w:rsidR="00741996">
        <w:rPr>
          <w:rFonts w:cstheme="minorHAnsi"/>
          <w:bCs/>
        </w:rPr>
        <w:t xml:space="preserve">are beyond the scope of this document and local or national protocols should be used. </w:t>
      </w:r>
    </w:p>
    <w:p w14:paraId="3ED3E483" w14:textId="77777777" w:rsidR="003D5CF4" w:rsidRPr="00117750" w:rsidRDefault="003D5CF4" w:rsidP="003F494F">
      <w:pPr>
        <w:pStyle w:val="NoSpacing"/>
        <w:spacing w:line="360" w:lineRule="auto"/>
        <w:rPr>
          <w:rFonts w:cstheme="minorHAnsi"/>
          <w:b/>
        </w:rPr>
      </w:pPr>
    </w:p>
    <w:p w14:paraId="5E70DC93" w14:textId="07C13EFB" w:rsidR="00691814" w:rsidRPr="00117750" w:rsidRDefault="001630D4" w:rsidP="003F494F">
      <w:pPr>
        <w:pStyle w:val="NoSpacing"/>
        <w:numPr>
          <w:ilvl w:val="0"/>
          <w:numId w:val="29"/>
        </w:numPr>
        <w:spacing w:line="360" w:lineRule="auto"/>
        <w:rPr>
          <w:rFonts w:cstheme="minorHAnsi"/>
          <w:b/>
        </w:rPr>
      </w:pPr>
      <w:r w:rsidRPr="00117750">
        <w:rPr>
          <w:rFonts w:cstheme="minorHAnsi"/>
          <w:b/>
        </w:rPr>
        <w:t xml:space="preserve">Standard dosing (NHS England), </w:t>
      </w:r>
    </w:p>
    <w:p w14:paraId="19BA7335" w14:textId="36E3E3E8" w:rsidR="00691814" w:rsidRPr="00117750" w:rsidRDefault="001630D4" w:rsidP="003F494F">
      <w:pPr>
        <w:pStyle w:val="NoSpacing"/>
        <w:spacing w:line="360" w:lineRule="auto"/>
        <w:rPr>
          <w:rFonts w:cstheme="minorHAnsi"/>
          <w:b/>
        </w:rPr>
      </w:pPr>
      <w:r w:rsidRPr="00117750">
        <w:rPr>
          <w:rFonts w:cstheme="minorHAnsi"/>
        </w:rPr>
        <w:t>750mg/m² (max 1g to nearest 50mg) D1 &amp; D15 (min</w:t>
      </w:r>
      <w:r w:rsidR="008925FE">
        <w:rPr>
          <w:rFonts w:cstheme="minorHAnsi"/>
        </w:rPr>
        <w:t>imum of</w:t>
      </w:r>
      <w:r w:rsidRPr="00117750">
        <w:rPr>
          <w:rFonts w:cstheme="minorHAnsi"/>
        </w:rPr>
        <w:t xml:space="preserve"> 6</w:t>
      </w:r>
      <w:r w:rsidR="008925FE">
        <w:rPr>
          <w:rFonts w:cstheme="minorHAnsi"/>
        </w:rPr>
        <w:t xml:space="preserve"> </w:t>
      </w:r>
      <w:proofErr w:type="spellStart"/>
      <w:r w:rsidRPr="00117750">
        <w:rPr>
          <w:rFonts w:cstheme="minorHAnsi"/>
        </w:rPr>
        <w:t>m</w:t>
      </w:r>
      <w:r w:rsidR="008925FE">
        <w:rPr>
          <w:rFonts w:cstheme="minorHAnsi"/>
        </w:rPr>
        <w:t>o</w:t>
      </w:r>
      <w:r w:rsidRPr="00117750">
        <w:rPr>
          <w:rFonts w:cstheme="minorHAnsi"/>
        </w:rPr>
        <w:t xml:space="preserve">nths </w:t>
      </w:r>
      <w:proofErr w:type="gramStart"/>
      <w:r w:rsidR="008925FE">
        <w:rPr>
          <w:rFonts w:cstheme="minorHAnsi"/>
        </w:rPr>
        <w:t>time</w:t>
      </w:r>
      <w:proofErr w:type="spellEnd"/>
      <w:r w:rsidR="008925FE">
        <w:rPr>
          <w:rFonts w:cstheme="minorHAnsi"/>
        </w:rPr>
        <w:t xml:space="preserve"> period</w:t>
      </w:r>
      <w:proofErr w:type="gramEnd"/>
      <w:r w:rsidR="008925FE">
        <w:rPr>
          <w:rFonts w:cstheme="minorHAnsi"/>
        </w:rPr>
        <w:t xml:space="preserve"> </w:t>
      </w:r>
      <w:r w:rsidRPr="00117750">
        <w:rPr>
          <w:rFonts w:cstheme="minorHAnsi"/>
        </w:rPr>
        <w:t xml:space="preserve">between </w:t>
      </w:r>
      <w:r w:rsidR="008925FE">
        <w:rPr>
          <w:rFonts w:cstheme="minorHAnsi"/>
        </w:rPr>
        <w:t xml:space="preserve">subsequent </w:t>
      </w:r>
      <w:r w:rsidRPr="00117750">
        <w:rPr>
          <w:rFonts w:cstheme="minorHAnsi"/>
        </w:rPr>
        <w:t>courses)</w:t>
      </w:r>
    </w:p>
    <w:p w14:paraId="054FF422" w14:textId="77777777" w:rsidR="00691814" w:rsidRPr="00117750" w:rsidRDefault="00691814" w:rsidP="003F494F">
      <w:pPr>
        <w:pStyle w:val="NoSpacing"/>
        <w:spacing w:line="360" w:lineRule="auto"/>
        <w:rPr>
          <w:rFonts w:cstheme="minorHAnsi"/>
          <w:b/>
        </w:rPr>
      </w:pPr>
    </w:p>
    <w:p w14:paraId="46634174" w14:textId="7DEC65D9" w:rsidR="00691814" w:rsidRPr="00117750" w:rsidRDefault="001630D4" w:rsidP="003F494F">
      <w:pPr>
        <w:pStyle w:val="NoSpacing"/>
        <w:numPr>
          <w:ilvl w:val="0"/>
          <w:numId w:val="29"/>
        </w:numPr>
        <w:spacing w:line="360" w:lineRule="auto"/>
        <w:rPr>
          <w:rFonts w:cstheme="minorHAnsi"/>
          <w:b/>
        </w:rPr>
      </w:pPr>
      <w:r w:rsidRPr="00117750">
        <w:rPr>
          <w:rFonts w:cstheme="minorHAnsi"/>
          <w:b/>
        </w:rPr>
        <w:t xml:space="preserve">Single dosing (deemed more suitable for less complex </w:t>
      </w:r>
      <w:proofErr w:type="spellStart"/>
      <w:r w:rsidRPr="00117750">
        <w:rPr>
          <w:rFonts w:cstheme="minorHAnsi"/>
          <w:b/>
        </w:rPr>
        <w:t>iNS</w:t>
      </w:r>
      <w:proofErr w:type="spellEnd"/>
      <w:r w:rsidRPr="00117750">
        <w:rPr>
          <w:rFonts w:cstheme="minorHAnsi"/>
          <w:b/>
        </w:rPr>
        <w:t xml:space="preserve"> </w:t>
      </w:r>
      <w:proofErr w:type="spellStart"/>
      <w:r w:rsidRPr="00117750">
        <w:rPr>
          <w:rFonts w:cstheme="minorHAnsi"/>
          <w:b/>
        </w:rPr>
        <w:t>eg</w:t>
      </w:r>
      <w:proofErr w:type="spellEnd"/>
      <w:r w:rsidRPr="00117750">
        <w:rPr>
          <w:rFonts w:cstheme="minorHAnsi"/>
          <w:b/>
        </w:rPr>
        <w:t>: SSNS, SDNS)</w:t>
      </w:r>
    </w:p>
    <w:p w14:paraId="1F22DDBC" w14:textId="77777777" w:rsidR="00691814" w:rsidRPr="00117750" w:rsidRDefault="00691814" w:rsidP="003F494F">
      <w:pPr>
        <w:pStyle w:val="NoSpacing"/>
        <w:spacing w:line="360" w:lineRule="auto"/>
        <w:rPr>
          <w:rFonts w:cstheme="minorHAnsi"/>
          <w:b/>
        </w:rPr>
      </w:pPr>
    </w:p>
    <w:p w14:paraId="1D6F3C8D" w14:textId="75E718EB" w:rsidR="00691814" w:rsidRDefault="001630D4" w:rsidP="003F494F">
      <w:pPr>
        <w:pStyle w:val="NoSpacing"/>
        <w:spacing w:line="360" w:lineRule="auto"/>
        <w:rPr>
          <w:rFonts w:cstheme="minorHAnsi"/>
        </w:rPr>
      </w:pPr>
      <w:r w:rsidRPr="00117750">
        <w:rPr>
          <w:rFonts w:cstheme="minorHAnsi"/>
        </w:rPr>
        <w:t xml:space="preserve">Single dose of 375mg/m² (max </w:t>
      </w:r>
      <w:r w:rsidR="007A1513">
        <w:rPr>
          <w:rFonts w:cstheme="minorHAnsi"/>
        </w:rPr>
        <w:t>500m</w:t>
      </w:r>
      <w:r w:rsidRPr="00117750">
        <w:rPr>
          <w:rFonts w:cstheme="minorHAnsi"/>
        </w:rPr>
        <w:t>g to nearest 50mg) usual min</w:t>
      </w:r>
      <w:r w:rsidR="00741996">
        <w:rPr>
          <w:rFonts w:cstheme="minorHAnsi"/>
        </w:rPr>
        <w:t>imum</w:t>
      </w:r>
      <w:r w:rsidRPr="00117750">
        <w:rPr>
          <w:rFonts w:cstheme="minorHAnsi"/>
        </w:rPr>
        <w:t xml:space="preserve"> interval 6</w:t>
      </w:r>
      <w:r w:rsidR="007A1513">
        <w:rPr>
          <w:rFonts w:cstheme="minorHAnsi"/>
        </w:rPr>
        <w:t xml:space="preserve"> </w:t>
      </w:r>
      <w:proofErr w:type="spellStart"/>
      <w:r w:rsidRPr="00117750">
        <w:rPr>
          <w:rFonts w:cstheme="minorHAnsi"/>
        </w:rPr>
        <w:t>m</w:t>
      </w:r>
      <w:r w:rsidR="007A1513">
        <w:rPr>
          <w:rFonts w:cstheme="minorHAnsi"/>
        </w:rPr>
        <w:t>o</w:t>
      </w:r>
      <w:r w:rsidRPr="00117750">
        <w:rPr>
          <w:rFonts w:cstheme="minorHAnsi"/>
        </w:rPr>
        <w:t xml:space="preserve">nths </w:t>
      </w:r>
      <w:proofErr w:type="gramStart"/>
      <w:r w:rsidR="00741996">
        <w:rPr>
          <w:rFonts w:cstheme="minorHAnsi"/>
        </w:rPr>
        <w:t>time</w:t>
      </w:r>
      <w:proofErr w:type="spellEnd"/>
      <w:r w:rsidR="00741996">
        <w:rPr>
          <w:rFonts w:cstheme="minorHAnsi"/>
        </w:rPr>
        <w:t xml:space="preserve"> period</w:t>
      </w:r>
      <w:proofErr w:type="gramEnd"/>
      <w:r w:rsidR="00741996">
        <w:rPr>
          <w:rFonts w:cstheme="minorHAnsi"/>
        </w:rPr>
        <w:t xml:space="preserve"> </w:t>
      </w:r>
      <w:r w:rsidRPr="00117750">
        <w:rPr>
          <w:rFonts w:cstheme="minorHAnsi"/>
        </w:rPr>
        <w:t xml:space="preserve">between </w:t>
      </w:r>
      <w:r w:rsidR="00741996">
        <w:rPr>
          <w:rFonts w:cstheme="minorHAnsi"/>
        </w:rPr>
        <w:t xml:space="preserve">subsequent </w:t>
      </w:r>
      <w:r w:rsidRPr="00117750">
        <w:rPr>
          <w:rFonts w:cstheme="minorHAnsi"/>
        </w:rPr>
        <w:t xml:space="preserve">doses (repeat dose at D15 or if </w:t>
      </w:r>
      <w:r w:rsidR="00741996">
        <w:rPr>
          <w:rFonts w:cstheme="minorHAnsi"/>
        </w:rPr>
        <w:t>there has been i</w:t>
      </w:r>
      <w:r w:rsidRPr="00117750">
        <w:rPr>
          <w:rFonts w:cstheme="minorHAnsi"/>
        </w:rPr>
        <w:t>nadequate clinical and/or B cell response)</w:t>
      </w:r>
    </w:p>
    <w:p w14:paraId="5322F8D3" w14:textId="77777777" w:rsidR="00724887" w:rsidRDefault="00724887" w:rsidP="003F494F">
      <w:pPr>
        <w:pStyle w:val="NoSpacing"/>
        <w:spacing w:line="360" w:lineRule="auto"/>
        <w:rPr>
          <w:rFonts w:cstheme="minorHAnsi"/>
        </w:rPr>
      </w:pPr>
    </w:p>
    <w:p w14:paraId="0BA40FAF" w14:textId="77777777" w:rsidR="00691814" w:rsidRPr="00117750" w:rsidRDefault="00691814" w:rsidP="003F494F">
      <w:pPr>
        <w:pStyle w:val="NoSpacing"/>
        <w:spacing w:line="360" w:lineRule="auto"/>
        <w:rPr>
          <w:rFonts w:cstheme="minorHAnsi"/>
        </w:rPr>
      </w:pPr>
    </w:p>
    <w:p w14:paraId="2C5B93F7" w14:textId="77777777" w:rsidR="00C00DD6" w:rsidRPr="00C00DD6" w:rsidRDefault="001630D4" w:rsidP="003F494F">
      <w:pPr>
        <w:pStyle w:val="NoSpacing"/>
        <w:spacing w:line="360" w:lineRule="auto"/>
        <w:rPr>
          <w:rFonts w:cstheme="minorHAnsi"/>
          <w:b/>
          <w:bCs/>
          <w:u w:val="single"/>
        </w:rPr>
      </w:pPr>
      <w:r w:rsidRPr="00C00DD6">
        <w:rPr>
          <w:rFonts w:cstheme="minorHAnsi"/>
          <w:b/>
          <w:bCs/>
          <w:u w:val="single"/>
        </w:rPr>
        <w:t xml:space="preserve">Cyclophosphamide </w:t>
      </w:r>
      <w:r w:rsidR="00F24595" w:rsidRPr="00C00DD6">
        <w:rPr>
          <w:rFonts w:cstheme="minorHAnsi"/>
          <w:b/>
          <w:bCs/>
          <w:u w:val="single"/>
        </w:rPr>
        <w:t xml:space="preserve">(CYC) </w:t>
      </w:r>
    </w:p>
    <w:p w14:paraId="7F3AD347" w14:textId="710C37AE" w:rsidR="00C8539B" w:rsidRDefault="00C8539B" w:rsidP="003F494F">
      <w:pPr>
        <w:pStyle w:val="NoSpacing"/>
        <w:spacing w:line="360" w:lineRule="auto"/>
        <w:jc w:val="both"/>
        <w:rPr>
          <w:rFonts w:cstheme="minorHAnsi"/>
        </w:rPr>
      </w:pPr>
      <w:r w:rsidRPr="003F494F">
        <w:rPr>
          <w:rFonts w:cstheme="minorHAnsi"/>
        </w:rPr>
        <w:t>This agent is being less commonly used since the emergence of alternative agents that may have a more favourable long term side effect profile. The risks of irreversible adverse side effects are seen with</w:t>
      </w:r>
      <w:r>
        <w:rPr>
          <w:rFonts w:cstheme="minorHAnsi"/>
        </w:rPr>
        <w:t xml:space="preserve"> increasing cumulative dose and therefore minimising the dose exposure should be an active consideration. </w:t>
      </w:r>
    </w:p>
    <w:p w14:paraId="1BF790AC" w14:textId="0BACCCD6" w:rsidR="00C8539B" w:rsidRPr="003F494F" w:rsidRDefault="00C8539B">
      <w:pPr>
        <w:pStyle w:val="NoSpacing"/>
        <w:spacing w:line="360" w:lineRule="auto"/>
        <w:rPr>
          <w:rFonts w:cstheme="minorHAnsi"/>
        </w:rPr>
      </w:pPr>
      <w:r w:rsidRPr="003F494F">
        <w:rPr>
          <w:rFonts w:cstheme="minorHAnsi"/>
        </w:rPr>
        <w:t xml:space="preserve"> </w:t>
      </w:r>
    </w:p>
    <w:p w14:paraId="2CE2EC5C" w14:textId="5A12BD5D" w:rsidR="00FA6F67" w:rsidRDefault="00FA6F67" w:rsidP="003F494F">
      <w:pPr>
        <w:pStyle w:val="NoSpacing"/>
        <w:spacing w:line="360" w:lineRule="auto"/>
        <w:rPr>
          <w:rFonts w:cstheme="minorHAnsi"/>
          <w:b/>
          <w:bCs/>
        </w:rPr>
      </w:pPr>
      <w:r>
        <w:rPr>
          <w:rFonts w:cstheme="minorHAnsi"/>
          <w:b/>
          <w:bCs/>
        </w:rPr>
        <w:t xml:space="preserve">Oral - preferred route as a disease modifying agent in idiopathic nephrotic syndrome; please refer to </w:t>
      </w:r>
      <w:r>
        <w:rPr>
          <w:rFonts w:cstheme="minorHAnsi"/>
          <w:b/>
        </w:rPr>
        <w:t>local protocols for more detailed administration instructions</w:t>
      </w:r>
    </w:p>
    <w:p w14:paraId="35FE07AF" w14:textId="493E3183" w:rsidR="00FA6F67" w:rsidRDefault="009A1335" w:rsidP="003F494F">
      <w:pPr>
        <w:pStyle w:val="NoSpacing"/>
        <w:spacing w:line="360" w:lineRule="auto"/>
        <w:jc w:val="both"/>
        <w:rPr>
          <w:rFonts w:cstheme="minorHAnsi"/>
        </w:rPr>
      </w:pPr>
      <w:r>
        <w:rPr>
          <w:rFonts w:cstheme="minorHAnsi"/>
        </w:rPr>
        <w:t>Oral cyclophosphamide is t</w:t>
      </w:r>
      <w:r w:rsidRPr="003F494F">
        <w:rPr>
          <w:rFonts w:cstheme="minorHAnsi"/>
        </w:rPr>
        <w:t xml:space="preserve">aken at a dose of 2-3mg/kg once daily for an </w:t>
      </w:r>
      <w:proofErr w:type="gramStart"/>
      <w:r w:rsidRPr="003F494F">
        <w:rPr>
          <w:rFonts w:cstheme="minorHAnsi"/>
        </w:rPr>
        <w:t>8 week</w:t>
      </w:r>
      <w:proofErr w:type="gramEnd"/>
      <w:r w:rsidRPr="003F494F">
        <w:rPr>
          <w:rFonts w:cstheme="minorHAnsi"/>
        </w:rPr>
        <w:t xml:space="preserve"> course. Weekly full blood count monitoring is required with dose adjustment or stopping if abnormalities occur. </w:t>
      </w:r>
      <w:r>
        <w:rPr>
          <w:rFonts w:cstheme="minorHAnsi"/>
        </w:rPr>
        <w:t xml:space="preserve">Patients should be educated on the </w:t>
      </w:r>
      <w:proofErr w:type="gramStart"/>
      <w:r>
        <w:rPr>
          <w:rFonts w:cstheme="minorHAnsi"/>
        </w:rPr>
        <w:t>long term</w:t>
      </w:r>
      <w:proofErr w:type="gramEnd"/>
      <w:r>
        <w:rPr>
          <w:rFonts w:cstheme="minorHAnsi"/>
        </w:rPr>
        <w:t xml:space="preserve"> side effects which include a risk of infertility seen with high cumulative doses. </w:t>
      </w:r>
    </w:p>
    <w:p w14:paraId="76AB822D" w14:textId="77777777" w:rsidR="009A1335" w:rsidRPr="003F494F" w:rsidRDefault="009A1335" w:rsidP="003F494F">
      <w:pPr>
        <w:pStyle w:val="NoSpacing"/>
        <w:spacing w:line="360" w:lineRule="auto"/>
        <w:rPr>
          <w:rFonts w:cstheme="minorHAnsi"/>
        </w:rPr>
      </w:pPr>
    </w:p>
    <w:p w14:paraId="32F32804" w14:textId="68C7A045" w:rsidR="00691814" w:rsidRPr="00117750" w:rsidRDefault="001630D4" w:rsidP="003F494F">
      <w:pPr>
        <w:pStyle w:val="NoSpacing"/>
        <w:spacing w:line="360" w:lineRule="auto"/>
        <w:jc w:val="both"/>
        <w:rPr>
          <w:rFonts w:cstheme="minorHAnsi"/>
          <w:b/>
          <w:bCs/>
        </w:rPr>
      </w:pPr>
      <w:r>
        <w:rPr>
          <w:rFonts w:cstheme="minorHAnsi"/>
          <w:b/>
          <w:bCs/>
        </w:rPr>
        <w:t xml:space="preserve">Intravenous </w:t>
      </w:r>
      <w:r w:rsidR="00FA6F67">
        <w:rPr>
          <w:rFonts w:cstheme="minorHAnsi"/>
          <w:b/>
          <w:bCs/>
        </w:rPr>
        <w:t>–</w:t>
      </w:r>
      <w:r>
        <w:rPr>
          <w:rFonts w:cstheme="minorHAnsi"/>
          <w:b/>
          <w:bCs/>
        </w:rPr>
        <w:t xml:space="preserve"> </w:t>
      </w:r>
      <w:r w:rsidR="00FA6F67">
        <w:rPr>
          <w:rFonts w:cstheme="minorHAnsi"/>
          <w:b/>
          <w:bCs/>
        </w:rPr>
        <w:t xml:space="preserve">preferred route for rapidly progressive glomerulonephritis; </w:t>
      </w:r>
      <w:r w:rsidR="00F24595">
        <w:rPr>
          <w:rFonts w:cstheme="minorHAnsi"/>
          <w:b/>
          <w:bCs/>
        </w:rPr>
        <w:t xml:space="preserve">please refer to </w:t>
      </w:r>
      <w:r w:rsidR="00F24595">
        <w:rPr>
          <w:rFonts w:cstheme="minorHAnsi"/>
          <w:b/>
        </w:rPr>
        <w:t>local protocols for more detailed administration instructions</w:t>
      </w:r>
    </w:p>
    <w:p w14:paraId="27BF13C4" w14:textId="77777777" w:rsidR="00C8539B" w:rsidRPr="003F494F" w:rsidRDefault="00C8539B" w:rsidP="003F494F">
      <w:pPr>
        <w:pStyle w:val="NoSpacing"/>
        <w:spacing w:line="360" w:lineRule="auto"/>
        <w:ind w:left="720"/>
        <w:rPr>
          <w:rFonts w:cstheme="minorHAnsi"/>
          <w:b/>
        </w:rPr>
      </w:pPr>
    </w:p>
    <w:p w14:paraId="4B797E2D" w14:textId="5267A2C7" w:rsidR="00691814" w:rsidRPr="00117750" w:rsidRDefault="001630D4" w:rsidP="003F494F">
      <w:pPr>
        <w:pStyle w:val="NoSpacing"/>
        <w:numPr>
          <w:ilvl w:val="0"/>
          <w:numId w:val="29"/>
        </w:numPr>
        <w:spacing w:line="360" w:lineRule="auto"/>
        <w:rPr>
          <w:rFonts w:cstheme="minorHAnsi"/>
          <w:b/>
        </w:rPr>
      </w:pPr>
      <w:r w:rsidRPr="00117750">
        <w:rPr>
          <w:rFonts w:cstheme="minorHAnsi"/>
        </w:rPr>
        <w:t>CYCLOPS study</w:t>
      </w:r>
      <w:r w:rsidR="003F494F">
        <w:rPr>
          <w:rFonts w:cstheme="minorHAnsi"/>
        </w:rPr>
        <w:t xml:space="preserve"> </w:t>
      </w:r>
      <w:r w:rsidR="003F494F">
        <w:rPr>
          <w:rFonts w:cstheme="minorHAnsi"/>
        </w:rPr>
        <w:fldChar w:fldCharType="begin"/>
      </w:r>
      <w:r w:rsidR="00642970">
        <w:rPr>
          <w:rFonts w:cstheme="minorHAnsi"/>
        </w:rPr>
        <w:instrText xml:space="preserve"> ADDIN ZOTERO_ITEM CSL_CITATION {"citationID":"ol3Jt9Sn","properties":{"formattedCitation":"(189)","plainCitation":"(189)","noteIndex":0},"citationItems":[{"id":451,"uris":["http://zotero.org/users/local/lvPLY4Gu/items/S8P4E6B3"],"itemData":{"id":451,"type":"article-journal","abstract":"BACKGROUND: Current therapies for antineutrophil cytoplasmic antibody (ANCA)-associated vasculitis are limited by toxicity.\nOBJECTIVE: To compare pulse cyclophosphamide with daily oral cyclophosphamide for induction of remission.\nDESIGN: Randomized, controlled trial. Random assignments were computer-generated; allocation was concealed by faxing centralized treatment assignment to providers at the time of enrollment. Patients, investigators, and assessors of outcomes were not blinded to assignment.\nSETTING: 42 centers in 12 European countries.\nPATIENTS: 149 patients who had newly diagnosed generalized ANCA-associated vasculitis with renal involvement but not immediately life-threatening disease.\nINTERVENTION: Pulse cyclophosphamide, 15 mg/kg every 2 to 3 weeks (76 patients), or daily oral cyclophosphamide, 2 mg/kg per day (73 patients), plus prednisolone.\nMEASUREMENT: Time to remission (primary outcome); change in renal function, adverse events, and cumulative dose of cyclophosphamide (secondary outcomes).\nRESULTS: Groups did not differ in time to remission (hazard ratio, 1.098 [95% CI, 0.78 to 1.55]; P = 0.59) or proportion of patients who achieved remission at 9 months (88.1% vs. 87.7%). Thirteen patients in the pulse group and 6 in the daily oral group achieved remission by 9 months and subsequently had relapse. Absolute cumulative cyclophosphamide dose in the daily oral group was greater than that in the pulse group (15.9 g [interquartile range, 11 to 22.5 g] vs. 8.2 g [interquartile range, 5.95 to 10.55 g]; P &lt; 0.001). The pulse group had a lower rate of leukopenia (hazard ratio, 0.41 [CI, 0.23 to 0.71]).\nLIMITATIONS: The study was not powered to detect a difference in relapse rates between the 2 groups. Duration of follow-up was limited.\nCONCLUSION: The pulse cyclophosphamide regimen induced remission of ANCA-associated vasculitis as well as the daily oral regimen at a reduced cumulative cyclophosphamide dose and caused fewer cases of leukopenia.\nPRIMARY FUNDING SOURCE: The European Union.","container-title":"Annals of Internal Medicine","DOI":"10.7326/0003-4819-150-10-200905190-00004","ISSN":"1539-3704","issue":"10","journalAbbreviation":"Ann Intern Med","language":"eng","note":"PMID: 19451574","page":"670-680","source":"PubMed","title":"Pulse versus daily oral cyclophosphamide for induction of remission in antineutrophil cytoplasmic antibody-associated vasculitis: a randomized trial","title-short":"Pulse versus daily oral cyclophosphamide for induction of remission in antineutrophil cytoplasmic antibody-associated vasculitis","volume":"150","author":[{"family":"Groot","given":"Kirsten","non-dropping-particle":"de"},{"family":"Harper","given":"Lorraine"},{"family":"Jayne","given":"David R. W."},{"family":"Flores Suarez","given":"Luis Felipe"},{"family":"Gregorini","given":"Gina"},{"family":"Gross","given":"Wolfgang L."},{"family":"Luqmani","given":"Rashid"},{"family":"Pusey","given":"Charles D."},{"family":"Rasmussen","given":"Niels"},{"family":"Sinico","given":"Renato A."},{"family":"Tesar","given":"Vladimir"},{"family":"Vanhille","given":"Philippe"},{"family":"Westman","given":"Kerstin"},{"family":"Savage","given":"Caroline O. S."},{"literal":"EUVAS (European Vasculitis Study Group)"}],"issued":{"date-parts":[["2009",5,19]]}}}],"schema":"https://github.com/citation-style-language/schema/raw/master/csl-citation.json"} </w:instrText>
      </w:r>
      <w:r w:rsidR="003F494F">
        <w:rPr>
          <w:rFonts w:cstheme="minorHAnsi"/>
        </w:rPr>
        <w:fldChar w:fldCharType="separate"/>
      </w:r>
      <w:r w:rsidR="00642970">
        <w:rPr>
          <w:rFonts w:cstheme="minorHAnsi"/>
          <w:noProof/>
        </w:rPr>
        <w:t>(189)</w:t>
      </w:r>
      <w:r w:rsidR="003F494F">
        <w:rPr>
          <w:rFonts w:cstheme="minorHAnsi"/>
        </w:rPr>
        <w:fldChar w:fldCharType="end"/>
      </w:r>
    </w:p>
    <w:p w14:paraId="6D8AFA05" w14:textId="0F672966" w:rsidR="00691814" w:rsidRPr="00117750" w:rsidRDefault="001630D4" w:rsidP="003F494F">
      <w:pPr>
        <w:pStyle w:val="NoSpacing"/>
        <w:spacing w:line="360" w:lineRule="auto"/>
        <w:jc w:val="both"/>
        <w:rPr>
          <w:rFonts w:cstheme="minorHAnsi"/>
        </w:rPr>
      </w:pPr>
      <w:r w:rsidRPr="00117750">
        <w:rPr>
          <w:rFonts w:cstheme="minorHAnsi"/>
        </w:rPr>
        <w:lastRenderedPageBreak/>
        <w:t xml:space="preserve">500mg/m² (max 1.2g) week 0 then 750mg/m² (max 1.2g) week 2 and 4 then 3 weekly thereafter </w:t>
      </w:r>
      <w:r w:rsidR="00B22302">
        <w:rPr>
          <w:rFonts w:cstheme="minorHAnsi"/>
        </w:rPr>
        <w:t xml:space="preserve">for the next 3-6 doses </w:t>
      </w:r>
      <w:r w:rsidRPr="00117750">
        <w:rPr>
          <w:rFonts w:cstheme="minorHAnsi"/>
        </w:rPr>
        <w:t>(max 6-10 doses)</w:t>
      </w:r>
      <w:r w:rsidR="00B22302">
        <w:rPr>
          <w:rFonts w:cstheme="minorHAnsi"/>
        </w:rPr>
        <w:t xml:space="preserve">; provides up to 9 doses at max 10.8g cumulative total dose. </w:t>
      </w:r>
    </w:p>
    <w:p w14:paraId="5DF70BE9" w14:textId="77777777" w:rsidR="00691814" w:rsidRPr="00117750" w:rsidRDefault="00691814" w:rsidP="003F494F">
      <w:pPr>
        <w:pStyle w:val="NoSpacing"/>
        <w:spacing w:line="360" w:lineRule="auto"/>
        <w:rPr>
          <w:rFonts w:cstheme="minorHAnsi"/>
        </w:rPr>
      </w:pPr>
    </w:p>
    <w:p w14:paraId="0A27D853" w14:textId="41BDD982" w:rsidR="00691814" w:rsidRPr="00117750" w:rsidRDefault="001630D4" w:rsidP="003F494F">
      <w:pPr>
        <w:pStyle w:val="NoSpacing"/>
        <w:numPr>
          <w:ilvl w:val="0"/>
          <w:numId w:val="29"/>
        </w:numPr>
        <w:spacing w:line="360" w:lineRule="auto"/>
        <w:rPr>
          <w:rFonts w:cstheme="minorHAnsi"/>
        </w:rPr>
      </w:pPr>
      <w:r w:rsidRPr="00117750">
        <w:rPr>
          <w:rFonts w:cstheme="minorHAnsi"/>
        </w:rPr>
        <w:t>NIH-IV CYC</w:t>
      </w:r>
      <w:r w:rsidR="003F494F">
        <w:rPr>
          <w:rFonts w:cstheme="minorHAnsi"/>
        </w:rPr>
        <w:t xml:space="preserve"> </w:t>
      </w:r>
      <w:r w:rsidR="003F494F">
        <w:rPr>
          <w:rFonts w:cstheme="minorHAnsi"/>
        </w:rPr>
        <w:fldChar w:fldCharType="begin"/>
      </w:r>
      <w:r w:rsidR="00642970">
        <w:rPr>
          <w:rFonts w:cstheme="minorHAnsi"/>
        </w:rPr>
        <w:instrText xml:space="preserve"> ADDIN ZOTERO_ITEM CSL_CITATION {"citationID":"Pc7bzZNN","properties":{"formattedCitation":"(190)","plainCitation":"(190)","noteIndex":0},"citationItems":[{"id":453,"uris":["http://zotero.org/users/local/lvPLY4Gu/items/E5BNB8AD"],"itemData":{"id":453,"type":"article-journal","abstract":"We evaluated renal function in 107 patients with active lupus nephritis who participated in long-term randomized therapeutic trials (median follow-up, seven years). For patients taking oral prednisone alone, the probability of renal failure began to increase substantially after five years of observation. Renal function was better preserved in patients who received various cytotoxic-drug therapies, but the difference was statistically significant only for intravenous cyclophosphamide plus low-dose prednisone as compared with high-dose prednisone alone (P = 0.027). The advantage of treatment with intravenous cyclophosphamide over oral prednisone alone was particularly apparent in the high-risk subgroup of patients who had chronic histologic changes on renal biopsy at study entry. Patients treated with intravenous cyclophosphamide have not experienced hemorrhagic cystitis, cancer, or a disproportionate number of major infections. We conclude that, as compared with high-dose oral prednisone alone, treatment of lupus glomerulonephritis with intravenous cyclophosphamide reduces the risk of end-stage renal failure with few serious complications.","container-title":"The New England Journal of Medicine","DOI":"10.1056/NEJM198603063141004","ISSN":"0028-4793","issue":"10","journalAbbreviation":"N Engl J Med","language":"eng","note":"PMID: 3511372","page":"614-619","source":"PubMed","title":"Therapy of lupus nephritis. Controlled trial of prednisone and cytotoxic drugs","volume":"314","author":[{"family":"Austin","given":"H. A."},{"family":"Klippel","given":"J. H."},{"family":"Balow","given":"J. E."},{"family":"Riche","given":"N. G.","non-dropping-particle":"le"},{"family":"Steinberg","given":"A. D."},{"family":"Plotz","given":"P. H."},{"family":"Decker","given":"J. L."}],"issued":{"date-parts":[["1986",3,6]]}}}],"schema":"https://github.com/citation-style-language/schema/raw/master/csl-citation.json"} </w:instrText>
      </w:r>
      <w:r w:rsidR="003F494F">
        <w:rPr>
          <w:rFonts w:cstheme="minorHAnsi"/>
        </w:rPr>
        <w:fldChar w:fldCharType="separate"/>
      </w:r>
      <w:r w:rsidR="00642970">
        <w:rPr>
          <w:rFonts w:cstheme="minorHAnsi"/>
          <w:noProof/>
        </w:rPr>
        <w:t>(190)</w:t>
      </w:r>
      <w:r w:rsidR="003F494F">
        <w:rPr>
          <w:rFonts w:cstheme="minorHAnsi"/>
        </w:rPr>
        <w:fldChar w:fldCharType="end"/>
      </w:r>
    </w:p>
    <w:p w14:paraId="71D63BA6" w14:textId="1956A8E1" w:rsidR="00691814" w:rsidRPr="00117750" w:rsidRDefault="001630D4" w:rsidP="003F494F">
      <w:pPr>
        <w:pStyle w:val="NoSpacing"/>
        <w:spacing w:line="360" w:lineRule="auto"/>
        <w:jc w:val="both"/>
        <w:rPr>
          <w:rFonts w:cstheme="minorHAnsi"/>
        </w:rPr>
      </w:pPr>
      <w:r w:rsidRPr="00117750">
        <w:rPr>
          <w:rFonts w:cstheme="minorHAnsi"/>
        </w:rPr>
        <w:t>500mg/m² (</w:t>
      </w:r>
      <w:r w:rsidR="00C8539B">
        <w:rPr>
          <w:rFonts w:cstheme="minorHAnsi"/>
        </w:rPr>
        <w:t>max</w:t>
      </w:r>
      <w:r w:rsidR="00C8539B" w:rsidRPr="00117750">
        <w:rPr>
          <w:rFonts w:cstheme="minorHAnsi"/>
        </w:rPr>
        <w:t xml:space="preserve"> </w:t>
      </w:r>
      <w:r w:rsidRPr="00117750">
        <w:rPr>
          <w:rFonts w:cstheme="minorHAnsi"/>
        </w:rPr>
        <w:t>1g) week 0 then 750mg/m² (</w:t>
      </w:r>
      <w:r w:rsidR="00C8539B">
        <w:rPr>
          <w:rFonts w:cstheme="minorHAnsi"/>
        </w:rPr>
        <w:t>max</w:t>
      </w:r>
      <w:r w:rsidR="00C8539B" w:rsidRPr="00117750">
        <w:rPr>
          <w:rFonts w:cstheme="minorHAnsi"/>
        </w:rPr>
        <w:t xml:space="preserve"> </w:t>
      </w:r>
      <w:r w:rsidRPr="00117750">
        <w:rPr>
          <w:rFonts w:cstheme="minorHAnsi"/>
        </w:rPr>
        <w:t xml:space="preserve">1g) week 2 then monthly 1g/m² </w:t>
      </w:r>
      <w:proofErr w:type="gramStart"/>
      <w:r w:rsidRPr="00117750">
        <w:rPr>
          <w:rFonts w:cstheme="minorHAnsi"/>
        </w:rPr>
        <w:t>monthly  (</w:t>
      </w:r>
      <w:proofErr w:type="gramEnd"/>
      <w:r w:rsidR="00C8539B">
        <w:rPr>
          <w:rFonts w:cstheme="minorHAnsi"/>
        </w:rPr>
        <w:t>max</w:t>
      </w:r>
      <w:r w:rsidR="00C8539B" w:rsidRPr="00117750">
        <w:rPr>
          <w:rFonts w:cstheme="minorHAnsi"/>
        </w:rPr>
        <w:t xml:space="preserve"> </w:t>
      </w:r>
      <w:r w:rsidRPr="00117750">
        <w:rPr>
          <w:rFonts w:cstheme="minorHAnsi"/>
        </w:rPr>
        <w:t>1g) for 5 further doses</w:t>
      </w:r>
      <w:r w:rsidR="00C8539B">
        <w:rPr>
          <w:rFonts w:cstheme="minorHAnsi"/>
        </w:rPr>
        <w:t xml:space="preserve">; provides 7 doses at max 7g cumulative total dose. </w:t>
      </w:r>
    </w:p>
    <w:p w14:paraId="60FED900" w14:textId="77777777" w:rsidR="00691814" w:rsidRPr="00117750" w:rsidRDefault="00691814" w:rsidP="003F494F">
      <w:pPr>
        <w:pStyle w:val="NoSpacing"/>
        <w:spacing w:line="360" w:lineRule="auto"/>
        <w:rPr>
          <w:rFonts w:cstheme="minorHAnsi"/>
        </w:rPr>
      </w:pPr>
    </w:p>
    <w:p w14:paraId="722DE083" w14:textId="5F1F5DD3" w:rsidR="00691814" w:rsidRPr="00117750" w:rsidRDefault="001630D4" w:rsidP="003F494F">
      <w:pPr>
        <w:pStyle w:val="NoSpacing"/>
        <w:numPr>
          <w:ilvl w:val="0"/>
          <w:numId w:val="29"/>
        </w:numPr>
        <w:spacing w:line="360" w:lineRule="auto"/>
        <w:rPr>
          <w:rFonts w:cstheme="minorHAnsi"/>
        </w:rPr>
      </w:pPr>
      <w:r w:rsidRPr="00117750">
        <w:rPr>
          <w:rFonts w:cstheme="minorHAnsi"/>
        </w:rPr>
        <w:t>EURO-LUPUS 2010 study</w:t>
      </w:r>
      <w:r w:rsidR="003F494F">
        <w:rPr>
          <w:rFonts w:cstheme="minorHAnsi"/>
        </w:rPr>
        <w:t xml:space="preserve"> </w:t>
      </w:r>
      <w:r w:rsidR="003F494F">
        <w:rPr>
          <w:rFonts w:cstheme="minorHAnsi"/>
        </w:rPr>
        <w:fldChar w:fldCharType="begin"/>
      </w:r>
      <w:r w:rsidR="00642970">
        <w:rPr>
          <w:rFonts w:cstheme="minorHAnsi"/>
        </w:rPr>
        <w:instrText xml:space="preserve"> ADDIN ZOTERO_ITEM CSL_CITATION {"citationID":"UIX9mG04","properties":{"formattedCitation":"(191)","plainCitation":"(191)","noteIndex":0},"citationItems":[{"id":455,"uris":["http://zotero.org/users/local/lvPLY4Gu/items/63MLAJM7"],"itemData":{"id":455,"type":"article-journal","abstract":"OBJECTIVE: Glomerulonephritis is a severe manifestation of systemic lupus erythematosus (SLE) that is usually treated with an extended course of intravenous (IV) cyclophosphamide (CYC). Given the side effects of this regimen, we evaluated the efficacy and the toxicity of a course of low-dose IV CYC prescribed as a remission-inducing treatment, followed by azathioprine (AZA) as a remission-maintaining treatment.\nMETHODS: In this multicenter, prospective clinical trial (the Euro-Lupus Nephritis Trial [ELNT]), we randomly assigned 90 SLE patients with proliferative glomerulonephritis to a high-dose IV CYC regimen (6 monthly pulses and 2 quarterly pulses; doses increased according to the white blood cell count nadir) or a low-dose IV CYC regimen (6 fortnightly pulses at a fixed dose of 500 mg), each of which was followed by AZA. Intent-to-treat analyses were performed.\nRESULTS: Followup continued for a median of 41.3 months in the low-dose group and 41 months in the high-dose group. Sixteen percent of those in the low-dose group and 20% of those in the high-dose group experienced treatment failure (not statistically significant by Kaplan-Meier analysis). Levels of serum creatinine, albumin, C3, 24-hour urinary protein, and the disease activity scores significantly improved in both groups during the first year of followup. Renal remission was achieved in 71% of the low-dose group and 54% of the high-dose group (not statistically significant). Renal flares were noted in 27% of the low-dose group and 29% of the high-dose group. Although episodes of severe infection were more than twice as frequent in the high-dose group, the difference was not statistically significant.\nCONCLUSION: The data from the ELNT indicate that in European SLE patients with proliferative lupus nephritis, a remission-inducing regimen of low-dose IV CYC (cumulative dose 3 gm) followed by AZA achieves clinical results comparable to those obtained with a high-dose regimen.","container-title":"Arthritis and Rheumatism","DOI":"10.1002/art.10461","ISSN":"0004-3591","issue":"8","journalAbbreviation":"Arthritis Rheum","language":"eng","note":"PMID: 12209517","page":"2121-2131","source":"PubMed","title":"Immunosuppressive therapy in lupus nephritis: the Euro-Lupus Nephritis Trial, a randomized trial of low-dose versus high-dose intravenous cyclophosphamide","title-short":"Immunosuppressive therapy in lupus nephritis","volume":"46","author":[{"family":"Houssiau","given":"Frédéric A."},{"family":"Vasconcelos","given":"Carlos"},{"family":"D'Cruz","given":"David"},{"family":"Sebastiani","given":"Gian Domenico"},{"family":"Garrido Ed","given":"Enrique de Ramon"},{"family":"Danieli","given":"Maria Giovanna"},{"family":"Abramovicz","given":"Daniel"},{"family":"Blockmans","given":"Daniel"},{"family":"Mathieu","given":"Alessandro"},{"family":"Direskeneli","given":"Haner"},{"family":"Galeazzi","given":"Mauro"},{"family":"Gül","given":"Ahmet"},{"family":"Levy","given":"Yair"},{"family":"Petera","given":"Peter"},{"family":"Popovic","given":"Rajko"},{"family":"Petrovic","given":"Radmila"},{"family":"Sinico","given":"Renato Alberto"},{"family":"Cattaneo","given":"Roberto"},{"family":"Font","given":"Josep"},{"family":"Depresseux","given":"Geneviève"},{"family":"Cosyns","given":"Jean-Pierre"},{"family":"Cervera","given":"Ricard"}],"issued":{"date-parts":[["2002",8]]}}}],"schema":"https://github.com/citation-style-language/schema/raw/master/csl-citation.json"} </w:instrText>
      </w:r>
      <w:r w:rsidR="003F494F">
        <w:rPr>
          <w:rFonts w:cstheme="minorHAnsi"/>
        </w:rPr>
        <w:fldChar w:fldCharType="separate"/>
      </w:r>
      <w:r w:rsidR="00642970">
        <w:rPr>
          <w:rFonts w:cstheme="minorHAnsi"/>
          <w:noProof/>
        </w:rPr>
        <w:t>(191)</w:t>
      </w:r>
      <w:r w:rsidR="003F494F">
        <w:rPr>
          <w:rFonts w:cstheme="minorHAnsi"/>
        </w:rPr>
        <w:fldChar w:fldCharType="end"/>
      </w:r>
    </w:p>
    <w:p w14:paraId="775D657D" w14:textId="2C872AE2" w:rsidR="00691814" w:rsidRPr="00117750" w:rsidRDefault="001630D4" w:rsidP="003F494F">
      <w:pPr>
        <w:spacing w:line="360" w:lineRule="auto"/>
        <w:jc w:val="both"/>
        <w:rPr>
          <w:rFonts w:cstheme="minorHAnsi"/>
          <w:sz w:val="22"/>
          <w:szCs w:val="22"/>
        </w:rPr>
      </w:pPr>
      <w:r w:rsidRPr="00117750">
        <w:rPr>
          <w:rFonts w:cstheme="minorHAnsi"/>
          <w:sz w:val="22"/>
          <w:szCs w:val="22"/>
        </w:rPr>
        <w:t>500mg/m² (max 500mg) every 2 weeks for 3 months (max dose 1g/monthly)</w:t>
      </w:r>
      <w:r w:rsidR="00C8539B">
        <w:rPr>
          <w:rFonts w:cstheme="minorHAnsi"/>
          <w:sz w:val="22"/>
          <w:szCs w:val="22"/>
        </w:rPr>
        <w:t xml:space="preserve">; provides 6 doses at max 3g cumulative total dose. </w:t>
      </w:r>
    </w:p>
    <w:p w14:paraId="521C71BF" w14:textId="77777777" w:rsidR="00C00DD6" w:rsidRPr="00117750" w:rsidRDefault="00C00DD6" w:rsidP="003F494F">
      <w:pPr>
        <w:pStyle w:val="NoSpacing"/>
        <w:spacing w:line="360" w:lineRule="auto"/>
        <w:rPr>
          <w:rFonts w:cstheme="minorHAnsi"/>
          <w:b/>
        </w:rPr>
      </w:pPr>
    </w:p>
    <w:p w14:paraId="7C5F7D23" w14:textId="77777777" w:rsidR="00F24595" w:rsidRDefault="001630D4" w:rsidP="003F494F">
      <w:pPr>
        <w:widowControl w:val="0"/>
        <w:autoSpaceDE w:val="0"/>
        <w:autoSpaceDN w:val="0"/>
        <w:adjustRightInd w:val="0"/>
        <w:spacing w:line="360" w:lineRule="auto"/>
        <w:jc w:val="both"/>
        <w:rPr>
          <w:rFonts w:ascii="Calibri" w:hAnsi="Calibri"/>
          <w:sz w:val="22"/>
          <w:szCs w:val="22"/>
          <w:u w:val="single"/>
        </w:rPr>
      </w:pPr>
      <w:r w:rsidRPr="000F6309">
        <w:rPr>
          <w:rFonts w:ascii="Calibri" w:hAnsi="Calibri"/>
          <w:sz w:val="22"/>
          <w:szCs w:val="22"/>
          <w:u w:val="single"/>
        </w:rPr>
        <w:t>Patients with Renal Impairment</w:t>
      </w:r>
    </w:p>
    <w:p w14:paraId="7650A272" w14:textId="77777777" w:rsidR="00F24595" w:rsidRPr="000F6309" w:rsidRDefault="00F24595" w:rsidP="003F494F">
      <w:pPr>
        <w:widowControl w:val="0"/>
        <w:autoSpaceDE w:val="0"/>
        <w:autoSpaceDN w:val="0"/>
        <w:adjustRightInd w:val="0"/>
        <w:spacing w:line="360" w:lineRule="auto"/>
        <w:jc w:val="both"/>
        <w:rPr>
          <w:rFonts w:ascii="Calibri" w:hAnsi="Calibri"/>
          <w:sz w:val="22"/>
          <w:szCs w:val="22"/>
          <w:u w:val="single"/>
        </w:rPr>
      </w:pPr>
    </w:p>
    <w:p w14:paraId="0E74DDA3" w14:textId="2C9980DA" w:rsidR="00F24595" w:rsidRDefault="001630D4" w:rsidP="003F494F">
      <w:pPr>
        <w:widowControl w:val="0"/>
        <w:autoSpaceDE w:val="0"/>
        <w:autoSpaceDN w:val="0"/>
        <w:adjustRightInd w:val="0"/>
        <w:spacing w:line="360" w:lineRule="auto"/>
        <w:jc w:val="both"/>
        <w:rPr>
          <w:rFonts w:ascii="Calibri" w:hAnsi="Calibri"/>
          <w:sz w:val="22"/>
          <w:szCs w:val="22"/>
        </w:rPr>
      </w:pPr>
      <w:r>
        <w:rPr>
          <w:rFonts w:ascii="Calibri" w:hAnsi="Calibri"/>
          <w:sz w:val="22"/>
          <w:szCs w:val="22"/>
        </w:rPr>
        <w:t>CYC</w:t>
      </w:r>
      <w:r w:rsidRPr="005B7C21">
        <w:rPr>
          <w:rFonts w:ascii="Calibri" w:hAnsi="Calibri"/>
          <w:sz w:val="22"/>
          <w:szCs w:val="22"/>
        </w:rPr>
        <w:t xml:space="preserve"> is excreted primarily by the kidneys. Patients with renal impairment may </w:t>
      </w:r>
      <w:r>
        <w:rPr>
          <w:rFonts w:ascii="Calibri" w:hAnsi="Calibri"/>
          <w:sz w:val="22"/>
          <w:szCs w:val="22"/>
        </w:rPr>
        <w:t xml:space="preserve">be </w:t>
      </w:r>
      <w:r w:rsidRPr="005B7C21">
        <w:rPr>
          <w:rFonts w:ascii="Calibri" w:hAnsi="Calibri"/>
          <w:sz w:val="22"/>
          <w:szCs w:val="22"/>
        </w:rPr>
        <w:t>expose</w:t>
      </w:r>
      <w:r>
        <w:rPr>
          <w:rFonts w:ascii="Calibri" w:hAnsi="Calibri"/>
          <w:sz w:val="22"/>
          <w:szCs w:val="22"/>
        </w:rPr>
        <w:t>d</w:t>
      </w:r>
      <w:r w:rsidRPr="005B7C21">
        <w:rPr>
          <w:rFonts w:ascii="Calibri" w:hAnsi="Calibri"/>
          <w:sz w:val="22"/>
          <w:szCs w:val="22"/>
        </w:rPr>
        <w:t xml:space="preserve"> to higher plasma levels of </w:t>
      </w:r>
      <w:r>
        <w:rPr>
          <w:rFonts w:ascii="Calibri" w:hAnsi="Calibri"/>
          <w:sz w:val="22"/>
          <w:szCs w:val="22"/>
        </w:rPr>
        <w:t xml:space="preserve">CYC </w:t>
      </w:r>
      <w:r w:rsidRPr="005B7C21">
        <w:rPr>
          <w:rFonts w:ascii="Calibri" w:hAnsi="Calibri"/>
          <w:sz w:val="22"/>
          <w:szCs w:val="22"/>
        </w:rPr>
        <w:t>and its metabolites resulting in toxicity due to reduced renal excretion</w:t>
      </w:r>
      <w:r w:rsidR="000D5312">
        <w:rPr>
          <w:rFonts w:ascii="Calibri" w:hAnsi="Calibri"/>
          <w:sz w:val="22"/>
          <w:szCs w:val="22"/>
        </w:rPr>
        <w:t xml:space="preserve"> and therefore it’s administration should be discussed with a specialist pharmacist</w:t>
      </w:r>
      <w:r w:rsidRPr="005B7C21">
        <w:rPr>
          <w:rFonts w:ascii="Calibri" w:hAnsi="Calibri"/>
          <w:sz w:val="22"/>
          <w:szCs w:val="22"/>
        </w:rPr>
        <w:t xml:space="preserve">. </w:t>
      </w:r>
    </w:p>
    <w:p w14:paraId="3467712F" w14:textId="77777777" w:rsidR="00F24595" w:rsidRDefault="00F24595" w:rsidP="00C8539B">
      <w:pPr>
        <w:widowControl w:val="0"/>
        <w:autoSpaceDE w:val="0"/>
        <w:autoSpaceDN w:val="0"/>
        <w:adjustRightInd w:val="0"/>
        <w:jc w:val="both"/>
        <w:rPr>
          <w:rFonts w:ascii="Calibri" w:hAnsi="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946"/>
      </w:tblGrid>
      <w:tr w:rsidR="00837E18" w14:paraId="379E92EA" w14:textId="77777777" w:rsidTr="003F494F">
        <w:trPr>
          <w:jc w:val="center"/>
        </w:trPr>
        <w:tc>
          <w:tcPr>
            <w:tcW w:w="8075" w:type="dxa"/>
            <w:gridSpan w:val="2"/>
            <w:shd w:val="clear" w:color="auto" w:fill="auto"/>
          </w:tcPr>
          <w:p w14:paraId="7F6DF009" w14:textId="77777777" w:rsidR="00F24595" w:rsidRPr="005237CC" w:rsidRDefault="001630D4" w:rsidP="00C8539B">
            <w:pPr>
              <w:widowControl w:val="0"/>
              <w:autoSpaceDE w:val="0"/>
              <w:autoSpaceDN w:val="0"/>
              <w:adjustRightInd w:val="0"/>
              <w:jc w:val="both"/>
              <w:rPr>
                <w:rFonts w:ascii="Calibri" w:hAnsi="Calibri"/>
                <w:sz w:val="22"/>
                <w:szCs w:val="22"/>
              </w:rPr>
            </w:pPr>
            <w:r w:rsidRPr="005237CC">
              <w:rPr>
                <w:rFonts w:ascii="Calibri" w:hAnsi="Calibri"/>
                <w:b/>
                <w:bCs/>
                <w:sz w:val="22"/>
                <w:szCs w:val="22"/>
              </w:rPr>
              <w:t>Recommended dosage adjustments for patient with renal impairment GFR (mL/min)</w:t>
            </w:r>
          </w:p>
        </w:tc>
      </w:tr>
      <w:tr w:rsidR="00837E18" w14:paraId="503D5667" w14:textId="77777777" w:rsidTr="003F494F">
        <w:trPr>
          <w:jc w:val="center"/>
        </w:trPr>
        <w:tc>
          <w:tcPr>
            <w:tcW w:w="1129" w:type="dxa"/>
            <w:shd w:val="clear" w:color="auto" w:fill="auto"/>
          </w:tcPr>
          <w:p w14:paraId="5976E868" w14:textId="77777777" w:rsidR="00F24595" w:rsidRPr="005237CC" w:rsidRDefault="001630D4" w:rsidP="003F494F">
            <w:pPr>
              <w:widowControl w:val="0"/>
              <w:autoSpaceDE w:val="0"/>
              <w:autoSpaceDN w:val="0"/>
              <w:adjustRightInd w:val="0"/>
              <w:spacing w:line="360" w:lineRule="auto"/>
              <w:jc w:val="both"/>
              <w:rPr>
                <w:rFonts w:ascii="Calibri" w:hAnsi="Calibri"/>
                <w:sz w:val="22"/>
                <w:szCs w:val="22"/>
              </w:rPr>
            </w:pPr>
            <w:r w:rsidRPr="005237CC">
              <w:rPr>
                <w:rFonts w:ascii="Calibri" w:hAnsi="Calibri"/>
                <w:sz w:val="22"/>
                <w:szCs w:val="22"/>
              </w:rPr>
              <w:t>20-50</w:t>
            </w:r>
          </w:p>
        </w:tc>
        <w:tc>
          <w:tcPr>
            <w:tcW w:w="6946" w:type="dxa"/>
            <w:shd w:val="clear" w:color="auto" w:fill="auto"/>
          </w:tcPr>
          <w:p w14:paraId="41BECFF9" w14:textId="77777777" w:rsidR="00F24595" w:rsidRPr="005237CC" w:rsidRDefault="001630D4" w:rsidP="003F494F">
            <w:pPr>
              <w:widowControl w:val="0"/>
              <w:autoSpaceDE w:val="0"/>
              <w:autoSpaceDN w:val="0"/>
              <w:adjustRightInd w:val="0"/>
              <w:spacing w:line="360" w:lineRule="auto"/>
              <w:jc w:val="both"/>
              <w:rPr>
                <w:rFonts w:ascii="Calibri" w:hAnsi="Calibri"/>
                <w:sz w:val="22"/>
                <w:szCs w:val="22"/>
              </w:rPr>
            </w:pPr>
            <w:r w:rsidRPr="005237CC">
              <w:rPr>
                <w:rFonts w:ascii="Calibri" w:hAnsi="Calibri"/>
                <w:sz w:val="22"/>
                <w:szCs w:val="22"/>
              </w:rPr>
              <w:t>Dose as in normal renal function</w:t>
            </w:r>
          </w:p>
        </w:tc>
      </w:tr>
      <w:tr w:rsidR="00837E18" w14:paraId="1E7A9B6F" w14:textId="77777777" w:rsidTr="003F494F">
        <w:trPr>
          <w:jc w:val="center"/>
        </w:trPr>
        <w:tc>
          <w:tcPr>
            <w:tcW w:w="1129" w:type="dxa"/>
            <w:shd w:val="clear" w:color="auto" w:fill="auto"/>
          </w:tcPr>
          <w:p w14:paraId="5C288A2E" w14:textId="77777777" w:rsidR="00F24595" w:rsidRPr="005237CC" w:rsidRDefault="001630D4" w:rsidP="003F494F">
            <w:pPr>
              <w:widowControl w:val="0"/>
              <w:autoSpaceDE w:val="0"/>
              <w:autoSpaceDN w:val="0"/>
              <w:adjustRightInd w:val="0"/>
              <w:spacing w:line="360" w:lineRule="auto"/>
              <w:jc w:val="both"/>
              <w:rPr>
                <w:rFonts w:ascii="Calibri" w:hAnsi="Calibri"/>
                <w:sz w:val="22"/>
                <w:szCs w:val="22"/>
              </w:rPr>
            </w:pPr>
            <w:r w:rsidRPr="005237CC">
              <w:rPr>
                <w:rFonts w:ascii="Calibri" w:hAnsi="Calibri"/>
                <w:sz w:val="22"/>
                <w:szCs w:val="22"/>
              </w:rPr>
              <w:t>10-20</w:t>
            </w:r>
          </w:p>
        </w:tc>
        <w:tc>
          <w:tcPr>
            <w:tcW w:w="6946" w:type="dxa"/>
            <w:shd w:val="clear" w:color="auto" w:fill="auto"/>
          </w:tcPr>
          <w:p w14:paraId="1A49DB9B" w14:textId="77777777" w:rsidR="00F24595" w:rsidRPr="005237CC" w:rsidRDefault="001630D4" w:rsidP="003F494F">
            <w:pPr>
              <w:widowControl w:val="0"/>
              <w:autoSpaceDE w:val="0"/>
              <w:autoSpaceDN w:val="0"/>
              <w:adjustRightInd w:val="0"/>
              <w:spacing w:line="360" w:lineRule="auto"/>
              <w:jc w:val="both"/>
              <w:rPr>
                <w:rFonts w:ascii="Calibri" w:hAnsi="Calibri"/>
                <w:sz w:val="22"/>
                <w:szCs w:val="22"/>
              </w:rPr>
            </w:pPr>
            <w:r w:rsidRPr="005237CC">
              <w:rPr>
                <w:rFonts w:ascii="Calibri" w:hAnsi="Calibri"/>
                <w:sz w:val="22"/>
                <w:szCs w:val="22"/>
              </w:rPr>
              <w:t>75 – 100% of normal dose depending on clinical indication</w:t>
            </w:r>
          </w:p>
        </w:tc>
      </w:tr>
      <w:tr w:rsidR="00837E18" w14:paraId="2AA5D676" w14:textId="77777777" w:rsidTr="003F494F">
        <w:trPr>
          <w:jc w:val="center"/>
        </w:trPr>
        <w:tc>
          <w:tcPr>
            <w:tcW w:w="1129" w:type="dxa"/>
            <w:shd w:val="clear" w:color="auto" w:fill="auto"/>
          </w:tcPr>
          <w:p w14:paraId="60A9A7CC" w14:textId="77777777" w:rsidR="00F24595" w:rsidRPr="005237CC" w:rsidRDefault="001630D4" w:rsidP="003F494F">
            <w:pPr>
              <w:widowControl w:val="0"/>
              <w:autoSpaceDE w:val="0"/>
              <w:autoSpaceDN w:val="0"/>
              <w:adjustRightInd w:val="0"/>
              <w:spacing w:line="360" w:lineRule="auto"/>
              <w:jc w:val="both"/>
              <w:rPr>
                <w:rFonts w:ascii="Calibri" w:hAnsi="Calibri"/>
                <w:sz w:val="22"/>
                <w:szCs w:val="22"/>
              </w:rPr>
            </w:pPr>
            <w:r w:rsidRPr="005237CC">
              <w:rPr>
                <w:rFonts w:ascii="Calibri" w:hAnsi="Calibri"/>
                <w:sz w:val="22"/>
                <w:szCs w:val="22"/>
              </w:rPr>
              <w:t>&lt;10</w:t>
            </w:r>
          </w:p>
        </w:tc>
        <w:tc>
          <w:tcPr>
            <w:tcW w:w="6946" w:type="dxa"/>
            <w:shd w:val="clear" w:color="auto" w:fill="auto"/>
          </w:tcPr>
          <w:p w14:paraId="679718F8" w14:textId="77777777" w:rsidR="00F24595" w:rsidRPr="005237CC" w:rsidRDefault="001630D4" w:rsidP="003F494F">
            <w:pPr>
              <w:widowControl w:val="0"/>
              <w:autoSpaceDE w:val="0"/>
              <w:autoSpaceDN w:val="0"/>
              <w:adjustRightInd w:val="0"/>
              <w:spacing w:line="360" w:lineRule="auto"/>
              <w:jc w:val="both"/>
              <w:rPr>
                <w:rFonts w:ascii="Calibri" w:hAnsi="Calibri"/>
                <w:sz w:val="22"/>
                <w:szCs w:val="22"/>
              </w:rPr>
            </w:pPr>
            <w:r w:rsidRPr="005237CC">
              <w:rPr>
                <w:rFonts w:ascii="Calibri" w:hAnsi="Calibri"/>
                <w:sz w:val="22"/>
                <w:szCs w:val="22"/>
              </w:rPr>
              <w:t>50-100% of normal dose depending on clinical indication</w:t>
            </w:r>
          </w:p>
        </w:tc>
      </w:tr>
    </w:tbl>
    <w:p w14:paraId="372123B7" w14:textId="77777777" w:rsidR="00F24595" w:rsidRDefault="00F24595" w:rsidP="003F494F">
      <w:pPr>
        <w:widowControl w:val="0"/>
        <w:autoSpaceDE w:val="0"/>
        <w:autoSpaceDN w:val="0"/>
        <w:adjustRightInd w:val="0"/>
        <w:spacing w:line="360" w:lineRule="auto"/>
        <w:jc w:val="both"/>
        <w:rPr>
          <w:rFonts w:ascii="Calibri" w:hAnsi="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670"/>
      </w:tblGrid>
      <w:tr w:rsidR="00837E18" w14:paraId="4FC0870C" w14:textId="77777777" w:rsidTr="003F494F">
        <w:trPr>
          <w:trHeight w:val="270"/>
          <w:jc w:val="center"/>
        </w:trPr>
        <w:tc>
          <w:tcPr>
            <w:tcW w:w="9351" w:type="dxa"/>
            <w:gridSpan w:val="2"/>
            <w:shd w:val="clear" w:color="auto" w:fill="auto"/>
          </w:tcPr>
          <w:p w14:paraId="0D63FBD3" w14:textId="77777777" w:rsidR="00F24595" w:rsidRPr="005237CC" w:rsidRDefault="001630D4" w:rsidP="003F494F">
            <w:pPr>
              <w:widowControl w:val="0"/>
              <w:autoSpaceDE w:val="0"/>
              <w:autoSpaceDN w:val="0"/>
              <w:adjustRightInd w:val="0"/>
              <w:spacing w:line="360" w:lineRule="auto"/>
              <w:jc w:val="both"/>
              <w:rPr>
                <w:rFonts w:ascii="Calibri" w:hAnsi="Calibri"/>
                <w:sz w:val="22"/>
                <w:szCs w:val="22"/>
              </w:rPr>
            </w:pPr>
            <w:r w:rsidRPr="005237CC">
              <w:rPr>
                <w:rFonts w:ascii="Calibri" w:hAnsi="Calibri"/>
                <w:b/>
                <w:bCs/>
                <w:sz w:val="22"/>
                <w:szCs w:val="22"/>
              </w:rPr>
              <w:t xml:space="preserve">Recommended dosage adjustments in patients undergoing renal replacement therapies </w:t>
            </w:r>
          </w:p>
        </w:tc>
      </w:tr>
      <w:tr w:rsidR="00837E18" w14:paraId="48914943" w14:textId="77777777" w:rsidTr="003F494F">
        <w:trPr>
          <w:trHeight w:val="270"/>
          <w:jc w:val="center"/>
        </w:trPr>
        <w:tc>
          <w:tcPr>
            <w:tcW w:w="3681" w:type="dxa"/>
            <w:shd w:val="clear" w:color="auto" w:fill="auto"/>
          </w:tcPr>
          <w:p w14:paraId="2809B672" w14:textId="77777777" w:rsidR="00F24595" w:rsidRPr="005237CC" w:rsidRDefault="001630D4" w:rsidP="003F494F">
            <w:pPr>
              <w:widowControl w:val="0"/>
              <w:autoSpaceDE w:val="0"/>
              <w:autoSpaceDN w:val="0"/>
              <w:adjustRightInd w:val="0"/>
              <w:spacing w:line="360" w:lineRule="auto"/>
              <w:jc w:val="both"/>
              <w:rPr>
                <w:rFonts w:ascii="Calibri" w:hAnsi="Calibri"/>
                <w:b/>
                <w:bCs/>
                <w:sz w:val="22"/>
                <w:szCs w:val="22"/>
              </w:rPr>
            </w:pPr>
            <w:r w:rsidRPr="005237CC">
              <w:rPr>
                <w:rFonts w:ascii="Calibri" w:hAnsi="Calibri"/>
                <w:b/>
                <w:bCs/>
                <w:sz w:val="22"/>
                <w:szCs w:val="22"/>
              </w:rPr>
              <w:t>Type of renal replacement therapy</w:t>
            </w:r>
          </w:p>
        </w:tc>
        <w:tc>
          <w:tcPr>
            <w:tcW w:w="5670" w:type="dxa"/>
            <w:shd w:val="clear" w:color="auto" w:fill="auto"/>
          </w:tcPr>
          <w:p w14:paraId="17A8FA26" w14:textId="77777777" w:rsidR="00F24595" w:rsidRPr="005237CC" w:rsidRDefault="001630D4" w:rsidP="003F494F">
            <w:pPr>
              <w:widowControl w:val="0"/>
              <w:autoSpaceDE w:val="0"/>
              <w:autoSpaceDN w:val="0"/>
              <w:adjustRightInd w:val="0"/>
              <w:spacing w:line="360" w:lineRule="auto"/>
              <w:jc w:val="both"/>
              <w:rPr>
                <w:rFonts w:ascii="Calibri" w:hAnsi="Calibri"/>
                <w:b/>
                <w:bCs/>
                <w:sz w:val="22"/>
                <w:szCs w:val="22"/>
              </w:rPr>
            </w:pPr>
            <w:r w:rsidRPr="005237CC">
              <w:rPr>
                <w:rFonts w:ascii="Calibri" w:hAnsi="Calibri"/>
                <w:b/>
                <w:bCs/>
                <w:sz w:val="22"/>
                <w:szCs w:val="22"/>
              </w:rPr>
              <w:t>Dose</w:t>
            </w:r>
          </w:p>
        </w:tc>
      </w:tr>
      <w:tr w:rsidR="00837E18" w14:paraId="4FEA510A" w14:textId="77777777" w:rsidTr="003F494F">
        <w:trPr>
          <w:jc w:val="center"/>
        </w:trPr>
        <w:tc>
          <w:tcPr>
            <w:tcW w:w="3681" w:type="dxa"/>
            <w:shd w:val="clear" w:color="auto" w:fill="auto"/>
          </w:tcPr>
          <w:p w14:paraId="08B477CB" w14:textId="77777777" w:rsidR="00F24595" w:rsidRPr="005237CC" w:rsidRDefault="001630D4" w:rsidP="003F494F">
            <w:pPr>
              <w:widowControl w:val="0"/>
              <w:autoSpaceDE w:val="0"/>
              <w:autoSpaceDN w:val="0"/>
              <w:adjustRightInd w:val="0"/>
              <w:spacing w:line="360" w:lineRule="auto"/>
              <w:jc w:val="both"/>
              <w:rPr>
                <w:rFonts w:ascii="Calibri" w:hAnsi="Calibri"/>
                <w:sz w:val="22"/>
                <w:szCs w:val="22"/>
              </w:rPr>
            </w:pPr>
            <w:r w:rsidRPr="005237CC">
              <w:rPr>
                <w:rFonts w:ascii="Calibri" w:hAnsi="Calibri"/>
                <w:sz w:val="22"/>
                <w:szCs w:val="22"/>
              </w:rPr>
              <w:t>Continuous (CAPD)</w:t>
            </w:r>
          </w:p>
        </w:tc>
        <w:tc>
          <w:tcPr>
            <w:tcW w:w="5670" w:type="dxa"/>
            <w:shd w:val="clear" w:color="auto" w:fill="auto"/>
          </w:tcPr>
          <w:p w14:paraId="0E64622B" w14:textId="77777777" w:rsidR="00F24595" w:rsidRPr="005237CC" w:rsidRDefault="001630D4" w:rsidP="003F494F">
            <w:pPr>
              <w:widowControl w:val="0"/>
              <w:autoSpaceDE w:val="0"/>
              <w:autoSpaceDN w:val="0"/>
              <w:adjustRightInd w:val="0"/>
              <w:spacing w:line="360" w:lineRule="auto"/>
              <w:jc w:val="both"/>
              <w:rPr>
                <w:rFonts w:ascii="Calibri" w:hAnsi="Calibri"/>
                <w:sz w:val="22"/>
                <w:szCs w:val="22"/>
              </w:rPr>
            </w:pPr>
            <w:r w:rsidRPr="005237CC">
              <w:rPr>
                <w:rFonts w:ascii="Calibri" w:hAnsi="Calibri"/>
                <w:sz w:val="22"/>
                <w:szCs w:val="22"/>
              </w:rPr>
              <w:t xml:space="preserve">Dialysed. Dose as in GFR &lt;10mL/min. </w:t>
            </w:r>
          </w:p>
          <w:p w14:paraId="3C16C0AC" w14:textId="77777777" w:rsidR="00F24595" w:rsidRPr="005237CC" w:rsidRDefault="001630D4" w:rsidP="003F494F">
            <w:pPr>
              <w:widowControl w:val="0"/>
              <w:autoSpaceDE w:val="0"/>
              <w:autoSpaceDN w:val="0"/>
              <w:adjustRightInd w:val="0"/>
              <w:spacing w:line="360" w:lineRule="auto"/>
              <w:jc w:val="both"/>
              <w:rPr>
                <w:rFonts w:ascii="Calibri" w:hAnsi="Calibri"/>
                <w:sz w:val="22"/>
                <w:szCs w:val="22"/>
              </w:rPr>
            </w:pPr>
            <w:r w:rsidRPr="005237CC">
              <w:rPr>
                <w:rFonts w:ascii="Calibri" w:hAnsi="Calibri"/>
                <w:sz w:val="22"/>
                <w:szCs w:val="22"/>
              </w:rPr>
              <w:t>Following dose, do not perform CAPD exchange for 12 hours</w:t>
            </w:r>
          </w:p>
        </w:tc>
      </w:tr>
      <w:tr w:rsidR="00837E18" w14:paraId="5F25980E" w14:textId="77777777" w:rsidTr="003F494F">
        <w:trPr>
          <w:jc w:val="center"/>
        </w:trPr>
        <w:tc>
          <w:tcPr>
            <w:tcW w:w="3681" w:type="dxa"/>
            <w:shd w:val="clear" w:color="auto" w:fill="auto"/>
          </w:tcPr>
          <w:p w14:paraId="6B33BC34" w14:textId="77777777" w:rsidR="00F24595" w:rsidRPr="005237CC" w:rsidRDefault="001630D4" w:rsidP="003F494F">
            <w:pPr>
              <w:widowControl w:val="0"/>
              <w:autoSpaceDE w:val="0"/>
              <w:autoSpaceDN w:val="0"/>
              <w:adjustRightInd w:val="0"/>
              <w:spacing w:line="360" w:lineRule="auto"/>
              <w:jc w:val="both"/>
              <w:rPr>
                <w:rFonts w:ascii="Calibri" w:hAnsi="Calibri"/>
                <w:sz w:val="22"/>
                <w:szCs w:val="22"/>
              </w:rPr>
            </w:pPr>
            <w:r w:rsidRPr="005237CC">
              <w:rPr>
                <w:rFonts w:ascii="Calibri" w:hAnsi="Calibri"/>
                <w:sz w:val="22"/>
                <w:szCs w:val="22"/>
              </w:rPr>
              <w:t>HD</w:t>
            </w:r>
          </w:p>
        </w:tc>
        <w:tc>
          <w:tcPr>
            <w:tcW w:w="5670" w:type="dxa"/>
            <w:shd w:val="clear" w:color="auto" w:fill="auto"/>
          </w:tcPr>
          <w:p w14:paraId="3AC81359" w14:textId="77777777" w:rsidR="00F24595" w:rsidRPr="005237CC" w:rsidRDefault="001630D4" w:rsidP="003F494F">
            <w:pPr>
              <w:widowControl w:val="0"/>
              <w:autoSpaceDE w:val="0"/>
              <w:autoSpaceDN w:val="0"/>
              <w:adjustRightInd w:val="0"/>
              <w:spacing w:line="360" w:lineRule="auto"/>
              <w:jc w:val="both"/>
              <w:rPr>
                <w:rFonts w:ascii="Calibri" w:hAnsi="Calibri"/>
                <w:sz w:val="22"/>
                <w:szCs w:val="22"/>
              </w:rPr>
            </w:pPr>
            <w:r w:rsidRPr="005237CC">
              <w:rPr>
                <w:rFonts w:ascii="Calibri" w:hAnsi="Calibri"/>
                <w:sz w:val="22"/>
                <w:szCs w:val="22"/>
              </w:rPr>
              <w:t xml:space="preserve">Dialysed. Dose as in GFR &lt;10mL/min. </w:t>
            </w:r>
          </w:p>
          <w:p w14:paraId="289B0BEF" w14:textId="77777777" w:rsidR="00F24595" w:rsidRPr="005237CC" w:rsidRDefault="001630D4" w:rsidP="003F494F">
            <w:pPr>
              <w:widowControl w:val="0"/>
              <w:autoSpaceDE w:val="0"/>
              <w:autoSpaceDN w:val="0"/>
              <w:adjustRightInd w:val="0"/>
              <w:spacing w:line="360" w:lineRule="auto"/>
              <w:jc w:val="both"/>
              <w:rPr>
                <w:rFonts w:ascii="Calibri" w:hAnsi="Calibri"/>
                <w:sz w:val="22"/>
                <w:szCs w:val="22"/>
              </w:rPr>
            </w:pPr>
            <w:r w:rsidRPr="005237CC">
              <w:rPr>
                <w:rFonts w:ascii="Calibri" w:hAnsi="Calibri"/>
                <w:sz w:val="22"/>
                <w:szCs w:val="22"/>
              </w:rPr>
              <w:t>Dose at minimum of 12 hours before HD session</w:t>
            </w:r>
          </w:p>
        </w:tc>
      </w:tr>
      <w:tr w:rsidR="00837E18" w14:paraId="59F184C6" w14:textId="77777777" w:rsidTr="003F494F">
        <w:trPr>
          <w:jc w:val="center"/>
        </w:trPr>
        <w:tc>
          <w:tcPr>
            <w:tcW w:w="3681" w:type="dxa"/>
            <w:shd w:val="clear" w:color="auto" w:fill="auto"/>
          </w:tcPr>
          <w:p w14:paraId="40472ED2" w14:textId="77777777" w:rsidR="00F24595" w:rsidRPr="005237CC" w:rsidRDefault="001630D4" w:rsidP="003F494F">
            <w:pPr>
              <w:widowControl w:val="0"/>
              <w:autoSpaceDE w:val="0"/>
              <w:autoSpaceDN w:val="0"/>
              <w:adjustRightInd w:val="0"/>
              <w:spacing w:line="360" w:lineRule="auto"/>
              <w:jc w:val="both"/>
              <w:rPr>
                <w:rFonts w:ascii="Calibri" w:hAnsi="Calibri"/>
                <w:sz w:val="22"/>
                <w:szCs w:val="22"/>
              </w:rPr>
            </w:pPr>
            <w:r w:rsidRPr="005237CC">
              <w:rPr>
                <w:rFonts w:ascii="Calibri" w:hAnsi="Calibri"/>
                <w:sz w:val="22"/>
                <w:szCs w:val="22"/>
              </w:rPr>
              <w:t>HDF/High flux</w:t>
            </w:r>
          </w:p>
        </w:tc>
        <w:tc>
          <w:tcPr>
            <w:tcW w:w="5670" w:type="dxa"/>
            <w:shd w:val="clear" w:color="auto" w:fill="auto"/>
          </w:tcPr>
          <w:p w14:paraId="05DC110C" w14:textId="77777777" w:rsidR="00F24595" w:rsidRPr="005237CC" w:rsidRDefault="001630D4" w:rsidP="003F494F">
            <w:pPr>
              <w:widowControl w:val="0"/>
              <w:autoSpaceDE w:val="0"/>
              <w:autoSpaceDN w:val="0"/>
              <w:adjustRightInd w:val="0"/>
              <w:spacing w:line="360" w:lineRule="auto"/>
              <w:jc w:val="both"/>
              <w:rPr>
                <w:rFonts w:ascii="Calibri" w:hAnsi="Calibri"/>
                <w:sz w:val="22"/>
                <w:szCs w:val="22"/>
              </w:rPr>
            </w:pPr>
            <w:r w:rsidRPr="005237CC">
              <w:rPr>
                <w:rFonts w:ascii="Calibri" w:hAnsi="Calibri"/>
                <w:sz w:val="22"/>
                <w:szCs w:val="22"/>
              </w:rPr>
              <w:t xml:space="preserve">Dialysed. Dose as in GFR &lt;10mL/min. </w:t>
            </w:r>
          </w:p>
          <w:p w14:paraId="6686BC45" w14:textId="77777777" w:rsidR="00F24595" w:rsidRPr="005237CC" w:rsidRDefault="001630D4" w:rsidP="003F494F">
            <w:pPr>
              <w:widowControl w:val="0"/>
              <w:autoSpaceDE w:val="0"/>
              <w:autoSpaceDN w:val="0"/>
              <w:adjustRightInd w:val="0"/>
              <w:spacing w:line="360" w:lineRule="auto"/>
              <w:jc w:val="both"/>
              <w:rPr>
                <w:rFonts w:ascii="Calibri" w:hAnsi="Calibri"/>
                <w:sz w:val="22"/>
                <w:szCs w:val="22"/>
              </w:rPr>
            </w:pPr>
            <w:r w:rsidRPr="005237CC">
              <w:rPr>
                <w:rFonts w:ascii="Calibri" w:hAnsi="Calibri"/>
                <w:sz w:val="22"/>
                <w:szCs w:val="22"/>
              </w:rPr>
              <w:t>Dose at minimum of 12 hours before HDF session</w:t>
            </w:r>
          </w:p>
        </w:tc>
      </w:tr>
      <w:tr w:rsidR="00837E18" w14:paraId="6EFED16B" w14:textId="77777777" w:rsidTr="003F494F">
        <w:trPr>
          <w:jc w:val="center"/>
        </w:trPr>
        <w:tc>
          <w:tcPr>
            <w:tcW w:w="3681" w:type="dxa"/>
            <w:shd w:val="clear" w:color="auto" w:fill="auto"/>
          </w:tcPr>
          <w:p w14:paraId="217F7460" w14:textId="77777777" w:rsidR="00F24595" w:rsidRPr="005237CC" w:rsidRDefault="001630D4" w:rsidP="003F494F">
            <w:pPr>
              <w:widowControl w:val="0"/>
              <w:autoSpaceDE w:val="0"/>
              <w:autoSpaceDN w:val="0"/>
              <w:adjustRightInd w:val="0"/>
              <w:spacing w:line="360" w:lineRule="auto"/>
              <w:jc w:val="both"/>
              <w:rPr>
                <w:rFonts w:ascii="Calibri" w:hAnsi="Calibri"/>
                <w:sz w:val="22"/>
                <w:szCs w:val="22"/>
              </w:rPr>
            </w:pPr>
            <w:r w:rsidRPr="005237CC">
              <w:rPr>
                <w:rFonts w:ascii="Calibri" w:hAnsi="Calibri"/>
                <w:sz w:val="22"/>
                <w:szCs w:val="22"/>
              </w:rPr>
              <w:t>CAV/VVHD</w:t>
            </w:r>
          </w:p>
        </w:tc>
        <w:tc>
          <w:tcPr>
            <w:tcW w:w="5670" w:type="dxa"/>
            <w:shd w:val="clear" w:color="auto" w:fill="auto"/>
          </w:tcPr>
          <w:p w14:paraId="31A0558D" w14:textId="77777777" w:rsidR="00F24595" w:rsidRPr="005237CC" w:rsidRDefault="001630D4" w:rsidP="003F494F">
            <w:pPr>
              <w:widowControl w:val="0"/>
              <w:autoSpaceDE w:val="0"/>
              <w:autoSpaceDN w:val="0"/>
              <w:adjustRightInd w:val="0"/>
              <w:spacing w:line="360" w:lineRule="auto"/>
              <w:jc w:val="both"/>
              <w:rPr>
                <w:rFonts w:ascii="Calibri" w:hAnsi="Calibri"/>
                <w:sz w:val="22"/>
                <w:szCs w:val="22"/>
              </w:rPr>
            </w:pPr>
            <w:r w:rsidRPr="005237CC">
              <w:rPr>
                <w:rFonts w:ascii="Calibri" w:hAnsi="Calibri"/>
                <w:sz w:val="22"/>
                <w:szCs w:val="22"/>
              </w:rPr>
              <w:t>Dialysed. Dose as in GFR = 10-20mL/min</w:t>
            </w:r>
          </w:p>
        </w:tc>
      </w:tr>
    </w:tbl>
    <w:p w14:paraId="40B4F5D9" w14:textId="77777777" w:rsidR="00F24595" w:rsidRDefault="00F24595" w:rsidP="003F494F">
      <w:pPr>
        <w:widowControl w:val="0"/>
        <w:autoSpaceDE w:val="0"/>
        <w:autoSpaceDN w:val="0"/>
        <w:adjustRightInd w:val="0"/>
        <w:spacing w:line="360" w:lineRule="auto"/>
        <w:jc w:val="both"/>
        <w:rPr>
          <w:rFonts w:ascii="Calibri" w:hAnsi="Calibri"/>
          <w:bCs/>
          <w:sz w:val="22"/>
          <w:szCs w:val="22"/>
          <w:u w:val="single"/>
        </w:rPr>
      </w:pPr>
    </w:p>
    <w:p w14:paraId="212F1027" w14:textId="77777777" w:rsidR="00691814" w:rsidRPr="00117750" w:rsidRDefault="00691814" w:rsidP="003F494F">
      <w:pPr>
        <w:pStyle w:val="NoSpacing"/>
        <w:spacing w:line="360" w:lineRule="auto"/>
        <w:rPr>
          <w:rFonts w:cstheme="minorHAnsi"/>
          <w:b/>
        </w:rPr>
      </w:pPr>
    </w:p>
    <w:p w14:paraId="6350890E" w14:textId="17F0FF1E" w:rsidR="00C00DD6" w:rsidRPr="003F494F" w:rsidRDefault="001630D4" w:rsidP="003F494F">
      <w:pPr>
        <w:spacing w:line="360" w:lineRule="auto"/>
        <w:rPr>
          <w:rFonts w:cstheme="minorHAnsi"/>
          <w:b/>
          <w:sz w:val="22"/>
          <w:szCs w:val="22"/>
          <w:u w:val="single"/>
        </w:rPr>
      </w:pPr>
      <w:r w:rsidRPr="003F494F">
        <w:rPr>
          <w:rFonts w:cstheme="minorHAnsi"/>
          <w:b/>
          <w:sz w:val="22"/>
          <w:szCs w:val="22"/>
          <w:u w:val="single"/>
        </w:rPr>
        <w:t>C</w:t>
      </w:r>
      <w:r w:rsidR="000D5312" w:rsidRPr="003F494F">
        <w:rPr>
          <w:rFonts w:cstheme="minorHAnsi"/>
          <w:b/>
          <w:sz w:val="22"/>
          <w:szCs w:val="22"/>
          <w:u w:val="single"/>
        </w:rPr>
        <w:t>alcineurin inhibitors</w:t>
      </w:r>
      <w:r w:rsidRPr="003F494F">
        <w:rPr>
          <w:rFonts w:cstheme="minorHAnsi"/>
          <w:b/>
          <w:sz w:val="22"/>
          <w:szCs w:val="22"/>
          <w:u w:val="single"/>
        </w:rPr>
        <w:t xml:space="preserve"> </w:t>
      </w:r>
    </w:p>
    <w:p w14:paraId="5C3869AC" w14:textId="77777777" w:rsidR="00724887" w:rsidRPr="003F494F" w:rsidRDefault="001630D4" w:rsidP="003F494F">
      <w:pPr>
        <w:pStyle w:val="ListParagraph"/>
        <w:numPr>
          <w:ilvl w:val="0"/>
          <w:numId w:val="36"/>
        </w:numPr>
        <w:spacing w:line="360" w:lineRule="auto"/>
        <w:rPr>
          <w:rFonts w:cstheme="minorHAnsi"/>
          <w:b/>
          <w:sz w:val="22"/>
          <w:szCs w:val="22"/>
        </w:rPr>
      </w:pPr>
      <w:r w:rsidRPr="003F494F">
        <w:rPr>
          <w:rFonts w:cstheme="minorHAnsi"/>
          <w:b/>
          <w:sz w:val="22"/>
          <w:szCs w:val="22"/>
        </w:rPr>
        <w:t>Tacrolimus</w:t>
      </w:r>
    </w:p>
    <w:p w14:paraId="6BA51D31" w14:textId="609C2033" w:rsidR="00724887" w:rsidRPr="001404F8" w:rsidRDefault="000D5312" w:rsidP="00191B03">
      <w:pPr>
        <w:spacing w:line="360" w:lineRule="auto"/>
        <w:jc w:val="both"/>
        <w:rPr>
          <w:sz w:val="22"/>
          <w:szCs w:val="22"/>
        </w:rPr>
      </w:pPr>
      <w:r w:rsidRPr="003F494F">
        <w:rPr>
          <w:sz w:val="22"/>
          <w:szCs w:val="22"/>
        </w:rPr>
        <w:lastRenderedPageBreak/>
        <w:t>This is dosed according to the B</w:t>
      </w:r>
      <w:r w:rsidR="00191B03">
        <w:rPr>
          <w:sz w:val="22"/>
          <w:szCs w:val="22"/>
        </w:rPr>
        <w:t xml:space="preserve">ritish </w:t>
      </w:r>
      <w:r w:rsidRPr="003F494F">
        <w:rPr>
          <w:sz w:val="22"/>
          <w:szCs w:val="22"/>
        </w:rPr>
        <w:t>N</w:t>
      </w:r>
      <w:r w:rsidR="00191B03">
        <w:rPr>
          <w:sz w:val="22"/>
          <w:szCs w:val="22"/>
        </w:rPr>
        <w:t xml:space="preserve">ational </w:t>
      </w:r>
      <w:r w:rsidRPr="003F494F">
        <w:rPr>
          <w:sz w:val="22"/>
          <w:szCs w:val="22"/>
        </w:rPr>
        <w:t>F</w:t>
      </w:r>
      <w:r w:rsidR="00191B03">
        <w:rPr>
          <w:sz w:val="22"/>
          <w:szCs w:val="22"/>
        </w:rPr>
        <w:t>ormulary for children (</w:t>
      </w:r>
      <w:proofErr w:type="spellStart"/>
      <w:r w:rsidR="00191B03">
        <w:rPr>
          <w:sz w:val="22"/>
          <w:szCs w:val="22"/>
        </w:rPr>
        <w:t>BNFc</w:t>
      </w:r>
      <w:proofErr w:type="spellEnd"/>
      <w:r w:rsidR="00191B03">
        <w:rPr>
          <w:sz w:val="22"/>
          <w:szCs w:val="22"/>
        </w:rPr>
        <w:t>)</w:t>
      </w:r>
      <w:r w:rsidRPr="003F494F">
        <w:rPr>
          <w:sz w:val="22"/>
          <w:szCs w:val="22"/>
        </w:rPr>
        <w:t xml:space="preserve"> with a starting dose of </w:t>
      </w:r>
      <w:r w:rsidR="00844115" w:rsidRPr="003F494F">
        <w:rPr>
          <w:sz w:val="22"/>
          <w:szCs w:val="22"/>
        </w:rPr>
        <w:t xml:space="preserve">100 </w:t>
      </w:r>
      <w:r w:rsidR="007A1513" w:rsidRPr="003F494F">
        <w:rPr>
          <w:sz w:val="22"/>
          <w:szCs w:val="22"/>
        </w:rPr>
        <w:t>–</w:t>
      </w:r>
      <w:r w:rsidR="00844115" w:rsidRPr="003F494F">
        <w:rPr>
          <w:sz w:val="22"/>
          <w:szCs w:val="22"/>
        </w:rPr>
        <w:t xml:space="preserve"> </w:t>
      </w:r>
      <w:r w:rsidR="00724887" w:rsidRPr="003F494F">
        <w:rPr>
          <w:sz w:val="22"/>
          <w:szCs w:val="22"/>
        </w:rPr>
        <w:t>150</w:t>
      </w:r>
      <w:r w:rsidR="007A1513" w:rsidRPr="003F494F">
        <w:rPr>
          <w:sz w:val="22"/>
          <w:szCs w:val="22"/>
        </w:rPr>
        <w:t xml:space="preserve"> </w:t>
      </w:r>
      <w:r w:rsidR="00724887" w:rsidRPr="003F494F">
        <w:rPr>
          <w:sz w:val="22"/>
          <w:szCs w:val="22"/>
        </w:rPr>
        <w:t xml:space="preserve">micrograms/kg/day (max </w:t>
      </w:r>
      <w:r w:rsidR="007A1513" w:rsidRPr="003F494F">
        <w:rPr>
          <w:sz w:val="22"/>
          <w:szCs w:val="22"/>
        </w:rPr>
        <w:t>5</w:t>
      </w:r>
      <w:r w:rsidR="00724887" w:rsidRPr="003F494F">
        <w:rPr>
          <w:sz w:val="22"/>
          <w:szCs w:val="22"/>
        </w:rPr>
        <w:t>mg) in 2 divided doses</w:t>
      </w:r>
      <w:r w:rsidRPr="003F494F">
        <w:rPr>
          <w:sz w:val="22"/>
          <w:szCs w:val="22"/>
        </w:rPr>
        <w:t xml:space="preserve"> taken 12 hours apart. Once daily formulations are also available. It is suggested to</w:t>
      </w:r>
      <w:r w:rsidR="007A1513" w:rsidRPr="003F494F">
        <w:rPr>
          <w:sz w:val="22"/>
          <w:szCs w:val="22"/>
        </w:rPr>
        <w:t xml:space="preserve"> start at a lower dose then increas</w:t>
      </w:r>
      <w:r w:rsidRPr="003F494F">
        <w:rPr>
          <w:sz w:val="22"/>
          <w:szCs w:val="22"/>
        </w:rPr>
        <w:t>e</w:t>
      </w:r>
      <w:r w:rsidR="007A1513" w:rsidRPr="003F494F">
        <w:rPr>
          <w:sz w:val="22"/>
          <w:szCs w:val="22"/>
        </w:rPr>
        <w:t xml:space="preserve"> </w:t>
      </w:r>
      <w:r w:rsidRPr="003F494F">
        <w:rPr>
          <w:sz w:val="22"/>
          <w:szCs w:val="22"/>
        </w:rPr>
        <w:t>guided by clinical response and</w:t>
      </w:r>
      <w:r w:rsidR="007A1513" w:rsidRPr="003F494F">
        <w:rPr>
          <w:sz w:val="22"/>
          <w:szCs w:val="22"/>
        </w:rPr>
        <w:t xml:space="preserve"> therapeutic levels</w:t>
      </w:r>
      <w:r w:rsidR="00724887" w:rsidRPr="003F494F">
        <w:rPr>
          <w:sz w:val="22"/>
          <w:szCs w:val="22"/>
        </w:rPr>
        <w:t>.</w:t>
      </w:r>
      <w:r w:rsidRPr="003F494F">
        <w:rPr>
          <w:sz w:val="22"/>
          <w:szCs w:val="22"/>
        </w:rPr>
        <w:t xml:space="preserve"> Due to the different formulations available it is advised to p</w:t>
      </w:r>
      <w:r w:rsidR="00724887" w:rsidRPr="003F494F">
        <w:rPr>
          <w:sz w:val="22"/>
          <w:szCs w:val="22"/>
        </w:rPr>
        <w:t xml:space="preserve">rescribe </w:t>
      </w:r>
      <w:r w:rsidRPr="003F494F">
        <w:rPr>
          <w:sz w:val="22"/>
          <w:szCs w:val="22"/>
        </w:rPr>
        <w:t>tacrolimus by the</w:t>
      </w:r>
      <w:r w:rsidR="00724887" w:rsidRPr="003F494F">
        <w:rPr>
          <w:sz w:val="22"/>
          <w:szCs w:val="22"/>
        </w:rPr>
        <w:t xml:space="preserve"> brand name, e.g., </w:t>
      </w:r>
      <w:proofErr w:type="spellStart"/>
      <w:r w:rsidR="00724887" w:rsidRPr="003F494F">
        <w:rPr>
          <w:sz w:val="22"/>
          <w:szCs w:val="22"/>
        </w:rPr>
        <w:t>Modigraf</w:t>
      </w:r>
      <w:proofErr w:type="spellEnd"/>
      <w:r w:rsidR="00724887" w:rsidRPr="003F494F">
        <w:rPr>
          <w:sz w:val="22"/>
          <w:szCs w:val="22"/>
        </w:rPr>
        <w:t xml:space="preserve"> granules/ </w:t>
      </w:r>
      <w:proofErr w:type="spellStart"/>
      <w:r w:rsidR="00724887" w:rsidRPr="003F494F">
        <w:rPr>
          <w:sz w:val="22"/>
          <w:szCs w:val="22"/>
        </w:rPr>
        <w:t>Adoport</w:t>
      </w:r>
      <w:proofErr w:type="spellEnd"/>
      <w:r w:rsidR="00724887" w:rsidRPr="003F494F">
        <w:rPr>
          <w:sz w:val="22"/>
          <w:szCs w:val="22"/>
        </w:rPr>
        <w:t xml:space="preserve"> capsules.</w:t>
      </w:r>
      <w:r w:rsidR="00724887" w:rsidRPr="003F494F">
        <w:rPr>
          <w:rFonts w:cstheme="minorHAnsi"/>
          <w:b/>
          <w:sz w:val="22"/>
          <w:szCs w:val="22"/>
        </w:rPr>
        <w:t xml:space="preserve"> </w:t>
      </w:r>
      <w:r w:rsidRPr="003F494F">
        <w:rPr>
          <w:sz w:val="22"/>
          <w:szCs w:val="22"/>
        </w:rPr>
        <w:t xml:space="preserve">The treatment relies on therapeutic drug </w:t>
      </w:r>
      <w:r w:rsidR="001404F8">
        <w:rPr>
          <w:sz w:val="22"/>
          <w:szCs w:val="22"/>
        </w:rPr>
        <w:t>monitoring</w:t>
      </w:r>
      <w:r w:rsidRPr="003F494F">
        <w:rPr>
          <w:sz w:val="22"/>
          <w:szCs w:val="22"/>
        </w:rPr>
        <w:t xml:space="preserve"> </w:t>
      </w:r>
      <w:r w:rsidR="001404F8">
        <w:rPr>
          <w:sz w:val="22"/>
          <w:szCs w:val="22"/>
        </w:rPr>
        <w:t>using</w:t>
      </w:r>
      <w:r w:rsidRPr="003F494F">
        <w:rPr>
          <w:sz w:val="22"/>
          <w:szCs w:val="22"/>
        </w:rPr>
        <w:t xml:space="preserve"> a</w:t>
      </w:r>
      <w:r w:rsidR="00724887" w:rsidRPr="003F494F">
        <w:rPr>
          <w:sz w:val="22"/>
          <w:szCs w:val="22"/>
        </w:rPr>
        <w:t xml:space="preserve"> </w:t>
      </w:r>
      <w:proofErr w:type="gramStart"/>
      <w:r w:rsidR="00724887" w:rsidRPr="003F494F">
        <w:rPr>
          <w:sz w:val="22"/>
          <w:szCs w:val="22"/>
        </w:rPr>
        <w:t>12</w:t>
      </w:r>
      <w:r w:rsidR="007A1513" w:rsidRPr="003F494F">
        <w:rPr>
          <w:sz w:val="22"/>
          <w:szCs w:val="22"/>
        </w:rPr>
        <w:t xml:space="preserve"> </w:t>
      </w:r>
      <w:r w:rsidR="00724887" w:rsidRPr="003F494F">
        <w:rPr>
          <w:sz w:val="22"/>
          <w:szCs w:val="22"/>
        </w:rPr>
        <w:t>h</w:t>
      </w:r>
      <w:r w:rsidR="007A1513" w:rsidRPr="003F494F">
        <w:rPr>
          <w:sz w:val="22"/>
          <w:szCs w:val="22"/>
        </w:rPr>
        <w:t>our</w:t>
      </w:r>
      <w:proofErr w:type="gramEnd"/>
      <w:r w:rsidR="00724887" w:rsidRPr="003F494F">
        <w:rPr>
          <w:sz w:val="22"/>
          <w:szCs w:val="22"/>
        </w:rPr>
        <w:t xml:space="preserve"> trough level (target </w:t>
      </w:r>
      <w:r w:rsidRPr="003F494F">
        <w:rPr>
          <w:sz w:val="22"/>
          <w:szCs w:val="22"/>
        </w:rPr>
        <w:t xml:space="preserve">range for most IM-GD is around </w:t>
      </w:r>
      <w:r w:rsidR="007A1513" w:rsidRPr="003F494F">
        <w:rPr>
          <w:sz w:val="22"/>
          <w:szCs w:val="22"/>
        </w:rPr>
        <w:t>4</w:t>
      </w:r>
      <w:r w:rsidR="00724887" w:rsidRPr="003F494F">
        <w:rPr>
          <w:sz w:val="22"/>
          <w:szCs w:val="22"/>
        </w:rPr>
        <w:t>-</w:t>
      </w:r>
      <w:r w:rsidR="001404F8">
        <w:rPr>
          <w:sz w:val="22"/>
          <w:szCs w:val="22"/>
        </w:rPr>
        <w:t xml:space="preserve">7 </w:t>
      </w:r>
      <w:proofErr w:type="spellStart"/>
      <w:r w:rsidR="00724887" w:rsidRPr="003F494F">
        <w:rPr>
          <w:sz w:val="22"/>
          <w:szCs w:val="22"/>
        </w:rPr>
        <w:t>μg</w:t>
      </w:r>
      <w:proofErr w:type="spellEnd"/>
      <w:r w:rsidR="00724887" w:rsidRPr="003F494F">
        <w:rPr>
          <w:sz w:val="22"/>
          <w:szCs w:val="22"/>
        </w:rPr>
        <w:t xml:space="preserve">/L) weekly </w:t>
      </w:r>
      <w:r w:rsidR="00724887" w:rsidRPr="001404F8">
        <w:rPr>
          <w:sz w:val="22"/>
          <w:szCs w:val="22"/>
        </w:rPr>
        <w:t xml:space="preserve">until in range then monthly to quarterly. </w:t>
      </w:r>
      <w:r w:rsidRPr="001404F8">
        <w:rPr>
          <w:sz w:val="22"/>
          <w:szCs w:val="22"/>
        </w:rPr>
        <w:t>It requires monitoring of</w:t>
      </w:r>
      <w:r w:rsidR="00724887" w:rsidRPr="001404F8">
        <w:rPr>
          <w:sz w:val="22"/>
          <w:szCs w:val="22"/>
        </w:rPr>
        <w:t xml:space="preserve"> blood pressure,</w:t>
      </w:r>
      <w:r w:rsidR="0018278F" w:rsidRPr="001404F8">
        <w:rPr>
          <w:sz w:val="22"/>
          <w:szCs w:val="22"/>
        </w:rPr>
        <w:t xml:space="preserve"> </w:t>
      </w:r>
      <w:r w:rsidRPr="001404F8">
        <w:rPr>
          <w:sz w:val="22"/>
          <w:szCs w:val="22"/>
        </w:rPr>
        <w:t>full blood count</w:t>
      </w:r>
      <w:r w:rsidR="0018278F" w:rsidRPr="001404F8">
        <w:rPr>
          <w:sz w:val="22"/>
          <w:szCs w:val="22"/>
        </w:rPr>
        <w:t>,</w:t>
      </w:r>
      <w:r w:rsidR="00724887" w:rsidRPr="001404F8">
        <w:rPr>
          <w:sz w:val="22"/>
          <w:szCs w:val="22"/>
        </w:rPr>
        <w:t xml:space="preserve"> renal function, magnesium, </w:t>
      </w:r>
      <w:r w:rsidRPr="001404F8">
        <w:rPr>
          <w:sz w:val="22"/>
          <w:szCs w:val="22"/>
        </w:rPr>
        <w:t>liver function tests,</w:t>
      </w:r>
      <w:r w:rsidR="00724887" w:rsidRPr="001404F8">
        <w:rPr>
          <w:sz w:val="22"/>
          <w:szCs w:val="22"/>
        </w:rPr>
        <w:t xml:space="preserve"> and fasting blood glucose</w:t>
      </w:r>
      <w:r w:rsidR="0018278F" w:rsidRPr="001404F8">
        <w:rPr>
          <w:sz w:val="22"/>
          <w:szCs w:val="22"/>
        </w:rPr>
        <w:t>,</w:t>
      </w:r>
      <w:r w:rsidR="001404F8" w:rsidRPr="001404F8">
        <w:rPr>
          <w:sz w:val="22"/>
          <w:szCs w:val="22"/>
        </w:rPr>
        <w:t xml:space="preserve"> and ideally</w:t>
      </w:r>
      <w:r w:rsidR="00724887" w:rsidRPr="001404F8">
        <w:rPr>
          <w:sz w:val="22"/>
          <w:szCs w:val="22"/>
        </w:rPr>
        <w:t xml:space="preserve"> lipids </w:t>
      </w:r>
      <w:r w:rsidR="001404F8" w:rsidRPr="001404F8">
        <w:rPr>
          <w:sz w:val="22"/>
          <w:szCs w:val="22"/>
        </w:rPr>
        <w:t xml:space="preserve">approximately </w:t>
      </w:r>
      <w:r w:rsidR="005A0A34" w:rsidRPr="001404F8">
        <w:rPr>
          <w:sz w:val="22"/>
          <w:szCs w:val="22"/>
        </w:rPr>
        <w:t xml:space="preserve">every 3 months. </w:t>
      </w:r>
    </w:p>
    <w:p w14:paraId="23140B7F" w14:textId="337CF806" w:rsidR="00724887" w:rsidRPr="001404F8" w:rsidRDefault="00724887" w:rsidP="003F494F">
      <w:pPr>
        <w:spacing w:line="360" w:lineRule="auto"/>
        <w:rPr>
          <w:rFonts w:cstheme="minorHAnsi"/>
          <w:b/>
          <w:sz w:val="22"/>
          <w:szCs w:val="22"/>
          <w:highlight w:val="yellow"/>
        </w:rPr>
      </w:pPr>
    </w:p>
    <w:p w14:paraId="2F79979D" w14:textId="77777777" w:rsidR="000D5312" w:rsidRPr="001404F8" w:rsidRDefault="001630D4" w:rsidP="003F494F">
      <w:pPr>
        <w:pStyle w:val="ListParagraph"/>
        <w:numPr>
          <w:ilvl w:val="0"/>
          <w:numId w:val="36"/>
        </w:numPr>
        <w:spacing w:line="360" w:lineRule="auto"/>
        <w:rPr>
          <w:rFonts w:cstheme="minorHAnsi"/>
          <w:bCs/>
          <w:sz w:val="22"/>
          <w:szCs w:val="22"/>
        </w:rPr>
      </w:pPr>
      <w:r w:rsidRPr="001404F8">
        <w:rPr>
          <w:rFonts w:cstheme="minorHAnsi"/>
          <w:b/>
          <w:sz w:val="22"/>
          <w:szCs w:val="22"/>
        </w:rPr>
        <w:t>Ciclosporin</w:t>
      </w:r>
      <w:r w:rsidR="005A0A34" w:rsidRPr="001404F8">
        <w:rPr>
          <w:rFonts w:cstheme="minorHAnsi"/>
          <w:b/>
          <w:sz w:val="22"/>
          <w:szCs w:val="22"/>
        </w:rPr>
        <w:t xml:space="preserve"> </w:t>
      </w:r>
    </w:p>
    <w:p w14:paraId="5EB917FC" w14:textId="07A950B0" w:rsidR="003E3265" w:rsidRPr="001404F8" w:rsidRDefault="000D5312" w:rsidP="003F494F">
      <w:pPr>
        <w:spacing w:line="360" w:lineRule="auto"/>
        <w:jc w:val="both"/>
        <w:rPr>
          <w:rFonts w:cstheme="minorHAnsi"/>
          <w:b/>
          <w:sz w:val="22"/>
          <w:szCs w:val="22"/>
          <w:highlight w:val="yellow"/>
        </w:rPr>
      </w:pPr>
      <w:r w:rsidRPr="001404F8">
        <w:rPr>
          <w:rFonts w:cstheme="minorHAnsi"/>
          <w:bCs/>
          <w:sz w:val="22"/>
          <w:szCs w:val="22"/>
        </w:rPr>
        <w:t>Due to alternative agents being available, ciclosporin i</w:t>
      </w:r>
      <w:r w:rsidR="005A0A34" w:rsidRPr="001404F8">
        <w:rPr>
          <w:rFonts w:cstheme="minorHAnsi"/>
          <w:bCs/>
          <w:sz w:val="22"/>
          <w:szCs w:val="22"/>
        </w:rPr>
        <w:t xml:space="preserve">s </w:t>
      </w:r>
      <w:r w:rsidRPr="001404F8">
        <w:rPr>
          <w:rFonts w:cstheme="minorHAnsi"/>
          <w:bCs/>
          <w:sz w:val="22"/>
          <w:szCs w:val="22"/>
        </w:rPr>
        <w:t xml:space="preserve">now </w:t>
      </w:r>
      <w:r w:rsidR="005A0A34" w:rsidRPr="001404F8">
        <w:rPr>
          <w:rFonts w:cstheme="minorHAnsi"/>
          <w:bCs/>
          <w:sz w:val="22"/>
          <w:szCs w:val="22"/>
        </w:rPr>
        <w:t>less commonly used</w:t>
      </w:r>
      <w:r w:rsidRPr="001404F8">
        <w:rPr>
          <w:rFonts w:cstheme="minorHAnsi"/>
          <w:bCs/>
          <w:sz w:val="22"/>
          <w:szCs w:val="22"/>
        </w:rPr>
        <w:t xml:space="preserve"> and the GDG felt that colleagues should be encouraged to prescribe the newer agents because they have a more favourable side effect profile. P</w:t>
      </w:r>
      <w:r w:rsidR="005A0A34" w:rsidRPr="001404F8">
        <w:rPr>
          <w:rFonts w:cstheme="minorHAnsi"/>
          <w:bCs/>
          <w:sz w:val="22"/>
          <w:szCs w:val="22"/>
        </w:rPr>
        <w:t xml:space="preserve">lease refer to local guidance or </w:t>
      </w:r>
      <w:r w:rsidRPr="001404F8">
        <w:rPr>
          <w:rFonts w:cstheme="minorHAnsi"/>
          <w:bCs/>
          <w:sz w:val="22"/>
          <w:szCs w:val="22"/>
        </w:rPr>
        <w:t xml:space="preserve">the </w:t>
      </w:r>
      <w:proofErr w:type="spellStart"/>
      <w:r w:rsidR="001404F8" w:rsidRPr="001404F8">
        <w:rPr>
          <w:rFonts w:cstheme="minorHAnsi"/>
          <w:bCs/>
          <w:sz w:val="22"/>
          <w:szCs w:val="22"/>
        </w:rPr>
        <w:t>BNFc</w:t>
      </w:r>
      <w:proofErr w:type="spellEnd"/>
      <w:r w:rsidRPr="001404F8">
        <w:rPr>
          <w:rFonts w:cstheme="minorHAnsi"/>
          <w:bCs/>
          <w:sz w:val="22"/>
          <w:szCs w:val="22"/>
        </w:rPr>
        <w:t xml:space="preserve"> to guide the use of this treatment. </w:t>
      </w:r>
    </w:p>
    <w:p w14:paraId="56DDE150" w14:textId="77777777" w:rsidR="00C00DD6" w:rsidRPr="001404F8" w:rsidRDefault="00C00DD6" w:rsidP="003F494F">
      <w:pPr>
        <w:spacing w:line="360" w:lineRule="auto"/>
        <w:rPr>
          <w:rFonts w:cstheme="minorHAnsi"/>
          <w:b/>
          <w:sz w:val="22"/>
          <w:szCs w:val="22"/>
          <w:highlight w:val="yellow"/>
        </w:rPr>
      </w:pPr>
    </w:p>
    <w:p w14:paraId="34F04D0E" w14:textId="1937C0F4" w:rsidR="00C00DD6" w:rsidRPr="001404F8" w:rsidRDefault="001630D4" w:rsidP="003F494F">
      <w:pPr>
        <w:spacing w:line="360" w:lineRule="auto"/>
        <w:rPr>
          <w:rFonts w:cstheme="minorHAnsi"/>
          <w:b/>
          <w:sz w:val="22"/>
          <w:szCs w:val="22"/>
          <w:u w:val="single"/>
        </w:rPr>
      </w:pPr>
      <w:r w:rsidRPr="001404F8">
        <w:rPr>
          <w:rFonts w:cstheme="minorHAnsi"/>
          <w:b/>
          <w:sz w:val="22"/>
          <w:szCs w:val="22"/>
          <w:u w:val="single"/>
        </w:rPr>
        <w:t>M</w:t>
      </w:r>
      <w:r w:rsidR="000D5312" w:rsidRPr="001404F8">
        <w:rPr>
          <w:rFonts w:cstheme="minorHAnsi"/>
          <w:b/>
          <w:sz w:val="22"/>
          <w:szCs w:val="22"/>
          <w:u w:val="single"/>
        </w:rPr>
        <w:t>ycophenolate mofetil (</w:t>
      </w:r>
      <w:r w:rsidRPr="001404F8">
        <w:rPr>
          <w:rFonts w:cstheme="minorHAnsi"/>
          <w:b/>
          <w:sz w:val="22"/>
          <w:szCs w:val="22"/>
          <w:u w:val="single"/>
        </w:rPr>
        <w:t>M</w:t>
      </w:r>
      <w:r w:rsidR="000D5312" w:rsidRPr="001404F8">
        <w:rPr>
          <w:rFonts w:cstheme="minorHAnsi"/>
          <w:b/>
          <w:sz w:val="22"/>
          <w:szCs w:val="22"/>
          <w:u w:val="single"/>
        </w:rPr>
        <w:t>M</w:t>
      </w:r>
      <w:r w:rsidRPr="001404F8">
        <w:rPr>
          <w:rFonts w:cstheme="minorHAnsi"/>
          <w:b/>
          <w:sz w:val="22"/>
          <w:szCs w:val="22"/>
          <w:u w:val="single"/>
        </w:rPr>
        <w:t>F</w:t>
      </w:r>
      <w:r w:rsidR="000D5312" w:rsidRPr="001404F8">
        <w:rPr>
          <w:rFonts w:cstheme="minorHAnsi"/>
          <w:b/>
          <w:sz w:val="22"/>
          <w:szCs w:val="22"/>
          <w:u w:val="single"/>
        </w:rPr>
        <w:t>)</w:t>
      </w:r>
    </w:p>
    <w:p w14:paraId="300B1052" w14:textId="7B90F418" w:rsidR="00724887" w:rsidRPr="001404F8" w:rsidRDefault="00724887" w:rsidP="003F494F">
      <w:pPr>
        <w:spacing w:line="360" w:lineRule="auto"/>
        <w:jc w:val="both"/>
        <w:rPr>
          <w:sz w:val="22"/>
          <w:szCs w:val="22"/>
        </w:rPr>
      </w:pPr>
      <w:r w:rsidRPr="001404F8">
        <w:rPr>
          <w:rFonts w:eastAsia="Arial" w:cstheme="minorHAnsi"/>
          <w:color w:val="000000"/>
          <w:kern w:val="24"/>
          <w:sz w:val="22"/>
          <w:szCs w:val="22"/>
        </w:rPr>
        <w:t xml:space="preserve">Oral mycophenolate mofetil </w:t>
      </w:r>
      <w:r w:rsidR="000D5312" w:rsidRPr="001404F8">
        <w:rPr>
          <w:rFonts w:eastAsia="Arial" w:cstheme="minorHAnsi"/>
          <w:color w:val="000000"/>
          <w:kern w:val="24"/>
          <w:sz w:val="22"/>
          <w:szCs w:val="22"/>
        </w:rPr>
        <w:t xml:space="preserve">is </w:t>
      </w:r>
      <w:r w:rsidRPr="001404F8">
        <w:rPr>
          <w:rFonts w:eastAsia="Arial" w:cstheme="minorHAnsi"/>
          <w:color w:val="000000"/>
          <w:kern w:val="24"/>
          <w:sz w:val="22"/>
          <w:szCs w:val="22"/>
        </w:rPr>
        <w:t xml:space="preserve">taken twice a day </w:t>
      </w:r>
      <w:r w:rsidR="00FA6F67" w:rsidRPr="001404F8">
        <w:rPr>
          <w:rFonts w:eastAsia="Arial" w:cstheme="minorHAnsi"/>
          <w:color w:val="000000"/>
          <w:kern w:val="24"/>
          <w:sz w:val="22"/>
          <w:szCs w:val="22"/>
        </w:rPr>
        <w:t xml:space="preserve">with a daily </w:t>
      </w:r>
      <w:r w:rsidRPr="001404F8">
        <w:rPr>
          <w:rFonts w:eastAsia="Arial" w:cstheme="minorHAnsi"/>
          <w:color w:val="000000"/>
          <w:kern w:val="24"/>
          <w:sz w:val="22"/>
          <w:szCs w:val="22"/>
        </w:rPr>
        <w:t xml:space="preserve">starting </w:t>
      </w:r>
      <w:r w:rsidR="00FA6F67" w:rsidRPr="001404F8">
        <w:rPr>
          <w:rFonts w:eastAsia="Arial" w:cstheme="minorHAnsi"/>
          <w:color w:val="000000"/>
          <w:kern w:val="24"/>
          <w:sz w:val="22"/>
          <w:szCs w:val="22"/>
        </w:rPr>
        <w:t>dose of</w:t>
      </w:r>
      <w:r w:rsidRPr="001404F8">
        <w:rPr>
          <w:rFonts w:eastAsia="Arial" w:cstheme="minorHAnsi"/>
          <w:color w:val="000000"/>
          <w:kern w:val="24"/>
          <w:sz w:val="22"/>
          <w:szCs w:val="22"/>
        </w:rPr>
        <w:t xml:space="preserve"> 300mg/m</w:t>
      </w:r>
      <w:r w:rsidRPr="001404F8">
        <w:rPr>
          <w:rFonts w:eastAsia="Arial" w:cstheme="minorHAnsi"/>
          <w:color w:val="000000"/>
          <w:kern w:val="24"/>
          <w:sz w:val="22"/>
          <w:szCs w:val="22"/>
          <w:vertAlign w:val="superscript"/>
        </w:rPr>
        <w:t>2</w:t>
      </w:r>
      <w:r w:rsidRPr="001404F8">
        <w:rPr>
          <w:rFonts w:eastAsia="Arial" w:cstheme="minorHAnsi"/>
          <w:color w:val="000000"/>
          <w:kern w:val="24"/>
          <w:sz w:val="22"/>
          <w:szCs w:val="22"/>
        </w:rPr>
        <w:t xml:space="preserve"> </w:t>
      </w:r>
      <w:r w:rsidR="00FA6F67" w:rsidRPr="001404F8">
        <w:rPr>
          <w:rFonts w:eastAsia="Arial" w:cstheme="minorHAnsi"/>
          <w:color w:val="000000"/>
          <w:kern w:val="24"/>
          <w:sz w:val="22"/>
          <w:szCs w:val="22"/>
        </w:rPr>
        <w:t xml:space="preserve">that is usually taken </w:t>
      </w:r>
      <w:r w:rsidRPr="001404F8">
        <w:rPr>
          <w:rFonts w:eastAsia="Arial" w:cstheme="minorHAnsi"/>
          <w:color w:val="000000"/>
          <w:kern w:val="24"/>
          <w:sz w:val="22"/>
          <w:szCs w:val="22"/>
        </w:rPr>
        <w:t>for 1</w:t>
      </w:r>
      <w:r w:rsidR="00FA6F67" w:rsidRPr="001404F8">
        <w:rPr>
          <w:rFonts w:eastAsia="Arial" w:cstheme="minorHAnsi"/>
          <w:color w:val="000000"/>
          <w:kern w:val="24"/>
          <w:sz w:val="22"/>
          <w:szCs w:val="22"/>
        </w:rPr>
        <w:t>-2</w:t>
      </w:r>
      <w:r w:rsidRPr="001404F8">
        <w:rPr>
          <w:rFonts w:eastAsia="Arial" w:cstheme="minorHAnsi"/>
          <w:color w:val="000000"/>
          <w:kern w:val="24"/>
          <w:sz w:val="22"/>
          <w:szCs w:val="22"/>
        </w:rPr>
        <w:t xml:space="preserve"> week</w:t>
      </w:r>
      <w:r w:rsidR="00FA6F67" w:rsidRPr="001404F8">
        <w:rPr>
          <w:rFonts w:eastAsia="Arial" w:cstheme="minorHAnsi"/>
          <w:color w:val="000000"/>
          <w:kern w:val="24"/>
          <w:sz w:val="22"/>
          <w:szCs w:val="22"/>
        </w:rPr>
        <w:t>s</w:t>
      </w:r>
      <w:r w:rsidRPr="001404F8">
        <w:rPr>
          <w:rFonts w:eastAsia="Arial" w:cstheme="minorHAnsi"/>
          <w:color w:val="000000"/>
          <w:kern w:val="24"/>
          <w:sz w:val="22"/>
          <w:szCs w:val="22"/>
        </w:rPr>
        <w:t xml:space="preserve"> then </w:t>
      </w:r>
      <w:r w:rsidR="00FA6F67" w:rsidRPr="001404F8">
        <w:rPr>
          <w:rFonts w:eastAsia="Arial" w:cstheme="minorHAnsi"/>
          <w:color w:val="000000"/>
          <w:kern w:val="24"/>
          <w:sz w:val="22"/>
          <w:szCs w:val="22"/>
        </w:rPr>
        <w:t xml:space="preserve">the dose is </w:t>
      </w:r>
      <w:r w:rsidRPr="001404F8">
        <w:rPr>
          <w:rFonts w:eastAsia="Arial" w:cstheme="minorHAnsi"/>
          <w:color w:val="000000"/>
          <w:kern w:val="24"/>
          <w:sz w:val="22"/>
          <w:szCs w:val="22"/>
        </w:rPr>
        <w:t>increas</w:t>
      </w:r>
      <w:r w:rsidR="00FA6F67" w:rsidRPr="001404F8">
        <w:rPr>
          <w:rFonts w:eastAsia="Arial" w:cstheme="minorHAnsi"/>
          <w:color w:val="000000"/>
          <w:kern w:val="24"/>
          <w:sz w:val="22"/>
          <w:szCs w:val="22"/>
        </w:rPr>
        <w:t>ed</w:t>
      </w:r>
      <w:r w:rsidRPr="001404F8">
        <w:rPr>
          <w:rFonts w:eastAsia="Arial" w:cstheme="minorHAnsi"/>
          <w:color w:val="000000"/>
          <w:kern w:val="24"/>
          <w:sz w:val="22"/>
          <w:szCs w:val="22"/>
        </w:rPr>
        <w:t xml:space="preserve"> to 600mg/m</w:t>
      </w:r>
      <w:r w:rsidRPr="001404F8">
        <w:rPr>
          <w:rFonts w:eastAsia="Arial" w:cstheme="minorHAnsi"/>
          <w:color w:val="000000"/>
          <w:kern w:val="24"/>
          <w:sz w:val="22"/>
          <w:szCs w:val="22"/>
          <w:vertAlign w:val="superscript"/>
        </w:rPr>
        <w:t>2</w:t>
      </w:r>
      <w:r w:rsidRPr="001404F8">
        <w:rPr>
          <w:rFonts w:eastAsia="Arial" w:cstheme="minorHAnsi"/>
          <w:color w:val="000000"/>
          <w:kern w:val="24"/>
          <w:sz w:val="22"/>
          <w:szCs w:val="22"/>
        </w:rPr>
        <w:t xml:space="preserve"> per day from day 8</w:t>
      </w:r>
      <w:r w:rsidR="00FA6F67" w:rsidRPr="001404F8">
        <w:rPr>
          <w:rFonts w:eastAsia="Arial" w:cstheme="minorHAnsi"/>
          <w:color w:val="000000"/>
          <w:kern w:val="24"/>
          <w:sz w:val="22"/>
          <w:szCs w:val="22"/>
        </w:rPr>
        <w:t xml:space="preserve"> if the treatment is tolerated</w:t>
      </w:r>
      <w:r w:rsidRPr="001404F8">
        <w:rPr>
          <w:rFonts w:eastAsia="Arial" w:cstheme="minorHAnsi"/>
          <w:color w:val="000000"/>
          <w:kern w:val="24"/>
          <w:sz w:val="22"/>
          <w:szCs w:val="22"/>
        </w:rPr>
        <w:t xml:space="preserve">. </w:t>
      </w:r>
      <w:r w:rsidR="00FA6F67" w:rsidRPr="001404F8">
        <w:rPr>
          <w:sz w:val="22"/>
          <w:szCs w:val="22"/>
        </w:rPr>
        <w:t xml:space="preserve">If the </w:t>
      </w:r>
      <w:proofErr w:type="spellStart"/>
      <w:r w:rsidR="00FA6F67" w:rsidRPr="001404F8">
        <w:rPr>
          <w:sz w:val="22"/>
          <w:szCs w:val="22"/>
        </w:rPr>
        <w:t>gastrointerestinal</w:t>
      </w:r>
      <w:proofErr w:type="spellEnd"/>
      <w:r w:rsidR="00FA6F67" w:rsidRPr="001404F8">
        <w:rPr>
          <w:sz w:val="22"/>
          <w:szCs w:val="22"/>
        </w:rPr>
        <w:t xml:space="preserve"> side effects make the treatment intolerant, consider the use of Mycophenolic acid (360mg of mycophenolic acid is equivalent to 500mg of MMF).  The treatment needs m</w:t>
      </w:r>
      <w:r w:rsidRPr="001404F8">
        <w:rPr>
          <w:sz w:val="22"/>
          <w:szCs w:val="22"/>
        </w:rPr>
        <w:t>onitor</w:t>
      </w:r>
      <w:r w:rsidR="00FA6F67" w:rsidRPr="001404F8">
        <w:rPr>
          <w:sz w:val="22"/>
          <w:szCs w:val="22"/>
        </w:rPr>
        <w:t xml:space="preserve">ing of full blood count and liver function tests that should </w:t>
      </w:r>
      <w:proofErr w:type="gramStart"/>
      <w:r w:rsidR="00FA6F67" w:rsidRPr="001404F8">
        <w:rPr>
          <w:sz w:val="22"/>
          <w:szCs w:val="22"/>
        </w:rPr>
        <w:t xml:space="preserve">be </w:t>
      </w:r>
      <w:r w:rsidRPr="001404F8">
        <w:rPr>
          <w:sz w:val="22"/>
          <w:szCs w:val="22"/>
        </w:rPr>
        <w:t xml:space="preserve"> </w:t>
      </w:r>
      <w:r w:rsidR="00FA6F67" w:rsidRPr="001404F8">
        <w:rPr>
          <w:sz w:val="22"/>
          <w:szCs w:val="22"/>
        </w:rPr>
        <w:t>1</w:t>
      </w:r>
      <w:proofErr w:type="gramEnd"/>
      <w:r w:rsidR="00FA6F67" w:rsidRPr="001404F8">
        <w:rPr>
          <w:sz w:val="22"/>
          <w:szCs w:val="22"/>
        </w:rPr>
        <w:t xml:space="preserve">-2 weekly after starting then a month later and eventually </w:t>
      </w:r>
      <w:r w:rsidRPr="001404F8">
        <w:rPr>
          <w:sz w:val="22"/>
          <w:szCs w:val="22"/>
        </w:rPr>
        <w:t xml:space="preserve">every </w:t>
      </w:r>
      <w:r w:rsidR="005A0A34" w:rsidRPr="001404F8">
        <w:rPr>
          <w:sz w:val="22"/>
          <w:szCs w:val="22"/>
        </w:rPr>
        <w:t>3-4</w:t>
      </w:r>
      <w:r w:rsidRPr="001404F8">
        <w:rPr>
          <w:sz w:val="22"/>
          <w:szCs w:val="22"/>
        </w:rPr>
        <w:t xml:space="preserve"> month</w:t>
      </w:r>
      <w:r w:rsidR="00FA6F67" w:rsidRPr="001404F8">
        <w:rPr>
          <w:sz w:val="22"/>
          <w:szCs w:val="22"/>
        </w:rPr>
        <w:t>s whilst on treatment</w:t>
      </w:r>
      <w:r w:rsidRPr="001404F8">
        <w:rPr>
          <w:sz w:val="22"/>
          <w:szCs w:val="22"/>
        </w:rPr>
        <w:t xml:space="preserve">. </w:t>
      </w:r>
    </w:p>
    <w:p w14:paraId="24828815" w14:textId="77777777" w:rsidR="00724887" w:rsidRPr="001404F8" w:rsidRDefault="00724887" w:rsidP="001404F8">
      <w:pPr>
        <w:spacing w:line="360" w:lineRule="auto"/>
        <w:jc w:val="both"/>
        <w:rPr>
          <w:rFonts w:cstheme="minorHAnsi"/>
          <w:b/>
          <w:sz w:val="22"/>
          <w:szCs w:val="22"/>
          <w:highlight w:val="yellow"/>
        </w:rPr>
      </w:pPr>
    </w:p>
    <w:p w14:paraId="5694D453" w14:textId="77777777" w:rsidR="00C00DD6" w:rsidRPr="001404F8" w:rsidRDefault="001630D4" w:rsidP="001404F8">
      <w:pPr>
        <w:spacing w:line="360" w:lineRule="auto"/>
        <w:jc w:val="both"/>
        <w:rPr>
          <w:rFonts w:cstheme="minorHAnsi"/>
          <w:b/>
          <w:sz w:val="22"/>
          <w:szCs w:val="22"/>
          <w:u w:val="single"/>
        </w:rPr>
      </w:pPr>
      <w:r w:rsidRPr="001404F8">
        <w:rPr>
          <w:rFonts w:cstheme="minorHAnsi"/>
          <w:b/>
          <w:sz w:val="22"/>
          <w:szCs w:val="22"/>
          <w:u w:val="single"/>
        </w:rPr>
        <w:t>Levamisole</w:t>
      </w:r>
    </w:p>
    <w:p w14:paraId="6F8EEE57" w14:textId="3B39597C" w:rsidR="003E3265" w:rsidRDefault="00FA6F67" w:rsidP="00822870">
      <w:pPr>
        <w:spacing w:line="360" w:lineRule="auto"/>
        <w:jc w:val="both"/>
        <w:textAlignment w:val="baseline"/>
        <w:rPr>
          <w:rFonts w:cstheme="minorHAnsi"/>
          <w:b/>
          <w:sz w:val="22"/>
          <w:szCs w:val="22"/>
        </w:rPr>
      </w:pPr>
      <w:r w:rsidRPr="001404F8">
        <w:rPr>
          <w:rFonts w:ascii="Calibri" w:eastAsia="Times New Roman" w:hAnsi="Calibri" w:cs="Calibri"/>
          <w:iCs/>
          <w:color w:val="000000"/>
          <w:sz w:val="22"/>
          <w:szCs w:val="22"/>
        </w:rPr>
        <w:t xml:space="preserve">The dose of levamisole is </w:t>
      </w:r>
      <w:r w:rsidR="006A4EFD" w:rsidRPr="001404F8">
        <w:rPr>
          <w:rFonts w:ascii="Calibri" w:eastAsia="Times New Roman" w:hAnsi="Calibri" w:cs="Calibri"/>
          <w:iCs/>
          <w:color w:val="000000"/>
          <w:sz w:val="22"/>
          <w:szCs w:val="22"/>
        </w:rPr>
        <w:t>2–2.5 mg/kg given on alternate days (with maximum dose of 150 mg)</w:t>
      </w:r>
      <w:r w:rsidRPr="001404F8">
        <w:rPr>
          <w:rFonts w:ascii="Calibri" w:eastAsia="Times New Roman" w:hAnsi="Calibri" w:cs="Calibri"/>
          <w:iCs/>
          <w:color w:val="000000"/>
          <w:sz w:val="22"/>
          <w:szCs w:val="22"/>
        </w:rPr>
        <w:t xml:space="preserve">. Due to the potential risk of new </w:t>
      </w:r>
      <w:r w:rsidR="001404F8">
        <w:rPr>
          <w:rFonts w:ascii="Calibri" w:eastAsia="Times New Roman" w:hAnsi="Calibri" w:cs="Calibri"/>
          <w:iCs/>
          <w:color w:val="000000"/>
          <w:sz w:val="22"/>
          <w:szCs w:val="22"/>
        </w:rPr>
        <w:t xml:space="preserve">ANCA </w:t>
      </w:r>
      <w:r w:rsidRPr="001404F8">
        <w:rPr>
          <w:rFonts w:ascii="Calibri" w:eastAsia="Times New Roman" w:hAnsi="Calibri" w:cs="Calibri"/>
          <w:iCs/>
          <w:color w:val="000000"/>
          <w:sz w:val="22"/>
          <w:szCs w:val="22"/>
        </w:rPr>
        <w:t>antibodies associa</w:t>
      </w:r>
      <w:r w:rsidR="001404F8">
        <w:rPr>
          <w:rFonts w:ascii="Calibri" w:eastAsia="Times New Roman" w:hAnsi="Calibri" w:cs="Calibri"/>
          <w:iCs/>
          <w:color w:val="000000"/>
          <w:sz w:val="22"/>
          <w:szCs w:val="22"/>
        </w:rPr>
        <w:t>ted</w:t>
      </w:r>
      <w:r w:rsidRPr="001404F8">
        <w:rPr>
          <w:rFonts w:ascii="Calibri" w:eastAsia="Times New Roman" w:hAnsi="Calibri" w:cs="Calibri"/>
          <w:iCs/>
          <w:color w:val="000000"/>
          <w:sz w:val="22"/>
          <w:szCs w:val="22"/>
        </w:rPr>
        <w:t xml:space="preserve"> with long term use, c</w:t>
      </w:r>
      <w:r w:rsidR="005A0A34" w:rsidRPr="001404F8">
        <w:rPr>
          <w:rFonts w:ascii="Calibri" w:eastAsia="Times New Roman" w:hAnsi="Calibri" w:cs="Calibri"/>
          <w:iCs/>
          <w:color w:val="000000"/>
          <w:sz w:val="22"/>
          <w:szCs w:val="22"/>
        </w:rPr>
        <w:t xml:space="preserve">onsider measuring ANCA titres </w:t>
      </w:r>
      <w:r w:rsidR="006A4EFD" w:rsidRPr="001404F8">
        <w:rPr>
          <w:rFonts w:ascii="Calibri" w:eastAsia="Times New Roman" w:hAnsi="Calibri" w:cs="Calibri"/>
          <w:iCs/>
          <w:color w:val="000000"/>
          <w:sz w:val="22"/>
          <w:szCs w:val="22"/>
        </w:rPr>
        <w:t>every 6–12 months</w:t>
      </w:r>
      <w:r w:rsidR="001404F8">
        <w:rPr>
          <w:rFonts w:ascii="Calibri" w:eastAsia="Times New Roman" w:hAnsi="Calibri" w:cs="Calibri"/>
          <w:iCs/>
          <w:color w:val="000000"/>
          <w:sz w:val="22"/>
          <w:szCs w:val="22"/>
        </w:rPr>
        <w:t>. Patients n</w:t>
      </w:r>
      <w:r w:rsidR="006A4EFD" w:rsidRPr="001404F8">
        <w:rPr>
          <w:rFonts w:ascii="Calibri" w:eastAsia="Times New Roman" w:hAnsi="Calibri" w:cs="Calibri"/>
          <w:iCs/>
          <w:color w:val="000000"/>
          <w:sz w:val="22"/>
          <w:szCs w:val="22"/>
        </w:rPr>
        <w:t>eed</w:t>
      </w:r>
      <w:r w:rsidR="001404F8">
        <w:rPr>
          <w:rFonts w:ascii="Calibri" w:eastAsia="Times New Roman" w:hAnsi="Calibri" w:cs="Calibri"/>
          <w:iCs/>
          <w:color w:val="000000"/>
          <w:sz w:val="22"/>
          <w:szCs w:val="22"/>
        </w:rPr>
        <w:t xml:space="preserve"> </w:t>
      </w:r>
      <w:r w:rsidR="006A4EFD" w:rsidRPr="001404F8">
        <w:rPr>
          <w:rFonts w:ascii="Calibri" w:eastAsia="Times New Roman" w:hAnsi="Calibri" w:cs="Calibri"/>
          <w:iCs/>
          <w:color w:val="000000"/>
          <w:sz w:val="22"/>
          <w:szCs w:val="22"/>
        </w:rPr>
        <w:t>to be seen every 3-4</w:t>
      </w:r>
      <w:r w:rsidR="0018278F" w:rsidRPr="001404F8">
        <w:rPr>
          <w:rFonts w:ascii="Calibri" w:eastAsia="Times New Roman" w:hAnsi="Calibri" w:cs="Calibri"/>
          <w:iCs/>
          <w:color w:val="000000"/>
          <w:sz w:val="22"/>
          <w:szCs w:val="22"/>
        </w:rPr>
        <w:t xml:space="preserve"> </w:t>
      </w:r>
      <w:r w:rsidR="006A4EFD" w:rsidRPr="001404F8">
        <w:rPr>
          <w:rFonts w:ascii="Calibri" w:eastAsia="Times New Roman" w:hAnsi="Calibri" w:cs="Calibri"/>
          <w:iCs/>
          <w:color w:val="000000"/>
          <w:sz w:val="22"/>
          <w:szCs w:val="22"/>
        </w:rPr>
        <w:t xml:space="preserve">months for monitoring clinically and measuring </w:t>
      </w:r>
      <w:r w:rsidR="001404F8">
        <w:rPr>
          <w:rFonts w:ascii="Calibri" w:eastAsia="Times New Roman" w:hAnsi="Calibri" w:cs="Calibri"/>
          <w:iCs/>
          <w:color w:val="000000"/>
          <w:sz w:val="22"/>
          <w:szCs w:val="22"/>
        </w:rPr>
        <w:t>full</w:t>
      </w:r>
      <w:r w:rsidR="006A4EFD" w:rsidRPr="001404F8">
        <w:rPr>
          <w:rFonts w:ascii="Calibri" w:eastAsia="Times New Roman" w:hAnsi="Calibri" w:cs="Calibri"/>
          <w:iCs/>
          <w:color w:val="000000"/>
          <w:sz w:val="22"/>
          <w:szCs w:val="22"/>
        </w:rPr>
        <w:t xml:space="preserve"> blood count and hepatic transaminases.</w:t>
      </w:r>
      <w:r w:rsidR="001404F8">
        <w:rPr>
          <w:rFonts w:ascii="Calibri" w:eastAsia="Times New Roman" w:hAnsi="Calibri" w:cs="Calibri"/>
          <w:iCs/>
          <w:color w:val="000000"/>
          <w:sz w:val="22"/>
          <w:szCs w:val="22"/>
        </w:rPr>
        <w:t xml:space="preserve"> The drug </w:t>
      </w:r>
      <w:r w:rsidR="001404F8">
        <w:rPr>
          <w:rFonts w:ascii="Calibri" w:eastAsia="Times New Roman" w:hAnsi="Calibri" w:cs="Calibri"/>
          <w:color w:val="000000"/>
          <w:sz w:val="22"/>
          <w:szCs w:val="22"/>
        </w:rPr>
        <w:t>m</w:t>
      </w:r>
      <w:r w:rsidR="0018278F" w:rsidRPr="001404F8">
        <w:rPr>
          <w:rFonts w:ascii="Calibri" w:eastAsia="Times New Roman" w:hAnsi="Calibri" w:cs="Calibri"/>
          <w:color w:val="000000"/>
          <w:sz w:val="22"/>
          <w:szCs w:val="22"/>
        </w:rPr>
        <w:t xml:space="preserve">ay increase the serum creatinine through </w:t>
      </w:r>
      <w:proofErr w:type="spellStart"/>
      <w:proofErr w:type="gramStart"/>
      <w:r w:rsidR="0018278F" w:rsidRPr="001404F8">
        <w:rPr>
          <w:rFonts w:ascii="Calibri" w:eastAsia="Times New Roman" w:hAnsi="Calibri" w:cs="Calibri"/>
          <w:color w:val="000000"/>
          <w:sz w:val="22"/>
          <w:szCs w:val="22"/>
        </w:rPr>
        <w:t>it’s</w:t>
      </w:r>
      <w:proofErr w:type="spellEnd"/>
      <w:proofErr w:type="gramEnd"/>
      <w:r w:rsidR="0018278F" w:rsidRPr="001404F8">
        <w:rPr>
          <w:rFonts w:ascii="Calibri" w:eastAsia="Times New Roman" w:hAnsi="Calibri" w:cs="Calibri"/>
          <w:color w:val="000000"/>
          <w:sz w:val="22"/>
          <w:szCs w:val="22"/>
        </w:rPr>
        <w:t xml:space="preserve"> effect on tubular secretion</w:t>
      </w:r>
      <w:r w:rsidR="001404F8">
        <w:rPr>
          <w:rFonts w:ascii="Calibri" w:eastAsia="Times New Roman" w:hAnsi="Calibri" w:cs="Calibri"/>
          <w:color w:val="000000"/>
          <w:sz w:val="22"/>
          <w:szCs w:val="22"/>
        </w:rPr>
        <w:t>.</w:t>
      </w:r>
    </w:p>
    <w:p w14:paraId="1A6C78E5" w14:textId="058EE19C" w:rsidR="003E3265" w:rsidRPr="00117750" w:rsidRDefault="001630D4" w:rsidP="003F494F">
      <w:pPr>
        <w:spacing w:line="360" w:lineRule="auto"/>
        <w:rPr>
          <w:rFonts w:cstheme="minorHAnsi"/>
          <w:b/>
          <w:sz w:val="22"/>
          <w:szCs w:val="22"/>
        </w:rPr>
      </w:pPr>
      <w:r>
        <w:rPr>
          <w:rFonts w:cstheme="minorHAnsi"/>
          <w:b/>
          <w:sz w:val="22"/>
          <w:szCs w:val="22"/>
        </w:rPr>
        <w:br w:type="page"/>
      </w:r>
      <w:r w:rsidRPr="00117750">
        <w:rPr>
          <w:rFonts w:cstheme="minorHAnsi"/>
          <w:b/>
          <w:sz w:val="22"/>
          <w:szCs w:val="22"/>
        </w:rPr>
        <w:lastRenderedPageBreak/>
        <w:t xml:space="preserve">Appendix </w:t>
      </w:r>
      <w:r>
        <w:rPr>
          <w:rFonts w:cstheme="minorHAnsi"/>
          <w:b/>
          <w:sz w:val="22"/>
          <w:szCs w:val="22"/>
        </w:rPr>
        <w:t>2</w:t>
      </w:r>
      <w:r w:rsidRPr="00117750">
        <w:rPr>
          <w:rFonts w:cstheme="minorHAnsi"/>
          <w:b/>
          <w:sz w:val="22"/>
          <w:szCs w:val="22"/>
        </w:rPr>
        <w:t>: Proteinuria measurements conversion table (taken from KDIGO</w:t>
      </w:r>
      <w:r w:rsidR="00B22302">
        <w:rPr>
          <w:rFonts w:cstheme="minorHAnsi"/>
          <w:b/>
          <w:sz w:val="22"/>
          <w:szCs w:val="22"/>
        </w:rPr>
        <w:t xml:space="preserve"> </w:t>
      </w:r>
      <w:r w:rsidR="003F494F">
        <w:rPr>
          <w:rFonts w:cstheme="minorHAnsi"/>
          <w:b/>
          <w:sz w:val="22"/>
          <w:szCs w:val="22"/>
        </w:rPr>
        <w:fldChar w:fldCharType="begin"/>
      </w:r>
      <w:r w:rsidR="00642970">
        <w:rPr>
          <w:rFonts w:cstheme="minorHAnsi"/>
          <w:b/>
          <w:sz w:val="22"/>
          <w:szCs w:val="22"/>
        </w:rPr>
        <w:instrText xml:space="preserve"> ADDIN ZOTERO_ITEM CSL_CITATION {"citationID":"9theeLCE","properties":{"formattedCitation":"(5)","plainCitation":"(5)","noteIndex":0},"citationItems":[{"id":11,"uris":["http://zotero.org/users/local/lvPLY4Gu/items/PZVAFVT2"],"itemData":{"id":11,"type":"article-journal","container-title":"Kidney International","DOI":"10.1016/j.kint.2021.05.021","ISSN":"1523-1755","issue":"4S","journalAbbreviation":"Kidney Int","language":"eng","note":"PMID: 34556256","page":"S1-S276","source":"PubMed","title":"KDIGO 2021 Clinical Practice Guideline for the Management of Glomerular Diseases","volume":"100","author":[{"literal":"Kidney Disease: Improving Global Outcomes (KDIGO) Glomerular Diseases Work Group"}],"issued":{"date-parts":[["2021",10]]}}}],"schema":"https://github.com/citation-style-language/schema/raw/master/csl-citation.json"} </w:instrText>
      </w:r>
      <w:r w:rsidR="003F494F">
        <w:rPr>
          <w:rFonts w:cstheme="minorHAnsi"/>
          <w:b/>
          <w:sz w:val="22"/>
          <w:szCs w:val="22"/>
        </w:rPr>
        <w:fldChar w:fldCharType="separate"/>
      </w:r>
      <w:r w:rsidR="00642970">
        <w:rPr>
          <w:rFonts w:cstheme="minorHAnsi"/>
          <w:b/>
          <w:noProof/>
          <w:sz w:val="22"/>
          <w:szCs w:val="22"/>
        </w:rPr>
        <w:t>(5)</w:t>
      </w:r>
      <w:r w:rsidR="003F494F">
        <w:rPr>
          <w:rFonts w:cstheme="minorHAnsi"/>
          <w:b/>
          <w:sz w:val="22"/>
          <w:szCs w:val="22"/>
        </w:rPr>
        <w:fldChar w:fldCharType="end"/>
      </w:r>
      <w:r w:rsidRPr="00117750">
        <w:rPr>
          <w:rFonts w:cstheme="minorHAnsi"/>
          <w:b/>
          <w:sz w:val="22"/>
          <w:szCs w:val="22"/>
        </w:rPr>
        <w:t>)</w:t>
      </w:r>
    </w:p>
    <w:tbl>
      <w:tblPr>
        <w:tblStyle w:val="TableGrid"/>
        <w:tblW w:w="0" w:type="auto"/>
        <w:jc w:val="center"/>
        <w:tblLook w:val="04A0" w:firstRow="1" w:lastRow="0" w:firstColumn="1" w:lastColumn="0" w:noHBand="0" w:noVBand="1"/>
      </w:tblPr>
      <w:tblGrid>
        <w:gridCol w:w="2405"/>
        <w:gridCol w:w="2103"/>
        <w:gridCol w:w="2254"/>
        <w:gridCol w:w="2254"/>
      </w:tblGrid>
      <w:tr w:rsidR="00837E18" w14:paraId="6A1644DA" w14:textId="77777777" w:rsidTr="003F494F">
        <w:trPr>
          <w:jc w:val="center"/>
        </w:trPr>
        <w:tc>
          <w:tcPr>
            <w:tcW w:w="2405" w:type="dxa"/>
          </w:tcPr>
          <w:p w14:paraId="4E66A6EF" w14:textId="77777777" w:rsidR="003E3265" w:rsidRPr="00117750" w:rsidRDefault="003E3265" w:rsidP="003F494F">
            <w:pPr>
              <w:spacing w:line="360" w:lineRule="auto"/>
              <w:rPr>
                <w:rFonts w:cstheme="minorHAnsi"/>
                <w:sz w:val="22"/>
                <w:szCs w:val="22"/>
              </w:rPr>
            </w:pPr>
          </w:p>
        </w:tc>
        <w:tc>
          <w:tcPr>
            <w:tcW w:w="2103" w:type="dxa"/>
          </w:tcPr>
          <w:p w14:paraId="531EEC13" w14:textId="77777777" w:rsidR="003E3265" w:rsidRPr="00117750" w:rsidRDefault="001630D4" w:rsidP="003F494F">
            <w:pPr>
              <w:spacing w:line="360" w:lineRule="auto"/>
              <w:jc w:val="center"/>
              <w:rPr>
                <w:rFonts w:cstheme="minorHAnsi"/>
                <w:b/>
                <w:sz w:val="22"/>
                <w:szCs w:val="22"/>
              </w:rPr>
            </w:pPr>
            <w:r w:rsidRPr="00117750">
              <w:rPr>
                <w:rFonts w:cstheme="minorHAnsi"/>
                <w:b/>
                <w:sz w:val="22"/>
                <w:szCs w:val="22"/>
              </w:rPr>
              <w:t>Conventional unit</w:t>
            </w:r>
          </w:p>
        </w:tc>
        <w:tc>
          <w:tcPr>
            <w:tcW w:w="2254" w:type="dxa"/>
          </w:tcPr>
          <w:p w14:paraId="64537928" w14:textId="77777777" w:rsidR="003E3265" w:rsidRPr="00117750" w:rsidRDefault="001630D4" w:rsidP="003F494F">
            <w:pPr>
              <w:spacing w:line="360" w:lineRule="auto"/>
              <w:jc w:val="center"/>
              <w:rPr>
                <w:rFonts w:cstheme="minorHAnsi"/>
                <w:b/>
                <w:sz w:val="22"/>
                <w:szCs w:val="22"/>
              </w:rPr>
            </w:pPr>
            <w:r w:rsidRPr="00117750">
              <w:rPr>
                <w:rFonts w:cstheme="minorHAnsi"/>
                <w:b/>
                <w:sz w:val="22"/>
                <w:szCs w:val="22"/>
              </w:rPr>
              <w:t>Conversion factor</w:t>
            </w:r>
          </w:p>
        </w:tc>
        <w:tc>
          <w:tcPr>
            <w:tcW w:w="2254" w:type="dxa"/>
          </w:tcPr>
          <w:p w14:paraId="715BCEB7" w14:textId="77777777" w:rsidR="003E3265" w:rsidRPr="00117750" w:rsidRDefault="001630D4" w:rsidP="003F494F">
            <w:pPr>
              <w:spacing w:line="360" w:lineRule="auto"/>
              <w:jc w:val="center"/>
              <w:rPr>
                <w:rFonts w:cstheme="minorHAnsi"/>
                <w:b/>
                <w:sz w:val="22"/>
                <w:szCs w:val="22"/>
              </w:rPr>
            </w:pPr>
            <w:r w:rsidRPr="00117750">
              <w:rPr>
                <w:rFonts w:cstheme="minorHAnsi"/>
                <w:b/>
                <w:sz w:val="22"/>
                <w:szCs w:val="22"/>
              </w:rPr>
              <w:t>SI unit</w:t>
            </w:r>
          </w:p>
        </w:tc>
      </w:tr>
      <w:tr w:rsidR="00837E18" w14:paraId="6277C94D" w14:textId="77777777" w:rsidTr="003F494F">
        <w:trPr>
          <w:jc w:val="center"/>
        </w:trPr>
        <w:tc>
          <w:tcPr>
            <w:tcW w:w="2405" w:type="dxa"/>
          </w:tcPr>
          <w:p w14:paraId="735C617E" w14:textId="77777777" w:rsidR="003E3265" w:rsidRPr="00117750" w:rsidRDefault="001630D4" w:rsidP="003F494F">
            <w:pPr>
              <w:spacing w:line="360" w:lineRule="auto"/>
              <w:rPr>
                <w:rFonts w:cstheme="minorHAnsi"/>
                <w:sz w:val="22"/>
                <w:szCs w:val="22"/>
              </w:rPr>
            </w:pPr>
            <w:r w:rsidRPr="00117750">
              <w:rPr>
                <w:rFonts w:cstheme="minorHAnsi"/>
                <w:sz w:val="22"/>
                <w:szCs w:val="22"/>
              </w:rPr>
              <w:t>Protein-creatinine ratio</w:t>
            </w:r>
          </w:p>
        </w:tc>
        <w:tc>
          <w:tcPr>
            <w:tcW w:w="2103" w:type="dxa"/>
          </w:tcPr>
          <w:p w14:paraId="3A151A1B" w14:textId="77777777" w:rsidR="003E3265" w:rsidRPr="00117750" w:rsidRDefault="001630D4" w:rsidP="003F494F">
            <w:pPr>
              <w:spacing w:line="360" w:lineRule="auto"/>
              <w:jc w:val="center"/>
              <w:rPr>
                <w:rFonts w:cstheme="minorHAnsi"/>
                <w:sz w:val="22"/>
                <w:szCs w:val="22"/>
              </w:rPr>
            </w:pPr>
            <w:r w:rsidRPr="00117750">
              <w:rPr>
                <w:rFonts w:cstheme="minorHAnsi"/>
                <w:sz w:val="22"/>
                <w:szCs w:val="22"/>
              </w:rPr>
              <w:t>mg/g</w:t>
            </w:r>
          </w:p>
        </w:tc>
        <w:tc>
          <w:tcPr>
            <w:tcW w:w="2254" w:type="dxa"/>
          </w:tcPr>
          <w:p w14:paraId="569756E6" w14:textId="77777777" w:rsidR="003E3265" w:rsidRPr="00117750" w:rsidRDefault="001630D4" w:rsidP="003F494F">
            <w:pPr>
              <w:spacing w:line="360" w:lineRule="auto"/>
              <w:jc w:val="center"/>
              <w:rPr>
                <w:rFonts w:cstheme="minorHAnsi"/>
                <w:sz w:val="22"/>
                <w:szCs w:val="22"/>
              </w:rPr>
            </w:pPr>
            <w:r w:rsidRPr="00117750">
              <w:rPr>
                <w:rFonts w:cstheme="minorHAnsi"/>
                <w:sz w:val="22"/>
                <w:szCs w:val="22"/>
              </w:rPr>
              <w:t>0.113</w:t>
            </w:r>
          </w:p>
        </w:tc>
        <w:tc>
          <w:tcPr>
            <w:tcW w:w="2254" w:type="dxa"/>
          </w:tcPr>
          <w:p w14:paraId="06ED8E46" w14:textId="77777777" w:rsidR="003E3265" w:rsidRPr="00117750" w:rsidRDefault="001630D4" w:rsidP="003F494F">
            <w:pPr>
              <w:spacing w:line="360" w:lineRule="auto"/>
              <w:jc w:val="center"/>
              <w:rPr>
                <w:rFonts w:cstheme="minorHAnsi"/>
                <w:sz w:val="22"/>
                <w:szCs w:val="22"/>
              </w:rPr>
            </w:pPr>
            <w:r w:rsidRPr="00117750">
              <w:rPr>
                <w:rFonts w:cstheme="minorHAnsi"/>
                <w:sz w:val="22"/>
                <w:szCs w:val="22"/>
              </w:rPr>
              <w:t>mg/mmol</w:t>
            </w:r>
          </w:p>
        </w:tc>
      </w:tr>
    </w:tbl>
    <w:p w14:paraId="28727FD1" w14:textId="77777777" w:rsidR="003E3265" w:rsidRDefault="001630D4" w:rsidP="003F494F">
      <w:pPr>
        <w:spacing w:line="360" w:lineRule="auto"/>
        <w:rPr>
          <w:rFonts w:cstheme="minorHAnsi"/>
          <w:i/>
          <w:sz w:val="22"/>
          <w:szCs w:val="22"/>
        </w:rPr>
      </w:pPr>
      <w:r w:rsidRPr="00117750">
        <w:rPr>
          <w:rFonts w:cstheme="minorHAnsi"/>
          <w:i/>
          <w:sz w:val="22"/>
          <w:szCs w:val="22"/>
        </w:rPr>
        <w:t xml:space="preserve">Conventional unit x conversion factor = SI unit. </w:t>
      </w:r>
    </w:p>
    <w:p w14:paraId="64EBAF7E" w14:textId="77777777" w:rsidR="003F494F" w:rsidRPr="00117750" w:rsidRDefault="003F494F" w:rsidP="003F494F">
      <w:pPr>
        <w:spacing w:line="360" w:lineRule="auto"/>
        <w:rPr>
          <w:rFonts w:cstheme="minorHAnsi"/>
          <w:i/>
          <w:sz w:val="22"/>
          <w:szCs w:val="22"/>
        </w:rPr>
      </w:pPr>
    </w:p>
    <w:tbl>
      <w:tblPr>
        <w:tblStyle w:val="TableGrid"/>
        <w:tblW w:w="0" w:type="auto"/>
        <w:jc w:val="center"/>
        <w:tblLook w:val="04A0" w:firstRow="1" w:lastRow="0" w:firstColumn="1" w:lastColumn="0" w:noHBand="0" w:noVBand="1"/>
      </w:tblPr>
      <w:tblGrid>
        <w:gridCol w:w="2254"/>
        <w:gridCol w:w="2254"/>
        <w:gridCol w:w="2254"/>
        <w:gridCol w:w="2254"/>
      </w:tblGrid>
      <w:tr w:rsidR="00837E18" w14:paraId="7B217508" w14:textId="77777777" w:rsidTr="003F494F">
        <w:trPr>
          <w:jc w:val="center"/>
        </w:trPr>
        <w:tc>
          <w:tcPr>
            <w:tcW w:w="2254" w:type="dxa"/>
          </w:tcPr>
          <w:p w14:paraId="621AB3FA" w14:textId="77777777" w:rsidR="003E3265" w:rsidRPr="003F494F" w:rsidRDefault="001630D4" w:rsidP="003F494F">
            <w:pPr>
              <w:spacing w:line="360" w:lineRule="auto"/>
              <w:jc w:val="center"/>
              <w:rPr>
                <w:rFonts w:cstheme="minorHAnsi"/>
                <w:b/>
                <w:bCs/>
                <w:sz w:val="22"/>
                <w:szCs w:val="22"/>
              </w:rPr>
            </w:pPr>
            <w:r w:rsidRPr="003F494F">
              <w:rPr>
                <w:rFonts w:cstheme="minorHAnsi"/>
                <w:b/>
                <w:bCs/>
                <w:sz w:val="22"/>
                <w:szCs w:val="22"/>
              </w:rPr>
              <w:t>Measure</w:t>
            </w:r>
          </w:p>
        </w:tc>
        <w:tc>
          <w:tcPr>
            <w:tcW w:w="2254" w:type="dxa"/>
          </w:tcPr>
          <w:p w14:paraId="357755DD" w14:textId="07616961" w:rsidR="003E3265" w:rsidRPr="003F494F" w:rsidRDefault="001630D4" w:rsidP="003F494F">
            <w:pPr>
              <w:spacing w:line="360" w:lineRule="auto"/>
              <w:jc w:val="center"/>
              <w:rPr>
                <w:rFonts w:cstheme="minorHAnsi"/>
                <w:b/>
                <w:bCs/>
                <w:sz w:val="22"/>
                <w:szCs w:val="22"/>
              </w:rPr>
            </w:pPr>
            <w:r w:rsidRPr="003F494F">
              <w:rPr>
                <w:rFonts w:cstheme="minorHAnsi"/>
                <w:b/>
                <w:bCs/>
                <w:sz w:val="22"/>
                <w:szCs w:val="22"/>
              </w:rPr>
              <w:t>Normal to mildly increased</w:t>
            </w:r>
          </w:p>
        </w:tc>
        <w:tc>
          <w:tcPr>
            <w:tcW w:w="2254" w:type="dxa"/>
          </w:tcPr>
          <w:p w14:paraId="3E25C32C" w14:textId="77777777" w:rsidR="003E3265" w:rsidRPr="003F494F" w:rsidRDefault="001630D4" w:rsidP="003F494F">
            <w:pPr>
              <w:spacing w:line="360" w:lineRule="auto"/>
              <w:jc w:val="center"/>
              <w:rPr>
                <w:rFonts w:cstheme="minorHAnsi"/>
                <w:b/>
                <w:bCs/>
                <w:sz w:val="22"/>
                <w:szCs w:val="22"/>
              </w:rPr>
            </w:pPr>
            <w:r w:rsidRPr="003F494F">
              <w:rPr>
                <w:rFonts w:cstheme="minorHAnsi"/>
                <w:b/>
                <w:bCs/>
                <w:sz w:val="22"/>
                <w:szCs w:val="22"/>
              </w:rPr>
              <w:t>Moderately increased</w:t>
            </w:r>
          </w:p>
        </w:tc>
        <w:tc>
          <w:tcPr>
            <w:tcW w:w="2254" w:type="dxa"/>
          </w:tcPr>
          <w:p w14:paraId="49BD3830" w14:textId="77777777" w:rsidR="003E3265" w:rsidRPr="003F494F" w:rsidRDefault="001630D4" w:rsidP="003F494F">
            <w:pPr>
              <w:spacing w:line="360" w:lineRule="auto"/>
              <w:jc w:val="center"/>
              <w:rPr>
                <w:rFonts w:cstheme="minorHAnsi"/>
                <w:b/>
                <w:bCs/>
                <w:sz w:val="22"/>
                <w:szCs w:val="22"/>
              </w:rPr>
            </w:pPr>
            <w:r w:rsidRPr="003F494F">
              <w:rPr>
                <w:rFonts w:cstheme="minorHAnsi"/>
                <w:b/>
                <w:bCs/>
                <w:sz w:val="22"/>
                <w:szCs w:val="22"/>
              </w:rPr>
              <w:t>Severely increased</w:t>
            </w:r>
          </w:p>
        </w:tc>
      </w:tr>
      <w:tr w:rsidR="00837E18" w14:paraId="4BE22E31" w14:textId="77777777" w:rsidTr="003F494F">
        <w:trPr>
          <w:jc w:val="center"/>
        </w:trPr>
        <w:tc>
          <w:tcPr>
            <w:tcW w:w="2254" w:type="dxa"/>
          </w:tcPr>
          <w:p w14:paraId="4D93ADD0" w14:textId="77777777" w:rsidR="003E3265" w:rsidRPr="00117750" w:rsidRDefault="001630D4" w:rsidP="003F494F">
            <w:pPr>
              <w:spacing w:line="360" w:lineRule="auto"/>
              <w:rPr>
                <w:rFonts w:cstheme="minorHAnsi"/>
                <w:sz w:val="22"/>
                <w:szCs w:val="22"/>
              </w:rPr>
            </w:pPr>
            <w:r w:rsidRPr="00117750">
              <w:rPr>
                <w:rFonts w:cstheme="minorHAnsi"/>
                <w:sz w:val="22"/>
                <w:szCs w:val="22"/>
              </w:rPr>
              <w:t xml:space="preserve">ACR </w:t>
            </w:r>
          </w:p>
          <w:p w14:paraId="357FF2C8" w14:textId="552AD245" w:rsidR="003E3265" w:rsidRPr="00117750" w:rsidRDefault="0014327C" w:rsidP="003F494F">
            <w:pPr>
              <w:spacing w:line="360" w:lineRule="auto"/>
              <w:rPr>
                <w:rFonts w:cstheme="minorHAnsi"/>
                <w:sz w:val="22"/>
                <w:szCs w:val="22"/>
              </w:rPr>
            </w:pPr>
            <w:r>
              <w:rPr>
                <w:rFonts w:cstheme="minorHAnsi"/>
                <w:sz w:val="22"/>
                <w:szCs w:val="22"/>
              </w:rPr>
              <w:t>mg/mmol</w:t>
            </w:r>
          </w:p>
          <w:p w14:paraId="0891C3EB" w14:textId="66D195A8" w:rsidR="003E3265" w:rsidRPr="00117750" w:rsidRDefault="001630D4" w:rsidP="003F494F">
            <w:pPr>
              <w:spacing w:line="360" w:lineRule="auto"/>
              <w:rPr>
                <w:rFonts w:cstheme="minorHAnsi"/>
                <w:sz w:val="22"/>
                <w:szCs w:val="22"/>
              </w:rPr>
            </w:pPr>
            <w:r w:rsidRPr="00117750">
              <w:rPr>
                <w:rFonts w:cstheme="minorHAnsi"/>
                <w:sz w:val="22"/>
                <w:szCs w:val="22"/>
              </w:rPr>
              <w:t>mg</w:t>
            </w:r>
            <w:r w:rsidR="0014327C">
              <w:rPr>
                <w:rFonts w:cstheme="minorHAnsi"/>
                <w:sz w:val="22"/>
                <w:szCs w:val="22"/>
              </w:rPr>
              <w:t>/g</w:t>
            </w:r>
          </w:p>
          <w:p w14:paraId="5B15B901" w14:textId="77777777" w:rsidR="003E3265" w:rsidRPr="00117750" w:rsidRDefault="003E3265" w:rsidP="003F494F">
            <w:pPr>
              <w:spacing w:line="360" w:lineRule="auto"/>
              <w:rPr>
                <w:rFonts w:cstheme="minorHAnsi"/>
                <w:sz w:val="22"/>
                <w:szCs w:val="22"/>
              </w:rPr>
            </w:pPr>
          </w:p>
        </w:tc>
        <w:tc>
          <w:tcPr>
            <w:tcW w:w="2254" w:type="dxa"/>
          </w:tcPr>
          <w:p w14:paraId="6B6742C3" w14:textId="77777777" w:rsidR="003E3265" w:rsidRPr="00117750" w:rsidRDefault="003E3265" w:rsidP="003F494F">
            <w:pPr>
              <w:spacing w:line="360" w:lineRule="auto"/>
              <w:rPr>
                <w:rFonts w:cstheme="minorHAnsi"/>
                <w:sz w:val="22"/>
                <w:szCs w:val="22"/>
              </w:rPr>
            </w:pPr>
          </w:p>
          <w:p w14:paraId="73792627" w14:textId="77777777" w:rsidR="003E3265" w:rsidRPr="00117750" w:rsidRDefault="001630D4" w:rsidP="003F494F">
            <w:pPr>
              <w:spacing w:line="360" w:lineRule="auto"/>
              <w:rPr>
                <w:rFonts w:cstheme="minorHAnsi"/>
                <w:sz w:val="22"/>
                <w:szCs w:val="22"/>
              </w:rPr>
            </w:pPr>
            <w:r w:rsidRPr="00117750">
              <w:rPr>
                <w:rFonts w:cstheme="minorHAnsi"/>
                <w:sz w:val="22"/>
                <w:szCs w:val="22"/>
              </w:rPr>
              <w:t>&lt;3</w:t>
            </w:r>
          </w:p>
          <w:p w14:paraId="09B994FE" w14:textId="77777777" w:rsidR="003E3265" w:rsidRPr="00117750" w:rsidRDefault="001630D4" w:rsidP="003F494F">
            <w:pPr>
              <w:spacing w:line="360" w:lineRule="auto"/>
              <w:rPr>
                <w:rFonts w:cstheme="minorHAnsi"/>
                <w:sz w:val="22"/>
                <w:szCs w:val="22"/>
              </w:rPr>
            </w:pPr>
            <w:r w:rsidRPr="00117750">
              <w:rPr>
                <w:rFonts w:cstheme="minorHAnsi"/>
                <w:sz w:val="22"/>
                <w:szCs w:val="22"/>
              </w:rPr>
              <w:t>&lt;30</w:t>
            </w:r>
          </w:p>
        </w:tc>
        <w:tc>
          <w:tcPr>
            <w:tcW w:w="2254" w:type="dxa"/>
          </w:tcPr>
          <w:p w14:paraId="2F957A43" w14:textId="77777777" w:rsidR="003E3265" w:rsidRPr="00117750" w:rsidRDefault="003E3265" w:rsidP="003F494F">
            <w:pPr>
              <w:spacing w:line="360" w:lineRule="auto"/>
              <w:rPr>
                <w:rFonts w:cstheme="minorHAnsi"/>
                <w:sz w:val="22"/>
                <w:szCs w:val="22"/>
              </w:rPr>
            </w:pPr>
          </w:p>
          <w:p w14:paraId="148039B4" w14:textId="77777777" w:rsidR="003E3265" w:rsidRPr="00117750" w:rsidRDefault="001630D4" w:rsidP="003F494F">
            <w:pPr>
              <w:spacing w:line="360" w:lineRule="auto"/>
              <w:rPr>
                <w:rFonts w:cstheme="minorHAnsi"/>
                <w:sz w:val="22"/>
                <w:szCs w:val="22"/>
              </w:rPr>
            </w:pPr>
            <w:r w:rsidRPr="00117750">
              <w:rPr>
                <w:rFonts w:cstheme="minorHAnsi"/>
                <w:sz w:val="22"/>
                <w:szCs w:val="22"/>
              </w:rPr>
              <w:t>3-30</w:t>
            </w:r>
          </w:p>
          <w:p w14:paraId="16326E4F" w14:textId="77777777" w:rsidR="003E3265" w:rsidRPr="00117750" w:rsidRDefault="001630D4" w:rsidP="003F494F">
            <w:pPr>
              <w:spacing w:line="360" w:lineRule="auto"/>
              <w:rPr>
                <w:rFonts w:cstheme="minorHAnsi"/>
                <w:sz w:val="22"/>
                <w:szCs w:val="22"/>
              </w:rPr>
            </w:pPr>
            <w:r w:rsidRPr="00117750">
              <w:rPr>
                <w:rFonts w:cstheme="minorHAnsi"/>
                <w:sz w:val="22"/>
                <w:szCs w:val="22"/>
              </w:rPr>
              <w:t>30-300</w:t>
            </w:r>
          </w:p>
        </w:tc>
        <w:tc>
          <w:tcPr>
            <w:tcW w:w="2254" w:type="dxa"/>
          </w:tcPr>
          <w:p w14:paraId="27BE7DDB" w14:textId="77777777" w:rsidR="003E3265" w:rsidRPr="00117750" w:rsidRDefault="003E3265" w:rsidP="003F494F">
            <w:pPr>
              <w:spacing w:line="360" w:lineRule="auto"/>
              <w:rPr>
                <w:rFonts w:cstheme="minorHAnsi"/>
                <w:sz w:val="22"/>
                <w:szCs w:val="22"/>
              </w:rPr>
            </w:pPr>
          </w:p>
          <w:p w14:paraId="51EEF407" w14:textId="77777777" w:rsidR="003E3265" w:rsidRPr="00117750" w:rsidRDefault="001630D4" w:rsidP="003F494F">
            <w:pPr>
              <w:spacing w:line="360" w:lineRule="auto"/>
              <w:rPr>
                <w:rFonts w:cstheme="minorHAnsi"/>
                <w:sz w:val="22"/>
                <w:szCs w:val="22"/>
              </w:rPr>
            </w:pPr>
            <w:r w:rsidRPr="00117750">
              <w:rPr>
                <w:rFonts w:cstheme="minorHAnsi"/>
                <w:sz w:val="22"/>
                <w:szCs w:val="22"/>
              </w:rPr>
              <w:t>&gt;30</w:t>
            </w:r>
          </w:p>
          <w:p w14:paraId="57149698" w14:textId="77777777" w:rsidR="003E3265" w:rsidRPr="00117750" w:rsidRDefault="001630D4" w:rsidP="003F494F">
            <w:pPr>
              <w:spacing w:line="360" w:lineRule="auto"/>
              <w:rPr>
                <w:rFonts w:cstheme="minorHAnsi"/>
                <w:sz w:val="22"/>
                <w:szCs w:val="22"/>
              </w:rPr>
            </w:pPr>
            <w:r w:rsidRPr="00117750">
              <w:rPr>
                <w:rFonts w:cstheme="minorHAnsi"/>
                <w:sz w:val="22"/>
                <w:szCs w:val="22"/>
              </w:rPr>
              <w:t>&gt;300</w:t>
            </w:r>
          </w:p>
        </w:tc>
      </w:tr>
      <w:tr w:rsidR="00837E18" w14:paraId="7EB52785" w14:textId="77777777" w:rsidTr="003F494F">
        <w:trPr>
          <w:jc w:val="center"/>
        </w:trPr>
        <w:tc>
          <w:tcPr>
            <w:tcW w:w="2254" w:type="dxa"/>
          </w:tcPr>
          <w:p w14:paraId="3F12F9FF" w14:textId="77777777" w:rsidR="003E3265" w:rsidRPr="00117750" w:rsidRDefault="001630D4" w:rsidP="003F494F">
            <w:pPr>
              <w:spacing w:line="360" w:lineRule="auto"/>
              <w:rPr>
                <w:rFonts w:cstheme="minorHAnsi"/>
                <w:sz w:val="22"/>
                <w:szCs w:val="22"/>
              </w:rPr>
            </w:pPr>
            <w:r w:rsidRPr="00117750">
              <w:rPr>
                <w:rFonts w:cstheme="minorHAnsi"/>
                <w:sz w:val="22"/>
                <w:szCs w:val="22"/>
              </w:rPr>
              <w:t xml:space="preserve">PCR </w:t>
            </w:r>
          </w:p>
          <w:p w14:paraId="560D9090" w14:textId="116730CA" w:rsidR="003E3265" w:rsidRPr="00117750" w:rsidRDefault="001630D4" w:rsidP="003F494F">
            <w:pPr>
              <w:spacing w:line="360" w:lineRule="auto"/>
              <w:rPr>
                <w:rFonts w:cstheme="minorHAnsi"/>
                <w:sz w:val="22"/>
                <w:szCs w:val="22"/>
              </w:rPr>
            </w:pPr>
            <w:r w:rsidRPr="00117750">
              <w:rPr>
                <w:rFonts w:cstheme="minorHAnsi"/>
                <w:sz w:val="22"/>
                <w:szCs w:val="22"/>
              </w:rPr>
              <w:t>(mg/</w:t>
            </w:r>
            <w:r w:rsidR="0014327C">
              <w:rPr>
                <w:rFonts w:cstheme="minorHAnsi"/>
                <w:sz w:val="22"/>
                <w:szCs w:val="22"/>
              </w:rPr>
              <w:t>mmol</w:t>
            </w:r>
            <w:r w:rsidRPr="00117750">
              <w:rPr>
                <w:rFonts w:cstheme="minorHAnsi"/>
                <w:sz w:val="22"/>
                <w:szCs w:val="22"/>
              </w:rPr>
              <w:t xml:space="preserve">) </w:t>
            </w:r>
          </w:p>
          <w:p w14:paraId="616FD7DA" w14:textId="3EC7784B" w:rsidR="003E3265" w:rsidRPr="00117750" w:rsidRDefault="001630D4" w:rsidP="003F494F">
            <w:pPr>
              <w:spacing w:line="360" w:lineRule="auto"/>
              <w:rPr>
                <w:rFonts w:cstheme="minorHAnsi"/>
                <w:sz w:val="22"/>
                <w:szCs w:val="22"/>
              </w:rPr>
            </w:pPr>
            <w:r w:rsidRPr="00117750">
              <w:rPr>
                <w:rFonts w:cstheme="minorHAnsi"/>
                <w:sz w:val="22"/>
                <w:szCs w:val="22"/>
              </w:rPr>
              <w:t>(mg/</w:t>
            </w:r>
            <w:r w:rsidR="0014327C">
              <w:rPr>
                <w:rFonts w:cstheme="minorHAnsi"/>
                <w:sz w:val="22"/>
                <w:szCs w:val="22"/>
              </w:rPr>
              <w:t>g</w:t>
            </w:r>
            <w:r w:rsidRPr="00117750">
              <w:rPr>
                <w:rFonts w:cstheme="minorHAnsi"/>
                <w:sz w:val="22"/>
                <w:szCs w:val="22"/>
              </w:rPr>
              <w:t>)</w:t>
            </w:r>
          </w:p>
          <w:p w14:paraId="1AB8A37C" w14:textId="77777777" w:rsidR="003E3265" w:rsidRPr="00117750" w:rsidRDefault="003E3265" w:rsidP="003F494F">
            <w:pPr>
              <w:spacing w:line="360" w:lineRule="auto"/>
              <w:rPr>
                <w:rFonts w:cstheme="minorHAnsi"/>
                <w:sz w:val="22"/>
                <w:szCs w:val="22"/>
              </w:rPr>
            </w:pPr>
          </w:p>
        </w:tc>
        <w:tc>
          <w:tcPr>
            <w:tcW w:w="2254" w:type="dxa"/>
          </w:tcPr>
          <w:p w14:paraId="386484FE" w14:textId="77777777" w:rsidR="003E3265" w:rsidRPr="00117750" w:rsidRDefault="003E3265" w:rsidP="003F494F">
            <w:pPr>
              <w:spacing w:line="360" w:lineRule="auto"/>
              <w:rPr>
                <w:rFonts w:cstheme="minorHAnsi"/>
                <w:sz w:val="22"/>
                <w:szCs w:val="22"/>
              </w:rPr>
            </w:pPr>
          </w:p>
          <w:p w14:paraId="034EDFEA" w14:textId="77777777" w:rsidR="003E3265" w:rsidRPr="00117750" w:rsidRDefault="001630D4" w:rsidP="003F494F">
            <w:pPr>
              <w:spacing w:line="360" w:lineRule="auto"/>
              <w:rPr>
                <w:rFonts w:cstheme="minorHAnsi"/>
                <w:sz w:val="22"/>
                <w:szCs w:val="22"/>
              </w:rPr>
            </w:pPr>
            <w:r w:rsidRPr="00117750">
              <w:rPr>
                <w:rFonts w:cstheme="minorHAnsi"/>
                <w:sz w:val="22"/>
                <w:szCs w:val="22"/>
              </w:rPr>
              <w:t>&lt;15</w:t>
            </w:r>
          </w:p>
          <w:p w14:paraId="03F0CD1B" w14:textId="77777777" w:rsidR="003E3265" w:rsidRPr="00117750" w:rsidRDefault="001630D4" w:rsidP="003F494F">
            <w:pPr>
              <w:spacing w:line="360" w:lineRule="auto"/>
              <w:rPr>
                <w:rFonts w:cstheme="minorHAnsi"/>
                <w:sz w:val="22"/>
                <w:szCs w:val="22"/>
              </w:rPr>
            </w:pPr>
            <w:r w:rsidRPr="00117750">
              <w:rPr>
                <w:rFonts w:cstheme="minorHAnsi"/>
                <w:sz w:val="22"/>
                <w:szCs w:val="22"/>
              </w:rPr>
              <w:t>&lt;150</w:t>
            </w:r>
          </w:p>
        </w:tc>
        <w:tc>
          <w:tcPr>
            <w:tcW w:w="2254" w:type="dxa"/>
          </w:tcPr>
          <w:p w14:paraId="47F94805" w14:textId="77777777" w:rsidR="003E3265" w:rsidRPr="00117750" w:rsidRDefault="003E3265" w:rsidP="003F494F">
            <w:pPr>
              <w:spacing w:line="360" w:lineRule="auto"/>
              <w:rPr>
                <w:rFonts w:cstheme="minorHAnsi"/>
                <w:sz w:val="22"/>
                <w:szCs w:val="22"/>
              </w:rPr>
            </w:pPr>
          </w:p>
          <w:p w14:paraId="414CD608" w14:textId="77777777" w:rsidR="003E3265" w:rsidRPr="00117750" w:rsidRDefault="001630D4" w:rsidP="003F494F">
            <w:pPr>
              <w:spacing w:line="360" w:lineRule="auto"/>
              <w:rPr>
                <w:rFonts w:cstheme="minorHAnsi"/>
                <w:sz w:val="22"/>
                <w:szCs w:val="22"/>
              </w:rPr>
            </w:pPr>
            <w:r w:rsidRPr="00117750">
              <w:rPr>
                <w:rFonts w:cstheme="minorHAnsi"/>
                <w:sz w:val="22"/>
                <w:szCs w:val="22"/>
              </w:rPr>
              <w:t>15-50</w:t>
            </w:r>
          </w:p>
          <w:p w14:paraId="3BBBCA85" w14:textId="77777777" w:rsidR="003E3265" w:rsidRPr="00117750" w:rsidRDefault="001630D4" w:rsidP="003F494F">
            <w:pPr>
              <w:spacing w:line="360" w:lineRule="auto"/>
              <w:rPr>
                <w:rFonts w:cstheme="minorHAnsi"/>
                <w:sz w:val="22"/>
                <w:szCs w:val="22"/>
              </w:rPr>
            </w:pPr>
            <w:r w:rsidRPr="00117750">
              <w:rPr>
                <w:rFonts w:cstheme="minorHAnsi"/>
                <w:sz w:val="22"/>
                <w:szCs w:val="22"/>
              </w:rPr>
              <w:t>150-500</w:t>
            </w:r>
          </w:p>
        </w:tc>
        <w:tc>
          <w:tcPr>
            <w:tcW w:w="2254" w:type="dxa"/>
          </w:tcPr>
          <w:p w14:paraId="2E553373" w14:textId="77777777" w:rsidR="003E3265" w:rsidRPr="00117750" w:rsidRDefault="003E3265" w:rsidP="003F494F">
            <w:pPr>
              <w:spacing w:line="360" w:lineRule="auto"/>
              <w:rPr>
                <w:rFonts w:cstheme="minorHAnsi"/>
                <w:sz w:val="22"/>
                <w:szCs w:val="22"/>
              </w:rPr>
            </w:pPr>
          </w:p>
          <w:p w14:paraId="15A3822B" w14:textId="77777777" w:rsidR="003E3265" w:rsidRPr="00117750" w:rsidRDefault="001630D4" w:rsidP="003F494F">
            <w:pPr>
              <w:spacing w:line="360" w:lineRule="auto"/>
              <w:rPr>
                <w:rFonts w:cstheme="minorHAnsi"/>
                <w:sz w:val="22"/>
                <w:szCs w:val="22"/>
              </w:rPr>
            </w:pPr>
            <w:r w:rsidRPr="00117750">
              <w:rPr>
                <w:rFonts w:cstheme="minorHAnsi"/>
                <w:sz w:val="22"/>
                <w:szCs w:val="22"/>
              </w:rPr>
              <w:t>&gt;50</w:t>
            </w:r>
          </w:p>
          <w:p w14:paraId="3CC578B9" w14:textId="77777777" w:rsidR="003E3265" w:rsidRPr="00117750" w:rsidRDefault="001630D4" w:rsidP="003F494F">
            <w:pPr>
              <w:spacing w:line="360" w:lineRule="auto"/>
              <w:rPr>
                <w:rFonts w:cstheme="minorHAnsi"/>
                <w:sz w:val="22"/>
                <w:szCs w:val="22"/>
              </w:rPr>
            </w:pPr>
            <w:r w:rsidRPr="00117750">
              <w:rPr>
                <w:rFonts w:cstheme="minorHAnsi"/>
                <w:sz w:val="22"/>
                <w:szCs w:val="22"/>
              </w:rPr>
              <w:t>&gt;500</w:t>
            </w:r>
          </w:p>
        </w:tc>
      </w:tr>
    </w:tbl>
    <w:p w14:paraId="4113AD48" w14:textId="77777777" w:rsidR="003F494F" w:rsidRDefault="003F494F" w:rsidP="003F494F">
      <w:pPr>
        <w:spacing w:line="360" w:lineRule="auto"/>
        <w:rPr>
          <w:rFonts w:cstheme="minorHAnsi"/>
          <w:i/>
          <w:sz w:val="22"/>
          <w:szCs w:val="22"/>
        </w:rPr>
      </w:pPr>
    </w:p>
    <w:p w14:paraId="06BA231D" w14:textId="3E398E44" w:rsidR="003E3265" w:rsidRPr="00117750" w:rsidRDefault="001630D4" w:rsidP="003F494F">
      <w:pPr>
        <w:spacing w:line="360" w:lineRule="auto"/>
        <w:rPr>
          <w:rFonts w:cstheme="minorHAnsi"/>
          <w:i/>
          <w:sz w:val="22"/>
          <w:szCs w:val="22"/>
        </w:rPr>
      </w:pPr>
      <w:r w:rsidRPr="00117750">
        <w:rPr>
          <w:rFonts w:cstheme="minorHAnsi"/>
          <w:i/>
          <w:sz w:val="22"/>
          <w:szCs w:val="22"/>
        </w:rPr>
        <w:t xml:space="preserve">For pragmatic reasons the relationships among measurement methods within a category are not exact. Creatinine excretion varies with age, sex, race and diet and the reagent strips may depend on urine concentration. ACR, albumin-to-creatinine ratio; PCR, protein-creatinine ratio. </w:t>
      </w:r>
    </w:p>
    <w:p w14:paraId="07F3B011" w14:textId="77777777" w:rsidR="00C278A7" w:rsidRDefault="00C278A7" w:rsidP="003F494F">
      <w:pPr>
        <w:spacing w:line="360" w:lineRule="auto"/>
        <w:rPr>
          <w:rFonts w:cstheme="minorHAnsi"/>
          <w:b/>
          <w:sz w:val="22"/>
          <w:szCs w:val="22"/>
        </w:rPr>
      </w:pPr>
    </w:p>
    <w:p w14:paraId="46DB6805" w14:textId="77777777" w:rsidR="008C4799" w:rsidRDefault="001630D4" w:rsidP="003F494F">
      <w:pPr>
        <w:spacing w:line="360" w:lineRule="auto"/>
        <w:rPr>
          <w:rFonts w:cstheme="minorHAnsi"/>
          <w:b/>
          <w:sz w:val="22"/>
          <w:szCs w:val="22"/>
        </w:rPr>
      </w:pPr>
      <w:r>
        <w:rPr>
          <w:rFonts w:cstheme="minorHAnsi"/>
          <w:b/>
          <w:sz w:val="22"/>
          <w:szCs w:val="22"/>
        </w:rPr>
        <w:br w:type="page"/>
      </w:r>
    </w:p>
    <w:p w14:paraId="2DF82917" w14:textId="6AF4A7EF" w:rsidR="00B858D4" w:rsidRDefault="001630D4" w:rsidP="003F494F">
      <w:pPr>
        <w:spacing w:line="360" w:lineRule="auto"/>
        <w:rPr>
          <w:rFonts w:cstheme="minorHAnsi"/>
          <w:b/>
          <w:sz w:val="22"/>
          <w:szCs w:val="22"/>
        </w:rPr>
      </w:pPr>
      <w:r>
        <w:rPr>
          <w:rFonts w:cstheme="minorHAnsi"/>
          <w:b/>
          <w:sz w:val="22"/>
          <w:szCs w:val="22"/>
        </w:rPr>
        <w:lastRenderedPageBreak/>
        <w:t xml:space="preserve">Appendix </w:t>
      </w:r>
      <w:r w:rsidR="003E3265">
        <w:rPr>
          <w:rFonts w:cstheme="minorHAnsi"/>
          <w:b/>
          <w:sz w:val="22"/>
          <w:szCs w:val="22"/>
        </w:rPr>
        <w:t>3</w:t>
      </w:r>
      <w:r>
        <w:rPr>
          <w:rFonts w:cstheme="minorHAnsi"/>
          <w:b/>
          <w:sz w:val="22"/>
          <w:szCs w:val="22"/>
        </w:rPr>
        <w:t xml:space="preserve">: </w:t>
      </w:r>
      <w:r w:rsidR="001066E5">
        <w:rPr>
          <w:rFonts w:cstheme="minorHAnsi"/>
          <w:b/>
          <w:sz w:val="22"/>
          <w:szCs w:val="22"/>
        </w:rPr>
        <w:t>D</w:t>
      </w:r>
      <w:r>
        <w:rPr>
          <w:rFonts w:cstheme="minorHAnsi"/>
          <w:b/>
          <w:sz w:val="22"/>
          <w:szCs w:val="22"/>
        </w:rPr>
        <w:t xml:space="preserve">efinitions used for grading evidence </w:t>
      </w:r>
    </w:p>
    <w:p w14:paraId="55115F45" w14:textId="77777777" w:rsidR="003E3265" w:rsidRPr="00117750" w:rsidRDefault="001630D4" w:rsidP="003F494F">
      <w:pPr>
        <w:spacing w:line="360" w:lineRule="auto"/>
        <w:rPr>
          <w:rFonts w:eastAsia="Times New Roman" w:cstheme="minorHAnsi"/>
          <w:b/>
          <w:bCs/>
          <w:color w:val="202020"/>
          <w:sz w:val="22"/>
          <w:szCs w:val="22"/>
          <w:shd w:val="clear" w:color="auto" w:fill="FFFFFF"/>
          <w:lang w:eastAsia="en-GB"/>
        </w:rPr>
      </w:pPr>
      <w:r w:rsidRPr="00117750">
        <w:rPr>
          <w:rFonts w:cstheme="minorHAnsi"/>
          <w:sz w:val="22"/>
          <w:szCs w:val="22"/>
          <w:shd w:val="clear" w:color="auto" w:fill="FFFFFF"/>
          <w:lang w:eastAsia="en-GB"/>
        </w:rPr>
        <w:t xml:space="preserve">The outline for the methodology is available in the UKKA Clinical Practice Guideline Development manual, Jan 2022. </w:t>
      </w:r>
    </w:p>
    <w:p w14:paraId="25D69712" w14:textId="77777777" w:rsidR="001066E5" w:rsidRDefault="001066E5" w:rsidP="003F494F">
      <w:pPr>
        <w:spacing w:line="360" w:lineRule="auto"/>
        <w:rPr>
          <w:rFonts w:cstheme="minorHAnsi"/>
          <w:b/>
          <w:sz w:val="22"/>
          <w:szCs w:val="22"/>
        </w:rPr>
      </w:pPr>
    </w:p>
    <w:tbl>
      <w:tblPr>
        <w:tblStyle w:val="TableGrid"/>
        <w:tblW w:w="10485" w:type="dxa"/>
        <w:jc w:val="center"/>
        <w:tblLook w:val="04A0" w:firstRow="1" w:lastRow="0" w:firstColumn="1" w:lastColumn="0" w:noHBand="0" w:noVBand="1"/>
      </w:tblPr>
      <w:tblGrid>
        <w:gridCol w:w="2547"/>
        <w:gridCol w:w="7938"/>
      </w:tblGrid>
      <w:tr w:rsidR="00837E18" w14:paraId="096BA722" w14:textId="77777777" w:rsidTr="003F494F">
        <w:trPr>
          <w:jc w:val="center"/>
        </w:trPr>
        <w:tc>
          <w:tcPr>
            <w:tcW w:w="2547" w:type="dxa"/>
          </w:tcPr>
          <w:p w14:paraId="71A527B7" w14:textId="5DC3EE87" w:rsidR="001066E5" w:rsidRDefault="001630D4" w:rsidP="003F494F">
            <w:pPr>
              <w:spacing w:line="360" w:lineRule="auto"/>
              <w:rPr>
                <w:rFonts w:cstheme="minorHAnsi"/>
                <w:b/>
                <w:sz w:val="22"/>
                <w:szCs w:val="22"/>
              </w:rPr>
            </w:pPr>
            <w:r>
              <w:rPr>
                <w:rFonts w:cstheme="minorHAnsi"/>
                <w:b/>
                <w:sz w:val="22"/>
                <w:szCs w:val="22"/>
              </w:rPr>
              <w:t>Grade</w:t>
            </w:r>
          </w:p>
        </w:tc>
        <w:tc>
          <w:tcPr>
            <w:tcW w:w="7938" w:type="dxa"/>
          </w:tcPr>
          <w:p w14:paraId="67F19C67" w14:textId="6004AF5B" w:rsidR="001066E5" w:rsidRDefault="001630D4" w:rsidP="003F494F">
            <w:pPr>
              <w:spacing w:line="360" w:lineRule="auto"/>
              <w:rPr>
                <w:rFonts w:cstheme="minorHAnsi"/>
                <w:b/>
                <w:sz w:val="22"/>
                <w:szCs w:val="22"/>
              </w:rPr>
            </w:pPr>
            <w:r>
              <w:rPr>
                <w:rFonts w:cstheme="minorHAnsi"/>
                <w:b/>
                <w:sz w:val="22"/>
                <w:szCs w:val="22"/>
              </w:rPr>
              <w:t>Implication</w:t>
            </w:r>
          </w:p>
        </w:tc>
      </w:tr>
      <w:tr w:rsidR="00837E18" w14:paraId="3A7BEEE2" w14:textId="77777777" w:rsidTr="003F494F">
        <w:trPr>
          <w:jc w:val="center"/>
        </w:trPr>
        <w:tc>
          <w:tcPr>
            <w:tcW w:w="2547" w:type="dxa"/>
          </w:tcPr>
          <w:p w14:paraId="01F77A94" w14:textId="64432520" w:rsidR="001066E5" w:rsidRDefault="001630D4" w:rsidP="003F494F">
            <w:pPr>
              <w:spacing w:line="360" w:lineRule="auto"/>
              <w:rPr>
                <w:rFonts w:cstheme="minorHAnsi"/>
                <w:b/>
                <w:sz w:val="22"/>
                <w:szCs w:val="22"/>
              </w:rPr>
            </w:pPr>
            <w:r>
              <w:rPr>
                <w:rFonts w:cstheme="minorHAnsi"/>
                <w:b/>
                <w:sz w:val="22"/>
                <w:szCs w:val="22"/>
              </w:rPr>
              <w:t>Level 1 ‘We recommend’</w:t>
            </w:r>
          </w:p>
        </w:tc>
        <w:tc>
          <w:tcPr>
            <w:tcW w:w="7938" w:type="dxa"/>
          </w:tcPr>
          <w:p w14:paraId="0E262E39" w14:textId="59A21B49" w:rsidR="001066E5" w:rsidRPr="001066E5" w:rsidRDefault="001630D4" w:rsidP="003F494F">
            <w:pPr>
              <w:spacing w:line="360" w:lineRule="auto"/>
              <w:rPr>
                <w:rFonts w:cstheme="minorHAnsi"/>
                <w:bCs/>
                <w:sz w:val="22"/>
                <w:szCs w:val="22"/>
              </w:rPr>
            </w:pPr>
            <w:r w:rsidRPr="001066E5">
              <w:rPr>
                <w:rFonts w:cstheme="minorHAnsi"/>
                <w:bCs/>
                <w:sz w:val="22"/>
                <w:szCs w:val="22"/>
              </w:rPr>
              <w:t>Most patients should receive the recommended course of action</w:t>
            </w:r>
          </w:p>
        </w:tc>
      </w:tr>
      <w:tr w:rsidR="00837E18" w14:paraId="5ADA653B" w14:textId="77777777" w:rsidTr="003F494F">
        <w:trPr>
          <w:jc w:val="center"/>
        </w:trPr>
        <w:tc>
          <w:tcPr>
            <w:tcW w:w="2547" w:type="dxa"/>
          </w:tcPr>
          <w:p w14:paraId="3F882686" w14:textId="2545E726" w:rsidR="001066E5" w:rsidRDefault="001630D4" w:rsidP="003F494F">
            <w:pPr>
              <w:spacing w:line="360" w:lineRule="auto"/>
              <w:rPr>
                <w:rFonts w:cstheme="minorHAnsi"/>
                <w:b/>
                <w:sz w:val="22"/>
                <w:szCs w:val="22"/>
              </w:rPr>
            </w:pPr>
            <w:r>
              <w:rPr>
                <w:rFonts w:cstheme="minorHAnsi"/>
                <w:b/>
                <w:sz w:val="22"/>
                <w:szCs w:val="22"/>
              </w:rPr>
              <w:t>Level 2 ‘We suggest’</w:t>
            </w:r>
          </w:p>
        </w:tc>
        <w:tc>
          <w:tcPr>
            <w:tcW w:w="7938" w:type="dxa"/>
          </w:tcPr>
          <w:p w14:paraId="653AB506" w14:textId="09DFDAAD" w:rsidR="001066E5" w:rsidRPr="001066E5" w:rsidRDefault="001630D4" w:rsidP="003F494F">
            <w:pPr>
              <w:spacing w:line="360" w:lineRule="auto"/>
              <w:rPr>
                <w:rFonts w:cstheme="minorHAnsi"/>
                <w:bCs/>
                <w:sz w:val="22"/>
                <w:szCs w:val="22"/>
              </w:rPr>
            </w:pPr>
            <w:r w:rsidRPr="001066E5">
              <w:rPr>
                <w:rFonts w:cstheme="minorHAnsi"/>
                <w:bCs/>
                <w:sz w:val="22"/>
                <w:szCs w:val="22"/>
              </w:rPr>
              <w:t xml:space="preserve">Different choices will be appropriate for different patients. Each patient needs help to arrive at a management decision consistent with their values and preferences. </w:t>
            </w:r>
          </w:p>
        </w:tc>
      </w:tr>
    </w:tbl>
    <w:p w14:paraId="067BB436" w14:textId="77777777" w:rsidR="001066E5" w:rsidRDefault="001066E5" w:rsidP="003F494F">
      <w:pPr>
        <w:spacing w:line="360" w:lineRule="auto"/>
        <w:rPr>
          <w:rFonts w:cstheme="minorHAnsi"/>
          <w:b/>
          <w:sz w:val="22"/>
          <w:szCs w:val="22"/>
        </w:rPr>
      </w:pPr>
    </w:p>
    <w:tbl>
      <w:tblPr>
        <w:tblStyle w:val="TableGrid"/>
        <w:tblW w:w="0" w:type="auto"/>
        <w:tblLook w:val="04A0" w:firstRow="1" w:lastRow="0" w:firstColumn="1" w:lastColumn="0" w:noHBand="0" w:noVBand="1"/>
      </w:tblPr>
      <w:tblGrid>
        <w:gridCol w:w="988"/>
        <w:gridCol w:w="2268"/>
        <w:gridCol w:w="7194"/>
      </w:tblGrid>
      <w:tr w:rsidR="00837E18" w14:paraId="32B126F5" w14:textId="77777777" w:rsidTr="003F494F">
        <w:tc>
          <w:tcPr>
            <w:tcW w:w="988" w:type="dxa"/>
          </w:tcPr>
          <w:p w14:paraId="1E90FBEA" w14:textId="63D10C7E" w:rsidR="001066E5" w:rsidRDefault="001630D4" w:rsidP="003F494F">
            <w:pPr>
              <w:spacing w:line="360" w:lineRule="auto"/>
              <w:jc w:val="center"/>
              <w:rPr>
                <w:rFonts w:cstheme="minorHAnsi"/>
                <w:b/>
                <w:sz w:val="22"/>
                <w:szCs w:val="22"/>
              </w:rPr>
            </w:pPr>
            <w:r>
              <w:rPr>
                <w:rFonts w:cstheme="minorHAnsi"/>
                <w:b/>
                <w:sz w:val="22"/>
                <w:szCs w:val="22"/>
              </w:rPr>
              <w:t>Grade</w:t>
            </w:r>
          </w:p>
        </w:tc>
        <w:tc>
          <w:tcPr>
            <w:tcW w:w="2268" w:type="dxa"/>
          </w:tcPr>
          <w:p w14:paraId="3B1CFA87" w14:textId="4E9D788E" w:rsidR="001066E5" w:rsidRDefault="001630D4" w:rsidP="003F494F">
            <w:pPr>
              <w:spacing w:line="360" w:lineRule="auto"/>
              <w:rPr>
                <w:rFonts w:cstheme="minorHAnsi"/>
                <w:b/>
                <w:sz w:val="22"/>
                <w:szCs w:val="22"/>
              </w:rPr>
            </w:pPr>
            <w:r>
              <w:rPr>
                <w:rFonts w:cstheme="minorHAnsi"/>
                <w:b/>
                <w:sz w:val="22"/>
                <w:szCs w:val="22"/>
              </w:rPr>
              <w:t>Certainty of evidence</w:t>
            </w:r>
          </w:p>
        </w:tc>
        <w:tc>
          <w:tcPr>
            <w:tcW w:w="7194" w:type="dxa"/>
          </w:tcPr>
          <w:p w14:paraId="61C3E18F" w14:textId="57908FD9" w:rsidR="001066E5" w:rsidRDefault="001630D4" w:rsidP="003F494F">
            <w:pPr>
              <w:spacing w:line="360" w:lineRule="auto"/>
              <w:rPr>
                <w:rFonts w:cstheme="minorHAnsi"/>
                <w:b/>
                <w:sz w:val="22"/>
                <w:szCs w:val="22"/>
              </w:rPr>
            </w:pPr>
            <w:r>
              <w:rPr>
                <w:rFonts w:cstheme="minorHAnsi"/>
                <w:b/>
                <w:sz w:val="22"/>
                <w:szCs w:val="22"/>
              </w:rPr>
              <w:t>Meaning</w:t>
            </w:r>
          </w:p>
        </w:tc>
      </w:tr>
      <w:tr w:rsidR="00837E18" w14:paraId="78861DDF" w14:textId="77777777" w:rsidTr="003F494F">
        <w:tc>
          <w:tcPr>
            <w:tcW w:w="988" w:type="dxa"/>
          </w:tcPr>
          <w:p w14:paraId="51305015" w14:textId="7FA252B9" w:rsidR="001066E5" w:rsidRDefault="001630D4" w:rsidP="003F494F">
            <w:pPr>
              <w:spacing w:line="360" w:lineRule="auto"/>
              <w:jc w:val="center"/>
              <w:rPr>
                <w:rFonts w:cstheme="minorHAnsi"/>
                <w:b/>
                <w:sz w:val="22"/>
                <w:szCs w:val="22"/>
              </w:rPr>
            </w:pPr>
            <w:r>
              <w:rPr>
                <w:rFonts w:cstheme="minorHAnsi"/>
                <w:b/>
                <w:sz w:val="22"/>
                <w:szCs w:val="22"/>
              </w:rPr>
              <w:t>A</w:t>
            </w:r>
          </w:p>
        </w:tc>
        <w:tc>
          <w:tcPr>
            <w:tcW w:w="2268" w:type="dxa"/>
          </w:tcPr>
          <w:p w14:paraId="457D0F9E" w14:textId="038DBDA9" w:rsidR="001066E5" w:rsidRPr="001066E5" w:rsidRDefault="001630D4" w:rsidP="003F494F">
            <w:pPr>
              <w:spacing w:line="360" w:lineRule="auto"/>
              <w:rPr>
                <w:rFonts w:cstheme="minorHAnsi"/>
                <w:bCs/>
                <w:sz w:val="22"/>
                <w:szCs w:val="22"/>
              </w:rPr>
            </w:pPr>
            <w:r w:rsidRPr="001066E5">
              <w:rPr>
                <w:rFonts w:cstheme="minorHAnsi"/>
                <w:bCs/>
                <w:sz w:val="22"/>
                <w:szCs w:val="22"/>
              </w:rPr>
              <w:t>High</w:t>
            </w:r>
          </w:p>
        </w:tc>
        <w:tc>
          <w:tcPr>
            <w:tcW w:w="7194" w:type="dxa"/>
          </w:tcPr>
          <w:p w14:paraId="69CD0001" w14:textId="3BE8D305" w:rsidR="001066E5" w:rsidRPr="001066E5" w:rsidRDefault="001630D4" w:rsidP="003F494F">
            <w:pPr>
              <w:spacing w:line="360" w:lineRule="auto"/>
              <w:rPr>
                <w:rFonts w:cstheme="minorHAnsi"/>
                <w:bCs/>
                <w:sz w:val="22"/>
                <w:szCs w:val="22"/>
              </w:rPr>
            </w:pPr>
            <w:r w:rsidRPr="001066E5">
              <w:rPr>
                <w:rFonts w:cstheme="minorHAnsi"/>
                <w:bCs/>
                <w:sz w:val="22"/>
                <w:szCs w:val="22"/>
              </w:rPr>
              <w:t>We are confident that the true effect is close to the estimate of the effect.</w:t>
            </w:r>
          </w:p>
        </w:tc>
      </w:tr>
      <w:tr w:rsidR="00837E18" w14:paraId="0DA95F0F" w14:textId="77777777" w:rsidTr="003F494F">
        <w:tc>
          <w:tcPr>
            <w:tcW w:w="988" w:type="dxa"/>
          </w:tcPr>
          <w:p w14:paraId="4C34E959" w14:textId="114C8643" w:rsidR="001066E5" w:rsidRDefault="001630D4" w:rsidP="003F494F">
            <w:pPr>
              <w:spacing w:line="360" w:lineRule="auto"/>
              <w:jc w:val="center"/>
              <w:rPr>
                <w:rFonts w:cstheme="minorHAnsi"/>
                <w:b/>
                <w:sz w:val="22"/>
                <w:szCs w:val="22"/>
              </w:rPr>
            </w:pPr>
            <w:r>
              <w:rPr>
                <w:rFonts w:cstheme="minorHAnsi"/>
                <w:b/>
                <w:sz w:val="22"/>
                <w:szCs w:val="22"/>
              </w:rPr>
              <w:t>B</w:t>
            </w:r>
          </w:p>
        </w:tc>
        <w:tc>
          <w:tcPr>
            <w:tcW w:w="2268" w:type="dxa"/>
          </w:tcPr>
          <w:p w14:paraId="24E8E68E" w14:textId="771C9E33" w:rsidR="001066E5" w:rsidRPr="001066E5" w:rsidRDefault="001630D4" w:rsidP="003F494F">
            <w:pPr>
              <w:spacing w:line="360" w:lineRule="auto"/>
              <w:rPr>
                <w:rFonts w:cstheme="minorHAnsi"/>
                <w:bCs/>
                <w:sz w:val="22"/>
                <w:szCs w:val="22"/>
              </w:rPr>
            </w:pPr>
            <w:r w:rsidRPr="001066E5">
              <w:rPr>
                <w:rFonts w:cstheme="minorHAnsi"/>
                <w:bCs/>
                <w:sz w:val="22"/>
                <w:szCs w:val="22"/>
              </w:rPr>
              <w:t>Moderate</w:t>
            </w:r>
          </w:p>
        </w:tc>
        <w:tc>
          <w:tcPr>
            <w:tcW w:w="7194" w:type="dxa"/>
          </w:tcPr>
          <w:p w14:paraId="15E1ACA8" w14:textId="50ED25C7" w:rsidR="001066E5" w:rsidRPr="001066E5" w:rsidRDefault="001630D4" w:rsidP="003F494F">
            <w:pPr>
              <w:spacing w:line="360" w:lineRule="auto"/>
              <w:rPr>
                <w:rFonts w:cstheme="minorHAnsi"/>
                <w:bCs/>
                <w:sz w:val="22"/>
                <w:szCs w:val="22"/>
              </w:rPr>
            </w:pPr>
            <w:r w:rsidRPr="001066E5">
              <w:rPr>
                <w:rFonts w:cstheme="minorHAnsi"/>
                <w:bCs/>
                <w:sz w:val="22"/>
                <w:szCs w:val="22"/>
              </w:rPr>
              <w:t>The true effect is likely to be close to the estimate of the effect, but there is a possibility that it is substantially different.</w:t>
            </w:r>
          </w:p>
        </w:tc>
      </w:tr>
      <w:tr w:rsidR="00837E18" w14:paraId="4E6DBD60" w14:textId="77777777" w:rsidTr="003F494F">
        <w:tc>
          <w:tcPr>
            <w:tcW w:w="988" w:type="dxa"/>
          </w:tcPr>
          <w:p w14:paraId="35B07481" w14:textId="3FC75FFA" w:rsidR="001066E5" w:rsidRDefault="001630D4" w:rsidP="003F494F">
            <w:pPr>
              <w:spacing w:line="360" w:lineRule="auto"/>
              <w:jc w:val="center"/>
              <w:rPr>
                <w:rFonts w:cstheme="minorHAnsi"/>
                <w:b/>
                <w:sz w:val="22"/>
                <w:szCs w:val="22"/>
              </w:rPr>
            </w:pPr>
            <w:r>
              <w:rPr>
                <w:rFonts w:cstheme="minorHAnsi"/>
                <w:b/>
                <w:sz w:val="22"/>
                <w:szCs w:val="22"/>
              </w:rPr>
              <w:t>C</w:t>
            </w:r>
          </w:p>
        </w:tc>
        <w:tc>
          <w:tcPr>
            <w:tcW w:w="2268" w:type="dxa"/>
          </w:tcPr>
          <w:p w14:paraId="4D72393A" w14:textId="529B221A" w:rsidR="001066E5" w:rsidRPr="001066E5" w:rsidRDefault="001630D4" w:rsidP="003F494F">
            <w:pPr>
              <w:spacing w:line="360" w:lineRule="auto"/>
              <w:rPr>
                <w:rFonts w:cstheme="minorHAnsi"/>
                <w:bCs/>
                <w:sz w:val="22"/>
                <w:szCs w:val="22"/>
              </w:rPr>
            </w:pPr>
            <w:r w:rsidRPr="001066E5">
              <w:rPr>
                <w:rFonts w:cstheme="minorHAnsi"/>
                <w:bCs/>
                <w:sz w:val="22"/>
                <w:szCs w:val="22"/>
              </w:rPr>
              <w:t>Low</w:t>
            </w:r>
          </w:p>
        </w:tc>
        <w:tc>
          <w:tcPr>
            <w:tcW w:w="7194" w:type="dxa"/>
          </w:tcPr>
          <w:p w14:paraId="320A4109" w14:textId="2E08CF2A" w:rsidR="001066E5" w:rsidRPr="001066E5" w:rsidRDefault="001630D4" w:rsidP="003F494F">
            <w:pPr>
              <w:spacing w:line="360" w:lineRule="auto"/>
              <w:rPr>
                <w:rFonts w:cstheme="minorHAnsi"/>
                <w:bCs/>
                <w:sz w:val="22"/>
                <w:szCs w:val="22"/>
              </w:rPr>
            </w:pPr>
            <w:r w:rsidRPr="001066E5">
              <w:rPr>
                <w:rFonts w:cstheme="minorHAnsi"/>
                <w:bCs/>
                <w:sz w:val="22"/>
                <w:szCs w:val="22"/>
              </w:rPr>
              <w:t xml:space="preserve">The true effect may be substantially different from the estimate of the effect. </w:t>
            </w:r>
          </w:p>
        </w:tc>
      </w:tr>
      <w:tr w:rsidR="00837E18" w14:paraId="0F242750" w14:textId="77777777" w:rsidTr="003F494F">
        <w:tc>
          <w:tcPr>
            <w:tcW w:w="988" w:type="dxa"/>
          </w:tcPr>
          <w:p w14:paraId="6306F42C" w14:textId="5EB9D708" w:rsidR="001066E5" w:rsidRDefault="001630D4" w:rsidP="003F494F">
            <w:pPr>
              <w:spacing w:line="360" w:lineRule="auto"/>
              <w:jc w:val="center"/>
              <w:rPr>
                <w:rFonts w:cstheme="minorHAnsi"/>
                <w:b/>
                <w:sz w:val="22"/>
                <w:szCs w:val="22"/>
              </w:rPr>
            </w:pPr>
            <w:r>
              <w:rPr>
                <w:rFonts w:cstheme="minorHAnsi"/>
                <w:b/>
                <w:sz w:val="22"/>
                <w:szCs w:val="22"/>
              </w:rPr>
              <w:t>D</w:t>
            </w:r>
          </w:p>
        </w:tc>
        <w:tc>
          <w:tcPr>
            <w:tcW w:w="2268" w:type="dxa"/>
          </w:tcPr>
          <w:p w14:paraId="1CD23632" w14:textId="5AFAD45F" w:rsidR="001066E5" w:rsidRPr="001066E5" w:rsidRDefault="001630D4" w:rsidP="003F494F">
            <w:pPr>
              <w:spacing w:line="360" w:lineRule="auto"/>
              <w:rPr>
                <w:rFonts w:cstheme="minorHAnsi"/>
                <w:bCs/>
                <w:sz w:val="22"/>
                <w:szCs w:val="22"/>
              </w:rPr>
            </w:pPr>
            <w:r w:rsidRPr="001066E5">
              <w:rPr>
                <w:rFonts w:cstheme="minorHAnsi"/>
                <w:bCs/>
                <w:sz w:val="22"/>
                <w:szCs w:val="22"/>
              </w:rPr>
              <w:t xml:space="preserve">Very low </w:t>
            </w:r>
          </w:p>
        </w:tc>
        <w:tc>
          <w:tcPr>
            <w:tcW w:w="7194" w:type="dxa"/>
          </w:tcPr>
          <w:p w14:paraId="4775D975" w14:textId="4E574BAA" w:rsidR="001066E5" w:rsidRPr="001066E5" w:rsidRDefault="001630D4" w:rsidP="003F494F">
            <w:pPr>
              <w:spacing w:line="360" w:lineRule="auto"/>
              <w:rPr>
                <w:rFonts w:cstheme="minorHAnsi"/>
                <w:bCs/>
                <w:sz w:val="22"/>
                <w:szCs w:val="22"/>
              </w:rPr>
            </w:pPr>
            <w:r w:rsidRPr="001066E5">
              <w:rPr>
                <w:rFonts w:cstheme="minorHAnsi"/>
                <w:bCs/>
                <w:sz w:val="22"/>
                <w:szCs w:val="22"/>
              </w:rPr>
              <w:t xml:space="preserve">The estimate of the effect is very uncertain, and often it will be far from the true effect. </w:t>
            </w:r>
          </w:p>
        </w:tc>
      </w:tr>
    </w:tbl>
    <w:p w14:paraId="1C833279" w14:textId="77777777" w:rsidR="006F0C5C" w:rsidRPr="00117750" w:rsidRDefault="006F0C5C" w:rsidP="003F494F">
      <w:pPr>
        <w:spacing w:line="360" w:lineRule="auto"/>
        <w:rPr>
          <w:rFonts w:cstheme="minorHAnsi"/>
          <w:b/>
          <w:sz w:val="22"/>
          <w:szCs w:val="22"/>
        </w:rPr>
      </w:pPr>
    </w:p>
    <w:p w14:paraId="2B82A890" w14:textId="77777777" w:rsidR="008C4799" w:rsidRDefault="001630D4" w:rsidP="003F494F">
      <w:pPr>
        <w:spacing w:line="360" w:lineRule="auto"/>
        <w:rPr>
          <w:rFonts w:cstheme="minorHAnsi"/>
          <w:b/>
          <w:sz w:val="22"/>
          <w:szCs w:val="22"/>
        </w:rPr>
      </w:pPr>
      <w:r>
        <w:rPr>
          <w:rFonts w:cstheme="minorHAnsi"/>
          <w:b/>
        </w:rPr>
        <w:br w:type="page"/>
      </w:r>
    </w:p>
    <w:p w14:paraId="2AB62D1B" w14:textId="6A326CBE" w:rsidR="00C278A7" w:rsidRPr="00117750" w:rsidRDefault="001630D4" w:rsidP="003F494F">
      <w:pPr>
        <w:pStyle w:val="NoSpacing"/>
        <w:spacing w:line="360" w:lineRule="auto"/>
        <w:rPr>
          <w:rFonts w:cstheme="minorHAnsi"/>
          <w:b/>
        </w:rPr>
      </w:pPr>
      <w:r>
        <w:rPr>
          <w:rFonts w:cstheme="minorHAnsi"/>
          <w:b/>
        </w:rPr>
        <w:lastRenderedPageBreak/>
        <w:t xml:space="preserve">Appendix 4: </w:t>
      </w:r>
      <w:r w:rsidRPr="00117750">
        <w:rPr>
          <w:rFonts w:cstheme="minorHAnsi"/>
          <w:b/>
        </w:rPr>
        <w:t>Universal kidney care for children and young people with kidney disease</w:t>
      </w:r>
    </w:p>
    <w:p w14:paraId="29ED2FBD" w14:textId="77777777" w:rsidR="00C278A7" w:rsidRPr="00117750" w:rsidRDefault="00C278A7" w:rsidP="003F494F">
      <w:pPr>
        <w:pStyle w:val="NoSpacing"/>
        <w:spacing w:line="360" w:lineRule="auto"/>
        <w:rPr>
          <w:rFonts w:cstheme="minorHAnsi"/>
        </w:rPr>
      </w:pPr>
    </w:p>
    <w:p w14:paraId="0B4D31B7" w14:textId="77777777" w:rsidR="00C278A7" w:rsidRPr="00117750" w:rsidRDefault="001630D4" w:rsidP="003F494F">
      <w:pPr>
        <w:pStyle w:val="ListParagraph"/>
        <w:numPr>
          <w:ilvl w:val="0"/>
          <w:numId w:val="8"/>
        </w:numPr>
        <w:spacing w:after="160" w:line="360" w:lineRule="auto"/>
        <w:rPr>
          <w:rFonts w:cstheme="minorHAnsi"/>
          <w:i/>
          <w:sz w:val="22"/>
          <w:szCs w:val="22"/>
        </w:rPr>
      </w:pPr>
      <w:r w:rsidRPr="00117750">
        <w:rPr>
          <w:rFonts w:cstheme="minorHAnsi"/>
          <w:b/>
          <w:sz w:val="22"/>
          <w:szCs w:val="22"/>
        </w:rPr>
        <w:t>Proteinuria management</w:t>
      </w:r>
    </w:p>
    <w:p w14:paraId="2B78FAF8" w14:textId="77777777" w:rsidR="00C278A7" w:rsidRPr="00117750" w:rsidRDefault="001630D4" w:rsidP="003F494F">
      <w:pPr>
        <w:spacing w:line="360" w:lineRule="auto"/>
        <w:jc w:val="both"/>
        <w:rPr>
          <w:rFonts w:cstheme="minorHAnsi"/>
          <w:sz w:val="22"/>
          <w:szCs w:val="22"/>
        </w:rPr>
      </w:pPr>
      <w:r w:rsidRPr="00117750">
        <w:rPr>
          <w:rFonts w:cstheme="minorHAnsi"/>
          <w:b/>
          <w:i/>
          <w:sz w:val="22"/>
          <w:szCs w:val="22"/>
        </w:rPr>
        <w:t>Definition:</w:t>
      </w:r>
      <w:r w:rsidRPr="00117750">
        <w:rPr>
          <w:rFonts w:cstheme="minorHAnsi"/>
          <w:sz w:val="22"/>
          <w:szCs w:val="22"/>
        </w:rPr>
        <w:t xml:space="preserve"> </w:t>
      </w:r>
    </w:p>
    <w:p w14:paraId="5B40CC7E" w14:textId="77777777" w:rsidR="00C278A7" w:rsidRPr="00117750" w:rsidRDefault="001630D4" w:rsidP="003F494F">
      <w:pPr>
        <w:spacing w:line="360" w:lineRule="auto"/>
        <w:jc w:val="both"/>
        <w:rPr>
          <w:rFonts w:cstheme="minorHAnsi"/>
          <w:sz w:val="22"/>
          <w:szCs w:val="22"/>
        </w:rPr>
      </w:pPr>
      <w:r w:rsidRPr="00117750">
        <w:rPr>
          <w:rFonts w:cstheme="minorHAnsi"/>
          <w:sz w:val="22"/>
          <w:szCs w:val="22"/>
        </w:rPr>
        <w:t xml:space="preserve">Proteinuria should be quantified using the urine protein to creatinine ratio (UPCR) or urine albumin to creatinine ratio (UACR) collected from a first morning sample and measured on 3 different occasions for the initial confirmation to avoid confounding factors such as infection or menstruation. </w:t>
      </w:r>
    </w:p>
    <w:p w14:paraId="5FF1D3CA" w14:textId="77777777" w:rsidR="00C278A7" w:rsidRPr="00117750" w:rsidRDefault="001630D4" w:rsidP="003F494F">
      <w:pPr>
        <w:spacing w:line="360" w:lineRule="auto"/>
        <w:jc w:val="both"/>
        <w:rPr>
          <w:rFonts w:cstheme="minorHAnsi"/>
          <w:sz w:val="22"/>
          <w:szCs w:val="22"/>
        </w:rPr>
      </w:pPr>
      <w:r w:rsidRPr="00117750">
        <w:rPr>
          <w:rFonts w:cstheme="minorHAnsi"/>
          <w:b/>
          <w:i/>
          <w:sz w:val="22"/>
          <w:szCs w:val="22"/>
        </w:rPr>
        <w:t>Indications for treatment:</w:t>
      </w:r>
      <w:r w:rsidRPr="00117750">
        <w:rPr>
          <w:rFonts w:cstheme="minorHAnsi"/>
          <w:sz w:val="22"/>
          <w:szCs w:val="22"/>
        </w:rPr>
        <w:t xml:space="preserve"> </w:t>
      </w:r>
    </w:p>
    <w:p w14:paraId="5B56DA4D" w14:textId="07EAB0BE" w:rsidR="00C278A7" w:rsidRPr="00117750" w:rsidRDefault="001630D4" w:rsidP="003F494F">
      <w:pPr>
        <w:spacing w:line="360" w:lineRule="auto"/>
        <w:jc w:val="both"/>
        <w:rPr>
          <w:rFonts w:cstheme="minorHAnsi"/>
          <w:sz w:val="22"/>
          <w:szCs w:val="22"/>
        </w:rPr>
      </w:pPr>
      <w:r w:rsidRPr="00117750">
        <w:rPr>
          <w:rFonts w:cstheme="minorHAnsi"/>
          <w:sz w:val="22"/>
          <w:szCs w:val="22"/>
        </w:rPr>
        <w:t xml:space="preserve">In </w:t>
      </w:r>
      <w:r w:rsidR="004F6379">
        <w:rPr>
          <w:rFonts w:cstheme="minorHAnsi"/>
          <w:sz w:val="22"/>
          <w:szCs w:val="22"/>
        </w:rPr>
        <w:t>IM-GD</w:t>
      </w:r>
      <w:r w:rsidRPr="00117750">
        <w:rPr>
          <w:rFonts w:cstheme="minorHAnsi"/>
          <w:sz w:val="22"/>
          <w:szCs w:val="22"/>
        </w:rPr>
        <w:t>, renin angiotensin aldosterone inhibitor (</w:t>
      </w:r>
      <w:proofErr w:type="spellStart"/>
      <w:r w:rsidRPr="00117750">
        <w:rPr>
          <w:rFonts w:cstheme="minorHAnsi"/>
          <w:sz w:val="22"/>
          <w:szCs w:val="22"/>
        </w:rPr>
        <w:t>RAASi</w:t>
      </w:r>
      <w:proofErr w:type="spellEnd"/>
      <w:r w:rsidRPr="00117750">
        <w:rPr>
          <w:rFonts w:cstheme="minorHAnsi"/>
          <w:sz w:val="22"/>
          <w:szCs w:val="22"/>
        </w:rPr>
        <w:t>) treatment (either Angiotensin converting enzyme inhibitor (</w:t>
      </w:r>
      <w:proofErr w:type="spellStart"/>
      <w:r w:rsidRPr="00117750">
        <w:rPr>
          <w:rFonts w:cstheme="minorHAnsi"/>
          <w:sz w:val="22"/>
          <w:szCs w:val="22"/>
        </w:rPr>
        <w:t>ACEi</w:t>
      </w:r>
      <w:proofErr w:type="spellEnd"/>
      <w:r w:rsidRPr="00117750">
        <w:rPr>
          <w:rFonts w:cstheme="minorHAnsi"/>
          <w:sz w:val="22"/>
          <w:szCs w:val="22"/>
        </w:rPr>
        <w:t xml:space="preserve">) or angiotensin receptor blocker (ARB)) should be started in patients with persistent proteinuria who have not demonstrated </w:t>
      </w:r>
      <w:r w:rsidR="004F6379">
        <w:rPr>
          <w:rFonts w:cstheme="minorHAnsi"/>
          <w:sz w:val="22"/>
          <w:szCs w:val="22"/>
        </w:rPr>
        <w:t>complete</w:t>
      </w:r>
      <w:r w:rsidRPr="00117750">
        <w:rPr>
          <w:rFonts w:cstheme="minorHAnsi"/>
          <w:sz w:val="22"/>
          <w:szCs w:val="22"/>
        </w:rPr>
        <w:t xml:space="preserve"> response </w:t>
      </w:r>
      <w:r w:rsidR="004F6379">
        <w:rPr>
          <w:rFonts w:cstheme="minorHAnsi"/>
          <w:sz w:val="22"/>
          <w:szCs w:val="22"/>
        </w:rPr>
        <w:t>after at least</w:t>
      </w:r>
      <w:r w:rsidRPr="00117750">
        <w:rPr>
          <w:rFonts w:cstheme="minorHAnsi"/>
          <w:sz w:val="22"/>
          <w:szCs w:val="22"/>
        </w:rPr>
        <w:t xml:space="preserve"> 4 weeks of immunosuppressive </w:t>
      </w:r>
      <w:r w:rsidRPr="009429FC">
        <w:rPr>
          <w:rFonts w:cstheme="minorHAnsi"/>
          <w:sz w:val="22"/>
          <w:szCs w:val="22"/>
        </w:rPr>
        <w:t>treatment. Persisting proteinuria should be defined according to KDIGO thresholds</w:t>
      </w:r>
      <w:r w:rsidRPr="00117750">
        <w:rPr>
          <w:rFonts w:cstheme="minorHAnsi"/>
          <w:sz w:val="22"/>
          <w:szCs w:val="22"/>
        </w:rPr>
        <w:t xml:space="preserve"> (1). </w:t>
      </w:r>
    </w:p>
    <w:p w14:paraId="2E01A7B9" w14:textId="246109FF" w:rsidR="00C278A7" w:rsidRPr="00117750" w:rsidRDefault="001630D4" w:rsidP="003F494F">
      <w:pPr>
        <w:spacing w:line="360" w:lineRule="auto"/>
        <w:jc w:val="both"/>
        <w:rPr>
          <w:rFonts w:cstheme="minorHAnsi"/>
          <w:noProof/>
          <w:sz w:val="22"/>
          <w:szCs w:val="22"/>
          <w:lang w:eastAsia="en-GB"/>
        </w:rPr>
      </w:pPr>
      <w:r w:rsidRPr="00117750">
        <w:rPr>
          <w:rFonts w:cstheme="minorHAnsi"/>
          <w:sz w:val="22"/>
          <w:szCs w:val="22"/>
        </w:rPr>
        <w:t>Caution should be made when starting</w:t>
      </w:r>
      <w:r w:rsidRPr="00117750">
        <w:rPr>
          <w:rFonts w:cstheme="minorHAnsi"/>
          <w:noProof/>
          <w:sz w:val="22"/>
          <w:szCs w:val="22"/>
          <w:lang w:eastAsia="en-GB"/>
        </w:rPr>
        <w:t xml:space="preserve"> treatment in children and young people who are (i) in a nephrotic state where there may be concerns about hypovolaemia and/or (ii) have a rapidly changing or unstable kidney function. Dis</w:t>
      </w:r>
      <w:r w:rsidR="00B24291">
        <w:rPr>
          <w:rFonts w:cstheme="minorHAnsi"/>
          <w:noProof/>
          <w:sz w:val="22"/>
          <w:szCs w:val="22"/>
          <w:lang w:eastAsia="en-GB"/>
        </w:rPr>
        <w:t>ea</w:t>
      </w:r>
      <w:r w:rsidRPr="00117750">
        <w:rPr>
          <w:rFonts w:cstheme="minorHAnsi"/>
          <w:noProof/>
          <w:sz w:val="22"/>
          <w:szCs w:val="22"/>
          <w:lang w:eastAsia="en-GB"/>
        </w:rPr>
        <w:t>se specific indications may warrant earlier indications for example</w:t>
      </w:r>
      <w:r w:rsidR="004F6379">
        <w:rPr>
          <w:rFonts w:cstheme="minorHAnsi"/>
          <w:noProof/>
          <w:sz w:val="22"/>
          <w:szCs w:val="22"/>
          <w:lang w:eastAsia="en-GB"/>
        </w:rPr>
        <w:t xml:space="preserve"> beyond IM-GD</w:t>
      </w:r>
      <w:r w:rsidRPr="00117750">
        <w:rPr>
          <w:rFonts w:cstheme="minorHAnsi"/>
          <w:noProof/>
          <w:sz w:val="22"/>
          <w:szCs w:val="22"/>
          <w:lang w:eastAsia="en-GB"/>
        </w:rPr>
        <w:t xml:space="preserve"> in children with Alport syndrome </w:t>
      </w:r>
      <w:r w:rsidR="004F6379">
        <w:rPr>
          <w:rFonts w:cstheme="minorHAnsi"/>
          <w:noProof/>
          <w:sz w:val="22"/>
          <w:szCs w:val="22"/>
          <w:lang w:eastAsia="en-GB"/>
        </w:rPr>
        <w:t xml:space="preserve">(AS) where </w:t>
      </w:r>
      <w:r w:rsidRPr="00117750">
        <w:rPr>
          <w:rFonts w:cstheme="minorHAnsi"/>
          <w:noProof/>
          <w:sz w:val="22"/>
          <w:szCs w:val="22"/>
          <w:lang w:eastAsia="en-GB"/>
        </w:rPr>
        <w:t xml:space="preserve">boys with X-linked AS (XLAS) or children of either sex with autosomal recessive AS benefit from consideration of starting RAASi treatment anytime after the age of 2 years as a disease modifying treatment (2). This is independent of the threshold for proteinuria and preliminary evidence suggests it may extend the kidney lifespan by &gt;10 years (2). This should be reviewed on an individual basis after an informed discussion with the patient and family. For girls with XLAS or any children with heterozygous vairiants in </w:t>
      </w:r>
      <w:r w:rsidRPr="00117750">
        <w:rPr>
          <w:rFonts w:cstheme="minorHAnsi"/>
          <w:i/>
          <w:iCs/>
          <w:noProof/>
          <w:sz w:val="22"/>
          <w:szCs w:val="22"/>
          <w:lang w:eastAsia="en-GB"/>
        </w:rPr>
        <w:t>COL4A3</w:t>
      </w:r>
      <w:r w:rsidRPr="00117750">
        <w:rPr>
          <w:rFonts w:cstheme="minorHAnsi"/>
          <w:noProof/>
          <w:sz w:val="22"/>
          <w:szCs w:val="22"/>
          <w:lang w:eastAsia="en-GB"/>
        </w:rPr>
        <w:t xml:space="preserve"> or </w:t>
      </w:r>
      <w:r w:rsidRPr="00117750">
        <w:rPr>
          <w:rFonts w:cstheme="minorHAnsi"/>
          <w:i/>
          <w:iCs/>
          <w:noProof/>
          <w:sz w:val="22"/>
          <w:szCs w:val="22"/>
          <w:lang w:eastAsia="en-GB"/>
        </w:rPr>
        <w:t>COL4A4</w:t>
      </w:r>
      <w:r w:rsidRPr="00117750">
        <w:rPr>
          <w:rFonts w:cstheme="minorHAnsi"/>
          <w:noProof/>
          <w:sz w:val="22"/>
          <w:szCs w:val="22"/>
          <w:lang w:eastAsia="en-GB"/>
        </w:rPr>
        <w:t xml:space="preserve"> the treatment of RAASi should be commenced when there is evidence of persistent proteinuria. </w:t>
      </w:r>
    </w:p>
    <w:p w14:paraId="108C1F54" w14:textId="77777777" w:rsidR="00C278A7" w:rsidRPr="00117750" w:rsidRDefault="001630D4" w:rsidP="003F494F">
      <w:pPr>
        <w:spacing w:line="360" w:lineRule="auto"/>
        <w:rPr>
          <w:rFonts w:cstheme="minorHAnsi"/>
          <w:sz w:val="22"/>
          <w:szCs w:val="22"/>
        </w:rPr>
      </w:pPr>
      <w:r w:rsidRPr="00117750">
        <w:rPr>
          <w:rFonts w:cstheme="minorHAnsi"/>
          <w:b/>
          <w:i/>
          <w:sz w:val="22"/>
          <w:szCs w:val="22"/>
        </w:rPr>
        <w:t>Treatment:</w:t>
      </w:r>
      <w:r w:rsidRPr="00117750">
        <w:rPr>
          <w:rFonts w:cstheme="minorHAnsi"/>
          <w:sz w:val="22"/>
          <w:szCs w:val="22"/>
        </w:rPr>
        <w:t xml:space="preserve"> </w:t>
      </w:r>
    </w:p>
    <w:p w14:paraId="250F5EB4" w14:textId="398B3140" w:rsidR="00C278A7" w:rsidRPr="00117750" w:rsidRDefault="001630D4" w:rsidP="003F494F">
      <w:pPr>
        <w:spacing w:line="360" w:lineRule="auto"/>
        <w:jc w:val="both"/>
        <w:rPr>
          <w:rFonts w:cstheme="minorHAnsi"/>
          <w:noProof/>
          <w:sz w:val="22"/>
          <w:szCs w:val="22"/>
          <w:lang w:eastAsia="en-GB"/>
        </w:rPr>
      </w:pPr>
      <w:proofErr w:type="spellStart"/>
      <w:r w:rsidRPr="00117750">
        <w:rPr>
          <w:rFonts w:cstheme="minorHAnsi"/>
          <w:sz w:val="22"/>
          <w:szCs w:val="22"/>
        </w:rPr>
        <w:t>ACEi</w:t>
      </w:r>
      <w:proofErr w:type="spellEnd"/>
      <w:r w:rsidRPr="00117750">
        <w:rPr>
          <w:rFonts w:cstheme="minorHAnsi"/>
          <w:sz w:val="22"/>
          <w:szCs w:val="22"/>
        </w:rPr>
        <w:t xml:space="preserve"> or ARB should be started using an age-appropriate dose according to the </w:t>
      </w:r>
      <w:proofErr w:type="spellStart"/>
      <w:r w:rsidR="004F6379">
        <w:rPr>
          <w:rFonts w:cstheme="minorHAnsi"/>
          <w:sz w:val="22"/>
          <w:szCs w:val="22"/>
        </w:rPr>
        <w:t>BNFc</w:t>
      </w:r>
      <w:proofErr w:type="spellEnd"/>
      <w:r w:rsidRPr="00117750">
        <w:rPr>
          <w:rFonts w:cstheme="minorHAnsi"/>
          <w:sz w:val="22"/>
          <w:szCs w:val="22"/>
        </w:rPr>
        <w:t xml:space="preserve"> up to the maximum dose tolerated.</w:t>
      </w:r>
      <w:r w:rsidRPr="00117750">
        <w:rPr>
          <w:rFonts w:cstheme="minorHAnsi"/>
          <w:noProof/>
          <w:sz w:val="22"/>
          <w:szCs w:val="22"/>
          <w:lang w:eastAsia="en-GB"/>
        </w:rPr>
        <w:t xml:space="preserve"> </w:t>
      </w:r>
      <w:r w:rsidRPr="009429FC">
        <w:rPr>
          <w:rFonts w:cstheme="minorHAnsi"/>
          <w:noProof/>
          <w:sz w:val="22"/>
          <w:szCs w:val="22"/>
          <w:lang w:eastAsia="en-GB"/>
        </w:rPr>
        <w:t xml:space="preserve">The goal is to </w:t>
      </w:r>
      <w:r w:rsidRPr="00117750">
        <w:rPr>
          <w:rFonts w:cstheme="minorHAnsi"/>
          <w:noProof/>
          <w:sz w:val="22"/>
          <w:szCs w:val="22"/>
          <w:lang w:eastAsia="en-GB"/>
        </w:rPr>
        <w:t>achieve optimal RAASi treatment as tolerated to minimise proteinuria.</w:t>
      </w:r>
      <w:r w:rsidR="004F6379">
        <w:rPr>
          <w:rFonts w:cstheme="minorHAnsi"/>
          <w:noProof/>
          <w:sz w:val="22"/>
          <w:szCs w:val="22"/>
          <w:lang w:eastAsia="en-GB"/>
        </w:rPr>
        <w:t xml:space="preserve"> </w:t>
      </w:r>
      <w:r w:rsidRPr="00117750">
        <w:rPr>
          <w:rFonts w:cstheme="minorHAnsi"/>
          <w:noProof/>
          <w:sz w:val="22"/>
          <w:szCs w:val="22"/>
          <w:lang w:eastAsia="en-GB"/>
        </w:rPr>
        <w:t xml:space="preserve">In patients with clinical signs of oedema the mangement of proteinuria should include fluid and salt restriction as appropriate. Some children and young people may require diuretics and intravenous albumin infusions. The detailed use of these agents is beyond the scope of this document. </w:t>
      </w:r>
    </w:p>
    <w:p w14:paraId="59B0DD35" w14:textId="77777777" w:rsidR="00C278A7" w:rsidRPr="00117750" w:rsidRDefault="001630D4" w:rsidP="003F494F">
      <w:pPr>
        <w:spacing w:line="360" w:lineRule="auto"/>
        <w:jc w:val="both"/>
        <w:rPr>
          <w:rFonts w:cstheme="minorHAnsi"/>
          <w:b/>
          <w:i/>
          <w:noProof/>
          <w:sz w:val="22"/>
          <w:szCs w:val="22"/>
          <w:lang w:eastAsia="en-GB"/>
        </w:rPr>
      </w:pPr>
      <w:r w:rsidRPr="00117750">
        <w:rPr>
          <w:rFonts w:cstheme="minorHAnsi"/>
          <w:b/>
          <w:i/>
          <w:noProof/>
          <w:sz w:val="22"/>
          <w:szCs w:val="22"/>
          <w:lang w:eastAsia="en-GB"/>
        </w:rPr>
        <w:t xml:space="preserve">Monitoring: </w:t>
      </w:r>
    </w:p>
    <w:p w14:paraId="68EF1816" w14:textId="66A44E12" w:rsidR="00C278A7" w:rsidRPr="00117750" w:rsidRDefault="001630D4" w:rsidP="003F494F">
      <w:pPr>
        <w:spacing w:line="360" w:lineRule="auto"/>
        <w:jc w:val="both"/>
        <w:rPr>
          <w:rFonts w:cstheme="minorHAnsi"/>
          <w:noProof/>
          <w:sz w:val="22"/>
          <w:szCs w:val="22"/>
          <w:lang w:eastAsia="en-GB"/>
        </w:rPr>
      </w:pPr>
      <w:r w:rsidRPr="00117750">
        <w:rPr>
          <w:rFonts w:cstheme="minorHAnsi"/>
          <w:noProof/>
          <w:sz w:val="22"/>
          <w:szCs w:val="22"/>
          <w:lang w:eastAsia="en-GB"/>
        </w:rPr>
        <w:t xml:space="preserve">In children and young people starting RAASi the kidney function should be checked within 14 days of commencing treatment. Combined use of ACEi and ARB is not recommneded due to safety concerns related to hyperkalaemia and uncertain additional benefit. </w:t>
      </w:r>
      <w:r w:rsidR="004F6379">
        <w:rPr>
          <w:rFonts w:cstheme="minorHAnsi"/>
          <w:noProof/>
          <w:sz w:val="22"/>
          <w:szCs w:val="22"/>
          <w:lang w:eastAsia="en-GB"/>
        </w:rPr>
        <w:t xml:space="preserve"> </w:t>
      </w:r>
      <w:r w:rsidRPr="00117750">
        <w:rPr>
          <w:rFonts w:cstheme="minorHAnsi"/>
          <w:noProof/>
          <w:sz w:val="22"/>
          <w:szCs w:val="22"/>
          <w:lang w:eastAsia="en-GB"/>
        </w:rPr>
        <w:t xml:space="preserve">A rise in serum creatinine by up to 15-20% may be seen following commencement of RAASi.  The ACEi/ARB should be stopped if the kidney function continues to worsen and/or there is refractory hyperkalaemia (potassium concentration &gt;5.5 mmol/L). Patients should be informed about the adverse event profile of these agents and counselled to withhold the use of ACEi or ARB treatment when there may be a risk of volume </w:t>
      </w:r>
      <w:r w:rsidRPr="00117750">
        <w:rPr>
          <w:rFonts w:cstheme="minorHAnsi"/>
          <w:noProof/>
          <w:sz w:val="22"/>
          <w:szCs w:val="22"/>
          <w:lang w:eastAsia="en-GB"/>
        </w:rPr>
        <w:lastRenderedPageBreak/>
        <w:t xml:space="preserve">depletion (for example intercurrent diarrhoea and vomiting). They should also be aware of the risks of teratogenicity in pubertal females who may be sexually active. </w:t>
      </w:r>
    </w:p>
    <w:p w14:paraId="377C05FE" w14:textId="77777777" w:rsidR="00C278A7" w:rsidRPr="00117750" w:rsidRDefault="001630D4" w:rsidP="003F494F">
      <w:pPr>
        <w:pStyle w:val="ListParagraph"/>
        <w:numPr>
          <w:ilvl w:val="0"/>
          <w:numId w:val="8"/>
        </w:numPr>
        <w:spacing w:after="160" w:line="360" w:lineRule="auto"/>
        <w:jc w:val="both"/>
        <w:rPr>
          <w:rFonts w:cstheme="minorHAnsi"/>
          <w:b/>
          <w:sz w:val="22"/>
          <w:szCs w:val="22"/>
        </w:rPr>
      </w:pPr>
      <w:r w:rsidRPr="00117750">
        <w:rPr>
          <w:rFonts w:cstheme="minorHAnsi"/>
          <w:b/>
          <w:sz w:val="22"/>
          <w:szCs w:val="22"/>
        </w:rPr>
        <w:t xml:space="preserve">Hypertension management </w:t>
      </w:r>
    </w:p>
    <w:p w14:paraId="2BFEC0BC" w14:textId="141C01DB" w:rsidR="00C278A7" w:rsidRPr="00117750" w:rsidRDefault="001630D4" w:rsidP="003F494F">
      <w:pPr>
        <w:spacing w:line="360" w:lineRule="auto"/>
        <w:jc w:val="both"/>
        <w:rPr>
          <w:rFonts w:cstheme="minorHAnsi"/>
          <w:sz w:val="22"/>
          <w:szCs w:val="22"/>
        </w:rPr>
      </w:pPr>
      <w:r w:rsidRPr="00117750">
        <w:rPr>
          <w:rFonts w:cstheme="minorHAnsi"/>
          <w:sz w:val="22"/>
          <w:szCs w:val="22"/>
        </w:rPr>
        <w:t xml:space="preserve">For the management of hypertension in children please refer to either the European Society of Hypertension </w:t>
      </w:r>
      <w:proofErr w:type="spellStart"/>
      <w:r w:rsidRPr="00117750">
        <w:rPr>
          <w:rFonts w:cstheme="minorHAnsi"/>
          <w:sz w:val="22"/>
          <w:szCs w:val="22"/>
        </w:rPr>
        <w:t>Pediatric</w:t>
      </w:r>
      <w:proofErr w:type="spellEnd"/>
      <w:r w:rsidRPr="00117750">
        <w:rPr>
          <w:rFonts w:cstheme="minorHAnsi"/>
          <w:sz w:val="22"/>
          <w:szCs w:val="22"/>
        </w:rPr>
        <w:t xml:space="preserve"> Hypertension Guidelines or the American Academy of </w:t>
      </w:r>
      <w:proofErr w:type="spellStart"/>
      <w:r w:rsidRPr="00117750">
        <w:rPr>
          <w:rFonts w:cstheme="minorHAnsi"/>
          <w:sz w:val="22"/>
          <w:szCs w:val="22"/>
        </w:rPr>
        <w:t>Pediatrics’</w:t>
      </w:r>
      <w:proofErr w:type="spellEnd"/>
      <w:r w:rsidRPr="00117750">
        <w:rPr>
          <w:rFonts w:cstheme="minorHAnsi"/>
          <w:sz w:val="22"/>
          <w:szCs w:val="22"/>
        </w:rPr>
        <w:t xml:space="preserve"> clinical practice guideline for screening and management of high blood pressure in children and adolescents (3, 4). These guidelines suggest that the first line treatment for hypertension in </w:t>
      </w:r>
      <w:r w:rsidR="00B30D0A">
        <w:rPr>
          <w:rFonts w:cstheme="minorHAnsi"/>
          <w:sz w:val="22"/>
          <w:szCs w:val="22"/>
        </w:rPr>
        <w:t>IM-GD</w:t>
      </w:r>
      <w:r w:rsidRPr="00117750">
        <w:rPr>
          <w:rFonts w:cstheme="minorHAnsi"/>
          <w:sz w:val="22"/>
          <w:szCs w:val="22"/>
        </w:rPr>
        <w:t xml:space="preserve"> should be either an </w:t>
      </w:r>
      <w:proofErr w:type="spellStart"/>
      <w:r w:rsidRPr="00117750">
        <w:rPr>
          <w:rFonts w:cstheme="minorHAnsi"/>
          <w:sz w:val="22"/>
          <w:szCs w:val="22"/>
        </w:rPr>
        <w:t>ACEi</w:t>
      </w:r>
      <w:proofErr w:type="spellEnd"/>
      <w:r w:rsidRPr="00117750">
        <w:rPr>
          <w:rFonts w:cstheme="minorHAnsi"/>
          <w:sz w:val="22"/>
          <w:szCs w:val="22"/>
        </w:rPr>
        <w:t xml:space="preserve"> or ARB if not contraindicated and the target systolic blood pressure should be &lt;50</w:t>
      </w:r>
      <w:r w:rsidRPr="00117750">
        <w:rPr>
          <w:rFonts w:cstheme="minorHAnsi"/>
          <w:sz w:val="22"/>
          <w:szCs w:val="22"/>
          <w:vertAlign w:val="superscript"/>
        </w:rPr>
        <w:t>th</w:t>
      </w:r>
      <w:r w:rsidRPr="00117750">
        <w:rPr>
          <w:rFonts w:cstheme="minorHAnsi"/>
          <w:sz w:val="22"/>
          <w:szCs w:val="22"/>
        </w:rPr>
        <w:t xml:space="preserve"> centile for age, sex and height (5, 6). Confirmation of hypertension or a satisfactory BP target should ideally be obtained using a 24-hour ambulatory </w:t>
      </w:r>
      <w:r w:rsidR="00B30D0A">
        <w:rPr>
          <w:rFonts w:cstheme="minorHAnsi"/>
          <w:sz w:val="22"/>
          <w:szCs w:val="22"/>
        </w:rPr>
        <w:t>BP</w:t>
      </w:r>
      <w:r w:rsidRPr="00117750">
        <w:rPr>
          <w:rFonts w:cstheme="minorHAnsi"/>
          <w:sz w:val="22"/>
          <w:szCs w:val="22"/>
        </w:rPr>
        <w:t xml:space="preserve"> monitor if appropriate and the target systolic BP should be no more than 120 mmHg as this is the recommended maximum adult target (5).  </w:t>
      </w:r>
    </w:p>
    <w:p w14:paraId="6734AF81" w14:textId="77777777" w:rsidR="00C278A7" w:rsidRPr="00117750" w:rsidRDefault="001630D4" w:rsidP="003F494F">
      <w:pPr>
        <w:pStyle w:val="ListParagraph"/>
        <w:numPr>
          <w:ilvl w:val="0"/>
          <w:numId w:val="8"/>
        </w:numPr>
        <w:spacing w:after="160" w:line="360" w:lineRule="auto"/>
        <w:jc w:val="both"/>
        <w:rPr>
          <w:rFonts w:cstheme="minorHAnsi"/>
          <w:b/>
          <w:sz w:val="22"/>
          <w:szCs w:val="22"/>
        </w:rPr>
      </w:pPr>
      <w:r w:rsidRPr="00117750">
        <w:rPr>
          <w:rFonts w:cstheme="minorHAnsi"/>
          <w:b/>
          <w:sz w:val="22"/>
          <w:szCs w:val="22"/>
        </w:rPr>
        <w:t xml:space="preserve">Hyperlipidaemia management </w:t>
      </w:r>
    </w:p>
    <w:p w14:paraId="6B3DE571" w14:textId="77777777" w:rsidR="00C278A7" w:rsidRPr="00117750" w:rsidRDefault="001630D4" w:rsidP="003F494F">
      <w:pPr>
        <w:spacing w:line="360" w:lineRule="auto"/>
        <w:jc w:val="both"/>
        <w:rPr>
          <w:rFonts w:cstheme="minorHAnsi"/>
          <w:sz w:val="22"/>
          <w:szCs w:val="22"/>
        </w:rPr>
      </w:pPr>
      <w:r w:rsidRPr="00117750">
        <w:rPr>
          <w:rFonts w:cstheme="minorHAnsi"/>
          <w:b/>
          <w:i/>
          <w:sz w:val="22"/>
          <w:szCs w:val="22"/>
        </w:rPr>
        <w:t>Definition:</w:t>
      </w:r>
      <w:r w:rsidRPr="00117750">
        <w:rPr>
          <w:rFonts w:cstheme="minorHAnsi"/>
          <w:sz w:val="22"/>
          <w:szCs w:val="22"/>
        </w:rPr>
        <w:t xml:space="preserve"> </w:t>
      </w:r>
    </w:p>
    <w:p w14:paraId="40980A60" w14:textId="6A521F9B" w:rsidR="00C278A7" w:rsidRPr="00117750" w:rsidRDefault="001630D4" w:rsidP="003F494F">
      <w:pPr>
        <w:spacing w:line="360" w:lineRule="auto"/>
        <w:jc w:val="both"/>
        <w:rPr>
          <w:rFonts w:cstheme="minorHAnsi"/>
          <w:sz w:val="22"/>
          <w:szCs w:val="22"/>
        </w:rPr>
      </w:pPr>
      <w:r w:rsidRPr="00117750">
        <w:rPr>
          <w:rFonts w:cstheme="minorHAnsi"/>
          <w:sz w:val="22"/>
          <w:szCs w:val="22"/>
        </w:rPr>
        <w:t xml:space="preserve">A random blood lipid profile should be measured in children and young people with </w:t>
      </w:r>
      <w:r w:rsidR="00B30D0A">
        <w:rPr>
          <w:rFonts w:cstheme="minorHAnsi"/>
          <w:sz w:val="22"/>
          <w:szCs w:val="22"/>
        </w:rPr>
        <w:t>IM-GD</w:t>
      </w:r>
      <w:r w:rsidRPr="00117750">
        <w:rPr>
          <w:rFonts w:cstheme="minorHAnsi"/>
          <w:sz w:val="22"/>
          <w:szCs w:val="22"/>
        </w:rPr>
        <w:t xml:space="preserve"> </w:t>
      </w:r>
      <w:r w:rsidR="00B30D0A">
        <w:rPr>
          <w:rFonts w:cstheme="minorHAnsi"/>
          <w:sz w:val="22"/>
          <w:szCs w:val="22"/>
        </w:rPr>
        <w:t>especially in</w:t>
      </w:r>
      <w:r w:rsidRPr="00117750">
        <w:rPr>
          <w:rFonts w:cstheme="minorHAnsi"/>
          <w:sz w:val="22"/>
          <w:szCs w:val="22"/>
        </w:rPr>
        <w:t xml:space="preserve"> patients with nephrotic-range proteinuria &gt;3 months duration.  </w:t>
      </w:r>
    </w:p>
    <w:p w14:paraId="23D2D520" w14:textId="77777777" w:rsidR="00C278A7" w:rsidRPr="00117750" w:rsidRDefault="001630D4" w:rsidP="003F494F">
      <w:pPr>
        <w:spacing w:line="360" w:lineRule="auto"/>
        <w:jc w:val="both"/>
        <w:rPr>
          <w:rFonts w:cstheme="minorHAnsi"/>
          <w:sz w:val="22"/>
          <w:szCs w:val="22"/>
        </w:rPr>
      </w:pPr>
      <w:r w:rsidRPr="00117750">
        <w:rPr>
          <w:rFonts w:cstheme="minorHAnsi"/>
          <w:b/>
          <w:i/>
          <w:sz w:val="22"/>
          <w:szCs w:val="22"/>
        </w:rPr>
        <w:t>Indications for treatment:</w:t>
      </w:r>
      <w:r w:rsidRPr="00117750">
        <w:rPr>
          <w:rFonts w:cstheme="minorHAnsi"/>
          <w:sz w:val="22"/>
          <w:szCs w:val="22"/>
        </w:rPr>
        <w:t xml:space="preserve"> </w:t>
      </w:r>
    </w:p>
    <w:p w14:paraId="6A46F4B4" w14:textId="77777777" w:rsidR="00C278A7" w:rsidRPr="00117750" w:rsidRDefault="001630D4" w:rsidP="003F494F">
      <w:pPr>
        <w:spacing w:line="360" w:lineRule="auto"/>
        <w:jc w:val="both"/>
        <w:rPr>
          <w:rFonts w:cstheme="minorHAnsi"/>
          <w:sz w:val="22"/>
          <w:szCs w:val="22"/>
        </w:rPr>
      </w:pPr>
      <w:r w:rsidRPr="00117750">
        <w:rPr>
          <w:rFonts w:cstheme="minorHAnsi"/>
          <w:sz w:val="22"/>
          <w:szCs w:val="22"/>
        </w:rPr>
        <w:t xml:space="preserve">Treatment should be considered in cases of persistent hyperlipidaemia defined as </w:t>
      </w:r>
      <w:proofErr w:type="gramStart"/>
      <w:r w:rsidRPr="00117750">
        <w:rPr>
          <w:rFonts w:cstheme="minorHAnsi"/>
          <w:sz w:val="22"/>
          <w:szCs w:val="22"/>
        </w:rPr>
        <w:t>a</w:t>
      </w:r>
      <w:proofErr w:type="gramEnd"/>
      <w:r w:rsidRPr="00117750">
        <w:rPr>
          <w:rFonts w:cstheme="minorHAnsi"/>
          <w:sz w:val="22"/>
          <w:szCs w:val="22"/>
        </w:rPr>
        <w:t xml:space="preserve"> LDL cholesterol concentration of &gt;3.4 mmol/L (1). </w:t>
      </w:r>
    </w:p>
    <w:p w14:paraId="3F26938E" w14:textId="77777777" w:rsidR="00C278A7" w:rsidRPr="00117750" w:rsidRDefault="001630D4" w:rsidP="003F494F">
      <w:pPr>
        <w:spacing w:line="360" w:lineRule="auto"/>
        <w:jc w:val="both"/>
        <w:rPr>
          <w:rFonts w:cstheme="minorHAnsi"/>
          <w:sz w:val="22"/>
          <w:szCs w:val="22"/>
        </w:rPr>
      </w:pPr>
      <w:r w:rsidRPr="00117750">
        <w:rPr>
          <w:rFonts w:cstheme="minorHAnsi"/>
          <w:b/>
          <w:i/>
          <w:sz w:val="22"/>
          <w:szCs w:val="22"/>
        </w:rPr>
        <w:t>Treatment:</w:t>
      </w:r>
      <w:r w:rsidRPr="00117750">
        <w:rPr>
          <w:rFonts w:cstheme="minorHAnsi"/>
          <w:sz w:val="22"/>
          <w:szCs w:val="22"/>
        </w:rPr>
        <w:t xml:space="preserve"> </w:t>
      </w:r>
    </w:p>
    <w:p w14:paraId="45F77338" w14:textId="62F3BAFA" w:rsidR="00C278A7" w:rsidRPr="00117750" w:rsidRDefault="001630D4" w:rsidP="003F494F">
      <w:pPr>
        <w:spacing w:line="360" w:lineRule="auto"/>
        <w:jc w:val="both"/>
        <w:rPr>
          <w:rFonts w:cstheme="minorHAnsi"/>
          <w:sz w:val="22"/>
          <w:szCs w:val="22"/>
        </w:rPr>
      </w:pPr>
      <w:r w:rsidRPr="00117750">
        <w:rPr>
          <w:rFonts w:cstheme="minorHAnsi"/>
          <w:sz w:val="22"/>
          <w:szCs w:val="22"/>
        </w:rPr>
        <w:t xml:space="preserve">Lifestyle modifications should be considered as the first line intervention followed by consideration of the use of a statin as clinically appropriate. These decisions should be made using informed shared decision-making, as specific data relating to the benefits of reducing hyperlipidaemia in </w:t>
      </w:r>
      <w:r w:rsidR="00B30D0A">
        <w:rPr>
          <w:rFonts w:cstheme="minorHAnsi"/>
          <w:sz w:val="22"/>
          <w:szCs w:val="22"/>
        </w:rPr>
        <w:t>CYP</w:t>
      </w:r>
      <w:r w:rsidRPr="00117750">
        <w:rPr>
          <w:rFonts w:cstheme="minorHAnsi"/>
          <w:sz w:val="22"/>
          <w:szCs w:val="22"/>
        </w:rPr>
        <w:t xml:space="preserve"> are lacking. </w:t>
      </w:r>
    </w:p>
    <w:p w14:paraId="410C13DE" w14:textId="77777777" w:rsidR="00C278A7" w:rsidRPr="00117750" w:rsidRDefault="001630D4" w:rsidP="003F494F">
      <w:pPr>
        <w:spacing w:line="360" w:lineRule="auto"/>
        <w:jc w:val="both"/>
        <w:rPr>
          <w:rFonts w:cstheme="minorHAnsi"/>
          <w:b/>
          <w:i/>
          <w:sz w:val="22"/>
          <w:szCs w:val="22"/>
        </w:rPr>
      </w:pPr>
      <w:r w:rsidRPr="00117750">
        <w:rPr>
          <w:rFonts w:cstheme="minorHAnsi"/>
          <w:b/>
          <w:i/>
          <w:sz w:val="22"/>
          <w:szCs w:val="22"/>
        </w:rPr>
        <w:t xml:space="preserve">Monitoring: </w:t>
      </w:r>
    </w:p>
    <w:p w14:paraId="07631467" w14:textId="40A61C0F" w:rsidR="00C278A7" w:rsidRPr="00117750" w:rsidRDefault="001630D4" w:rsidP="003F494F">
      <w:pPr>
        <w:spacing w:line="360" w:lineRule="auto"/>
        <w:jc w:val="both"/>
        <w:rPr>
          <w:rFonts w:cstheme="minorHAnsi"/>
          <w:sz w:val="22"/>
          <w:szCs w:val="22"/>
        </w:rPr>
      </w:pPr>
      <w:r w:rsidRPr="00117750">
        <w:rPr>
          <w:rFonts w:cstheme="minorHAnsi"/>
          <w:sz w:val="22"/>
          <w:szCs w:val="22"/>
        </w:rPr>
        <w:t>The effects of LDL-C lowering medication should be assessed by measurement of the lipid profile and appropriate safety indicators measured approximately 4-12 weeks after statin initiation and/or dose adjustment and subsequently every 3-12 months thereafter</w:t>
      </w:r>
      <w:r w:rsidR="00B30D0A">
        <w:rPr>
          <w:rFonts w:cstheme="minorHAnsi"/>
          <w:sz w:val="22"/>
          <w:szCs w:val="22"/>
        </w:rPr>
        <w:t xml:space="preserve"> depending on the clinical situation</w:t>
      </w:r>
      <w:r w:rsidRPr="00117750">
        <w:rPr>
          <w:rFonts w:cstheme="minorHAnsi"/>
          <w:sz w:val="22"/>
          <w:szCs w:val="22"/>
        </w:rPr>
        <w:t xml:space="preserve">. The goal of treatment is aligned with that in adult patients to improve or stabilise the LDL-C levels to reduce the long term adverse cardiovascular risks (1). </w:t>
      </w:r>
    </w:p>
    <w:p w14:paraId="7F126458" w14:textId="77777777" w:rsidR="00C278A7" w:rsidRPr="00117750" w:rsidRDefault="001630D4" w:rsidP="003F494F">
      <w:pPr>
        <w:pStyle w:val="ListParagraph"/>
        <w:numPr>
          <w:ilvl w:val="0"/>
          <w:numId w:val="8"/>
        </w:numPr>
        <w:spacing w:after="160" w:line="360" w:lineRule="auto"/>
        <w:jc w:val="both"/>
        <w:rPr>
          <w:rFonts w:cstheme="minorHAnsi"/>
          <w:b/>
          <w:sz w:val="22"/>
          <w:szCs w:val="22"/>
        </w:rPr>
      </w:pPr>
      <w:r w:rsidRPr="00117750">
        <w:rPr>
          <w:rFonts w:cstheme="minorHAnsi"/>
          <w:b/>
          <w:sz w:val="22"/>
          <w:szCs w:val="22"/>
        </w:rPr>
        <w:t xml:space="preserve">Thromboembolic management </w:t>
      </w:r>
    </w:p>
    <w:p w14:paraId="7FA07542" w14:textId="77777777" w:rsidR="00C278A7" w:rsidRPr="00117750" w:rsidRDefault="001630D4" w:rsidP="003F494F">
      <w:pPr>
        <w:spacing w:line="360" w:lineRule="auto"/>
        <w:jc w:val="both"/>
        <w:rPr>
          <w:rFonts w:cstheme="minorHAnsi"/>
          <w:b/>
          <w:i/>
          <w:sz w:val="22"/>
          <w:szCs w:val="22"/>
        </w:rPr>
      </w:pPr>
      <w:r w:rsidRPr="00117750">
        <w:rPr>
          <w:rFonts w:cstheme="minorHAnsi"/>
          <w:b/>
          <w:i/>
          <w:sz w:val="22"/>
          <w:szCs w:val="22"/>
        </w:rPr>
        <w:t xml:space="preserve">Definition: </w:t>
      </w:r>
    </w:p>
    <w:p w14:paraId="49BF5764" w14:textId="0A289521" w:rsidR="00C278A7" w:rsidRPr="00117750" w:rsidRDefault="001630D4" w:rsidP="003F494F">
      <w:pPr>
        <w:spacing w:line="360" w:lineRule="auto"/>
        <w:jc w:val="both"/>
        <w:rPr>
          <w:rFonts w:cstheme="minorHAnsi"/>
          <w:sz w:val="22"/>
          <w:szCs w:val="22"/>
        </w:rPr>
      </w:pPr>
      <w:r w:rsidRPr="00117750">
        <w:rPr>
          <w:rFonts w:cstheme="minorHAnsi"/>
          <w:sz w:val="22"/>
          <w:szCs w:val="22"/>
        </w:rPr>
        <w:t>A thromboembolic (TE) event (</w:t>
      </w:r>
      <w:proofErr w:type="spellStart"/>
      <w:r w:rsidRPr="00117750">
        <w:rPr>
          <w:rFonts w:cstheme="minorHAnsi"/>
          <w:sz w:val="22"/>
          <w:szCs w:val="22"/>
        </w:rPr>
        <w:t>eg</w:t>
      </w:r>
      <w:proofErr w:type="spellEnd"/>
      <w:r w:rsidRPr="00117750">
        <w:rPr>
          <w:rFonts w:cstheme="minorHAnsi"/>
          <w:sz w:val="22"/>
          <w:szCs w:val="22"/>
        </w:rPr>
        <w:t xml:space="preserve">: venous thrombosis, arterial thrombosis, pulmonary embolism) is one occurring in a </w:t>
      </w:r>
      <w:r w:rsidR="00B30D0A">
        <w:rPr>
          <w:rFonts w:cstheme="minorHAnsi"/>
          <w:sz w:val="22"/>
          <w:szCs w:val="22"/>
        </w:rPr>
        <w:t>CYP</w:t>
      </w:r>
      <w:r w:rsidRPr="00117750">
        <w:rPr>
          <w:rFonts w:cstheme="minorHAnsi"/>
          <w:sz w:val="22"/>
          <w:szCs w:val="22"/>
        </w:rPr>
        <w:t xml:space="preserve"> with kidney disease particularly in the context of a nephrotic state.</w:t>
      </w:r>
    </w:p>
    <w:p w14:paraId="4C887F41" w14:textId="77777777" w:rsidR="00C278A7" w:rsidRPr="00117750" w:rsidRDefault="001630D4" w:rsidP="003F494F">
      <w:pPr>
        <w:spacing w:line="360" w:lineRule="auto"/>
        <w:jc w:val="both"/>
        <w:rPr>
          <w:rFonts w:cstheme="minorHAnsi"/>
          <w:sz w:val="22"/>
          <w:szCs w:val="22"/>
        </w:rPr>
      </w:pPr>
      <w:r w:rsidRPr="00117750">
        <w:rPr>
          <w:rFonts w:cstheme="minorHAnsi"/>
          <w:b/>
          <w:i/>
          <w:sz w:val="22"/>
          <w:szCs w:val="22"/>
        </w:rPr>
        <w:t>Indications for treatment:</w:t>
      </w:r>
      <w:r w:rsidRPr="00117750">
        <w:rPr>
          <w:rFonts w:cstheme="minorHAnsi"/>
          <w:sz w:val="22"/>
          <w:szCs w:val="22"/>
        </w:rPr>
        <w:t xml:space="preserve"> </w:t>
      </w:r>
    </w:p>
    <w:p w14:paraId="2B86B7FB" w14:textId="3A5A64A6" w:rsidR="00C278A7" w:rsidRDefault="001630D4" w:rsidP="003F494F">
      <w:pPr>
        <w:spacing w:line="360" w:lineRule="auto"/>
        <w:jc w:val="both"/>
        <w:rPr>
          <w:rFonts w:cstheme="minorHAnsi"/>
          <w:sz w:val="22"/>
          <w:szCs w:val="22"/>
        </w:rPr>
      </w:pPr>
      <w:r w:rsidRPr="00117750">
        <w:rPr>
          <w:rFonts w:cstheme="minorHAnsi"/>
          <w:sz w:val="22"/>
          <w:szCs w:val="22"/>
        </w:rPr>
        <w:t xml:space="preserve">Full anticoagulation is indicated if there is a confirmed TE event after evaluation of the individual’s bleeding risk. Prophylactic anticoagulation is indicated if the patient is in a nephrotic state and the risk of a TE exceeds the risks of </w:t>
      </w:r>
      <w:r w:rsidRPr="00117750">
        <w:rPr>
          <w:rFonts w:cstheme="minorHAnsi"/>
          <w:sz w:val="22"/>
          <w:szCs w:val="22"/>
        </w:rPr>
        <w:lastRenderedPageBreak/>
        <w:t xml:space="preserve">using anticoagulation. Consideration should be given to evaluation of anti-phospholipid antibodies and potential anti-phospholipid syndrome especially in certain </w:t>
      </w:r>
      <w:r w:rsidR="00B30D0A">
        <w:rPr>
          <w:rFonts w:cstheme="minorHAnsi"/>
          <w:sz w:val="22"/>
          <w:szCs w:val="22"/>
        </w:rPr>
        <w:t>IM-GD</w:t>
      </w:r>
      <w:r w:rsidRPr="00117750">
        <w:rPr>
          <w:rFonts w:cstheme="minorHAnsi"/>
          <w:sz w:val="22"/>
          <w:szCs w:val="22"/>
        </w:rPr>
        <w:t xml:space="preserve"> subgroups</w:t>
      </w:r>
      <w:r w:rsidR="00B30D0A">
        <w:rPr>
          <w:rFonts w:cstheme="minorHAnsi"/>
          <w:sz w:val="22"/>
          <w:szCs w:val="22"/>
        </w:rPr>
        <w:t xml:space="preserve"> such as SLE</w:t>
      </w:r>
      <w:r w:rsidRPr="00117750">
        <w:rPr>
          <w:rFonts w:cstheme="minorHAnsi"/>
          <w:sz w:val="22"/>
          <w:szCs w:val="22"/>
        </w:rPr>
        <w:t xml:space="preserve">. </w:t>
      </w:r>
    </w:p>
    <w:p w14:paraId="39D936FE" w14:textId="77777777" w:rsidR="00B30D0A" w:rsidRPr="00117750" w:rsidRDefault="00B30D0A" w:rsidP="003F494F">
      <w:pPr>
        <w:spacing w:line="360" w:lineRule="auto"/>
        <w:jc w:val="both"/>
        <w:rPr>
          <w:rFonts w:cstheme="minorHAnsi"/>
          <w:sz w:val="22"/>
          <w:szCs w:val="22"/>
        </w:rPr>
      </w:pPr>
    </w:p>
    <w:p w14:paraId="6A4CEA14" w14:textId="77777777" w:rsidR="00C278A7" w:rsidRPr="00117750" w:rsidRDefault="001630D4" w:rsidP="003F494F">
      <w:pPr>
        <w:spacing w:line="360" w:lineRule="auto"/>
        <w:rPr>
          <w:rFonts w:cstheme="minorHAnsi"/>
          <w:sz w:val="22"/>
          <w:szCs w:val="22"/>
        </w:rPr>
      </w:pPr>
      <w:r w:rsidRPr="00117750">
        <w:rPr>
          <w:rFonts w:cstheme="minorHAnsi"/>
          <w:sz w:val="22"/>
          <w:szCs w:val="22"/>
        </w:rPr>
        <w:t>Factors associated with increased TE risk include (1</w:t>
      </w:r>
      <w:proofErr w:type="gramStart"/>
      <w:r w:rsidRPr="00117750">
        <w:rPr>
          <w:rFonts w:cstheme="minorHAnsi"/>
          <w:sz w:val="22"/>
          <w:szCs w:val="22"/>
        </w:rPr>
        <w:t>);</w:t>
      </w:r>
      <w:proofErr w:type="gramEnd"/>
      <w:r w:rsidRPr="00117750">
        <w:rPr>
          <w:rFonts w:cstheme="minorHAnsi"/>
          <w:sz w:val="22"/>
          <w:szCs w:val="22"/>
        </w:rPr>
        <w:t xml:space="preserve"> </w:t>
      </w:r>
    </w:p>
    <w:p w14:paraId="23BCEF90" w14:textId="77777777" w:rsidR="00C278A7" w:rsidRPr="00117750" w:rsidRDefault="001630D4" w:rsidP="003F494F">
      <w:pPr>
        <w:pStyle w:val="ListParagraph"/>
        <w:numPr>
          <w:ilvl w:val="0"/>
          <w:numId w:val="10"/>
        </w:numPr>
        <w:spacing w:after="160" w:line="360" w:lineRule="auto"/>
        <w:rPr>
          <w:rFonts w:cstheme="minorHAnsi"/>
          <w:sz w:val="22"/>
          <w:szCs w:val="22"/>
        </w:rPr>
      </w:pPr>
      <w:r w:rsidRPr="00117750">
        <w:rPr>
          <w:rFonts w:cstheme="minorHAnsi"/>
          <w:sz w:val="22"/>
          <w:szCs w:val="22"/>
        </w:rPr>
        <w:t xml:space="preserve">Serum albumin &lt;20-25g/L </w:t>
      </w:r>
    </w:p>
    <w:p w14:paraId="223F292D" w14:textId="77777777" w:rsidR="00C278A7" w:rsidRPr="00117750" w:rsidRDefault="001630D4" w:rsidP="003F494F">
      <w:pPr>
        <w:spacing w:line="360" w:lineRule="auto"/>
        <w:ind w:firstLine="360"/>
        <w:rPr>
          <w:rFonts w:cstheme="minorHAnsi"/>
          <w:sz w:val="22"/>
          <w:szCs w:val="22"/>
        </w:rPr>
      </w:pPr>
      <w:r w:rsidRPr="00117750">
        <w:rPr>
          <w:rFonts w:cstheme="minorHAnsi"/>
          <w:sz w:val="22"/>
          <w:szCs w:val="22"/>
        </w:rPr>
        <w:t xml:space="preserve">AND </w:t>
      </w:r>
    </w:p>
    <w:p w14:paraId="6C1B7039" w14:textId="77777777" w:rsidR="00C278A7" w:rsidRPr="00117750" w:rsidRDefault="001630D4" w:rsidP="003F494F">
      <w:pPr>
        <w:pStyle w:val="ListParagraph"/>
        <w:numPr>
          <w:ilvl w:val="0"/>
          <w:numId w:val="7"/>
        </w:numPr>
        <w:spacing w:after="160" w:line="360" w:lineRule="auto"/>
        <w:rPr>
          <w:rFonts w:cstheme="minorHAnsi"/>
          <w:sz w:val="22"/>
          <w:szCs w:val="22"/>
        </w:rPr>
      </w:pPr>
      <w:r w:rsidRPr="00117750">
        <w:rPr>
          <w:rFonts w:cstheme="minorHAnsi"/>
          <w:sz w:val="22"/>
          <w:szCs w:val="22"/>
        </w:rPr>
        <w:t>Proteinuria &gt;10g/day (UPCR &gt;1000 mg/mmol)</w:t>
      </w:r>
    </w:p>
    <w:p w14:paraId="73AD227B" w14:textId="77777777" w:rsidR="00C278A7" w:rsidRPr="00117750" w:rsidRDefault="001630D4" w:rsidP="003F494F">
      <w:pPr>
        <w:pStyle w:val="ListParagraph"/>
        <w:numPr>
          <w:ilvl w:val="0"/>
          <w:numId w:val="7"/>
        </w:numPr>
        <w:spacing w:after="160" w:line="360" w:lineRule="auto"/>
        <w:rPr>
          <w:rFonts w:cstheme="minorHAnsi"/>
          <w:sz w:val="22"/>
          <w:szCs w:val="22"/>
        </w:rPr>
      </w:pPr>
      <w:r w:rsidRPr="00117750">
        <w:rPr>
          <w:rFonts w:cstheme="minorHAnsi"/>
          <w:sz w:val="22"/>
          <w:szCs w:val="22"/>
        </w:rPr>
        <w:t>BMI &gt;35 kg/m</w:t>
      </w:r>
      <w:r w:rsidRPr="00117750">
        <w:rPr>
          <w:rFonts w:cstheme="minorHAnsi"/>
          <w:sz w:val="22"/>
          <w:szCs w:val="22"/>
          <w:vertAlign w:val="superscript"/>
        </w:rPr>
        <w:t>2</w:t>
      </w:r>
    </w:p>
    <w:p w14:paraId="5410B88D" w14:textId="77777777" w:rsidR="00C278A7" w:rsidRPr="00117750" w:rsidRDefault="001630D4" w:rsidP="003F494F">
      <w:pPr>
        <w:pStyle w:val="ListParagraph"/>
        <w:numPr>
          <w:ilvl w:val="0"/>
          <w:numId w:val="7"/>
        </w:numPr>
        <w:spacing w:after="160" w:line="360" w:lineRule="auto"/>
        <w:rPr>
          <w:rFonts w:cstheme="minorHAnsi"/>
          <w:sz w:val="22"/>
          <w:szCs w:val="22"/>
        </w:rPr>
      </w:pPr>
      <w:r w:rsidRPr="00117750">
        <w:rPr>
          <w:rFonts w:cstheme="minorHAnsi"/>
          <w:sz w:val="22"/>
          <w:szCs w:val="22"/>
        </w:rPr>
        <w:t>Genetic risk for thromboembolic events</w:t>
      </w:r>
    </w:p>
    <w:p w14:paraId="2084DA68" w14:textId="77777777" w:rsidR="00C278A7" w:rsidRPr="00117750" w:rsidRDefault="001630D4" w:rsidP="003F494F">
      <w:pPr>
        <w:pStyle w:val="ListParagraph"/>
        <w:numPr>
          <w:ilvl w:val="0"/>
          <w:numId w:val="7"/>
        </w:numPr>
        <w:spacing w:after="160" w:line="360" w:lineRule="auto"/>
        <w:rPr>
          <w:rFonts w:cstheme="minorHAnsi"/>
          <w:sz w:val="22"/>
          <w:szCs w:val="22"/>
        </w:rPr>
      </w:pPr>
      <w:r w:rsidRPr="00117750">
        <w:rPr>
          <w:rFonts w:cstheme="minorHAnsi"/>
          <w:sz w:val="22"/>
          <w:szCs w:val="22"/>
        </w:rPr>
        <w:t xml:space="preserve">Recent major high-risk surgery (orthopaedic or abdominal) </w:t>
      </w:r>
    </w:p>
    <w:p w14:paraId="23BB91D0" w14:textId="77777777" w:rsidR="00C278A7" w:rsidRPr="00117750" w:rsidRDefault="001630D4" w:rsidP="003F494F">
      <w:pPr>
        <w:pStyle w:val="ListParagraph"/>
        <w:numPr>
          <w:ilvl w:val="0"/>
          <w:numId w:val="7"/>
        </w:numPr>
        <w:spacing w:after="160" w:line="360" w:lineRule="auto"/>
        <w:rPr>
          <w:rFonts w:cstheme="minorHAnsi"/>
          <w:sz w:val="22"/>
          <w:szCs w:val="22"/>
        </w:rPr>
      </w:pPr>
      <w:r w:rsidRPr="00117750">
        <w:rPr>
          <w:rFonts w:cstheme="minorHAnsi"/>
          <w:sz w:val="22"/>
          <w:szCs w:val="22"/>
        </w:rPr>
        <w:t xml:space="preserve">Prolonged immobilisation </w:t>
      </w:r>
    </w:p>
    <w:p w14:paraId="6DD59DB8" w14:textId="77777777" w:rsidR="00C278A7" w:rsidRPr="00117750" w:rsidRDefault="001630D4" w:rsidP="003F494F">
      <w:pPr>
        <w:pStyle w:val="ListParagraph"/>
        <w:numPr>
          <w:ilvl w:val="0"/>
          <w:numId w:val="7"/>
        </w:numPr>
        <w:spacing w:after="160" w:line="360" w:lineRule="auto"/>
        <w:rPr>
          <w:rFonts w:cstheme="minorHAnsi"/>
          <w:sz w:val="22"/>
          <w:szCs w:val="22"/>
        </w:rPr>
      </w:pPr>
      <w:r w:rsidRPr="00117750">
        <w:rPr>
          <w:rFonts w:cstheme="minorHAnsi"/>
          <w:sz w:val="22"/>
          <w:szCs w:val="22"/>
        </w:rPr>
        <w:t>Central venous access</w:t>
      </w:r>
    </w:p>
    <w:p w14:paraId="37108EC9" w14:textId="77777777" w:rsidR="00C278A7" w:rsidRPr="00117750" w:rsidRDefault="001630D4" w:rsidP="003F494F">
      <w:pPr>
        <w:spacing w:line="360" w:lineRule="auto"/>
        <w:rPr>
          <w:rFonts w:cstheme="minorHAnsi"/>
          <w:sz w:val="22"/>
          <w:szCs w:val="22"/>
        </w:rPr>
      </w:pPr>
      <w:r w:rsidRPr="00117750">
        <w:rPr>
          <w:rFonts w:cstheme="minorHAnsi"/>
          <w:sz w:val="22"/>
          <w:szCs w:val="22"/>
        </w:rPr>
        <w:t xml:space="preserve">Contraindications to consider prior to commencing anticoagulation </w:t>
      </w:r>
      <w:proofErr w:type="gramStart"/>
      <w:r w:rsidRPr="00117750">
        <w:rPr>
          <w:rFonts w:cstheme="minorHAnsi"/>
          <w:sz w:val="22"/>
          <w:szCs w:val="22"/>
        </w:rPr>
        <w:t>include;</w:t>
      </w:r>
      <w:proofErr w:type="gramEnd"/>
      <w:r w:rsidRPr="00117750">
        <w:rPr>
          <w:rFonts w:cstheme="minorHAnsi"/>
          <w:sz w:val="22"/>
          <w:szCs w:val="22"/>
        </w:rPr>
        <w:t xml:space="preserve"> </w:t>
      </w:r>
    </w:p>
    <w:p w14:paraId="114280ED" w14:textId="77777777" w:rsidR="00C278A7" w:rsidRPr="00117750" w:rsidRDefault="001630D4" w:rsidP="003F494F">
      <w:pPr>
        <w:pStyle w:val="ListParagraph"/>
        <w:numPr>
          <w:ilvl w:val="0"/>
          <w:numId w:val="9"/>
        </w:numPr>
        <w:spacing w:after="160" w:line="360" w:lineRule="auto"/>
        <w:rPr>
          <w:rFonts w:cstheme="minorHAnsi"/>
          <w:sz w:val="22"/>
          <w:szCs w:val="22"/>
        </w:rPr>
      </w:pPr>
      <w:r w:rsidRPr="00117750">
        <w:rPr>
          <w:rFonts w:cstheme="minorHAnsi"/>
          <w:sz w:val="22"/>
          <w:szCs w:val="22"/>
        </w:rPr>
        <w:t>Patient preference</w:t>
      </w:r>
    </w:p>
    <w:p w14:paraId="3F58B7A6" w14:textId="77777777" w:rsidR="00C278A7" w:rsidRPr="00117750" w:rsidRDefault="001630D4" w:rsidP="003F494F">
      <w:pPr>
        <w:pStyle w:val="ListParagraph"/>
        <w:numPr>
          <w:ilvl w:val="0"/>
          <w:numId w:val="9"/>
        </w:numPr>
        <w:spacing w:after="160" w:line="360" w:lineRule="auto"/>
        <w:rPr>
          <w:rFonts w:cstheme="minorHAnsi"/>
          <w:sz w:val="22"/>
          <w:szCs w:val="22"/>
        </w:rPr>
      </w:pPr>
      <w:r w:rsidRPr="00117750">
        <w:rPr>
          <w:rFonts w:cstheme="minorHAnsi"/>
          <w:sz w:val="22"/>
          <w:szCs w:val="22"/>
        </w:rPr>
        <w:t>Medication adherence</w:t>
      </w:r>
    </w:p>
    <w:p w14:paraId="498A33F2" w14:textId="77777777" w:rsidR="00C278A7" w:rsidRPr="00117750" w:rsidRDefault="001630D4" w:rsidP="003F494F">
      <w:pPr>
        <w:pStyle w:val="ListParagraph"/>
        <w:numPr>
          <w:ilvl w:val="0"/>
          <w:numId w:val="9"/>
        </w:numPr>
        <w:spacing w:after="160" w:line="360" w:lineRule="auto"/>
        <w:rPr>
          <w:rFonts w:cstheme="minorHAnsi"/>
          <w:sz w:val="22"/>
          <w:szCs w:val="22"/>
        </w:rPr>
      </w:pPr>
      <w:r w:rsidRPr="00117750">
        <w:rPr>
          <w:rFonts w:cstheme="minorHAnsi"/>
          <w:sz w:val="22"/>
          <w:szCs w:val="22"/>
        </w:rPr>
        <w:t>Bleeding diathesis</w:t>
      </w:r>
    </w:p>
    <w:p w14:paraId="55F7A02E" w14:textId="77777777" w:rsidR="00C278A7" w:rsidRPr="00117750" w:rsidRDefault="001630D4" w:rsidP="003F494F">
      <w:pPr>
        <w:pStyle w:val="ListParagraph"/>
        <w:numPr>
          <w:ilvl w:val="0"/>
          <w:numId w:val="9"/>
        </w:numPr>
        <w:spacing w:after="160" w:line="360" w:lineRule="auto"/>
        <w:rPr>
          <w:rFonts w:cstheme="minorHAnsi"/>
          <w:sz w:val="22"/>
          <w:szCs w:val="22"/>
        </w:rPr>
      </w:pPr>
      <w:r w:rsidRPr="00117750">
        <w:rPr>
          <w:rFonts w:cstheme="minorHAnsi"/>
          <w:sz w:val="22"/>
          <w:szCs w:val="22"/>
        </w:rPr>
        <w:t>Central nervous system lesions prone to haemorrhage</w:t>
      </w:r>
    </w:p>
    <w:p w14:paraId="17C8F9AD" w14:textId="77777777" w:rsidR="00C278A7" w:rsidRPr="00117750" w:rsidRDefault="001630D4" w:rsidP="003F494F">
      <w:pPr>
        <w:pStyle w:val="ListParagraph"/>
        <w:numPr>
          <w:ilvl w:val="0"/>
          <w:numId w:val="9"/>
        </w:numPr>
        <w:spacing w:after="160" w:line="360" w:lineRule="auto"/>
        <w:rPr>
          <w:rFonts w:cstheme="minorHAnsi"/>
          <w:sz w:val="22"/>
          <w:szCs w:val="22"/>
        </w:rPr>
      </w:pPr>
      <w:r w:rsidRPr="00117750">
        <w:rPr>
          <w:rFonts w:cstheme="minorHAnsi"/>
          <w:sz w:val="22"/>
          <w:szCs w:val="22"/>
        </w:rPr>
        <w:t>Genetic mutations influencing warfarin metabolism</w:t>
      </w:r>
    </w:p>
    <w:p w14:paraId="141F2A15" w14:textId="77777777" w:rsidR="00C278A7" w:rsidRPr="00117750" w:rsidRDefault="001630D4" w:rsidP="003F494F">
      <w:pPr>
        <w:pStyle w:val="ListParagraph"/>
        <w:numPr>
          <w:ilvl w:val="0"/>
          <w:numId w:val="9"/>
        </w:numPr>
        <w:spacing w:after="160" w:line="360" w:lineRule="auto"/>
        <w:rPr>
          <w:rFonts w:cstheme="minorHAnsi"/>
          <w:sz w:val="22"/>
          <w:szCs w:val="22"/>
        </w:rPr>
      </w:pPr>
      <w:r w:rsidRPr="00117750">
        <w:rPr>
          <w:rFonts w:cstheme="minorHAnsi"/>
          <w:sz w:val="22"/>
          <w:szCs w:val="22"/>
        </w:rPr>
        <w:t>Prior gastrointestinal bleeds</w:t>
      </w:r>
    </w:p>
    <w:p w14:paraId="0A9E1F01" w14:textId="77777777" w:rsidR="00C278A7" w:rsidRPr="00117750" w:rsidRDefault="001630D4" w:rsidP="003F494F">
      <w:pPr>
        <w:pStyle w:val="ListParagraph"/>
        <w:numPr>
          <w:ilvl w:val="0"/>
          <w:numId w:val="9"/>
        </w:numPr>
        <w:spacing w:after="160" w:line="360" w:lineRule="auto"/>
        <w:rPr>
          <w:rFonts w:cstheme="minorHAnsi"/>
          <w:sz w:val="22"/>
          <w:szCs w:val="22"/>
        </w:rPr>
      </w:pPr>
      <w:r w:rsidRPr="00117750">
        <w:rPr>
          <w:rFonts w:cstheme="minorHAnsi"/>
          <w:sz w:val="22"/>
          <w:szCs w:val="22"/>
        </w:rPr>
        <w:t xml:space="preserve">Risk of falls. </w:t>
      </w:r>
    </w:p>
    <w:p w14:paraId="6F1825C1" w14:textId="77777777" w:rsidR="00C278A7" w:rsidRPr="00117750" w:rsidRDefault="001630D4" w:rsidP="003F494F">
      <w:pPr>
        <w:spacing w:line="360" w:lineRule="auto"/>
        <w:jc w:val="both"/>
        <w:rPr>
          <w:rFonts w:cstheme="minorHAnsi"/>
          <w:b/>
          <w:i/>
          <w:sz w:val="22"/>
          <w:szCs w:val="22"/>
        </w:rPr>
      </w:pPr>
      <w:r w:rsidRPr="00117750">
        <w:rPr>
          <w:rFonts w:cstheme="minorHAnsi"/>
          <w:b/>
          <w:i/>
          <w:sz w:val="22"/>
          <w:szCs w:val="22"/>
        </w:rPr>
        <w:t xml:space="preserve">Treatment: </w:t>
      </w:r>
    </w:p>
    <w:p w14:paraId="0C6D4664" w14:textId="776C66EA" w:rsidR="00C278A7" w:rsidRPr="00117750" w:rsidRDefault="001630D4" w:rsidP="003F494F">
      <w:pPr>
        <w:spacing w:line="360" w:lineRule="auto"/>
        <w:jc w:val="both"/>
        <w:rPr>
          <w:rFonts w:cstheme="minorHAnsi"/>
          <w:sz w:val="22"/>
          <w:szCs w:val="22"/>
        </w:rPr>
      </w:pPr>
      <w:r w:rsidRPr="00117750">
        <w:rPr>
          <w:rFonts w:cstheme="minorHAnsi"/>
          <w:sz w:val="22"/>
          <w:szCs w:val="22"/>
        </w:rPr>
        <w:t xml:space="preserve">Treatment should be according to local recommended practices for full or prophylactic anticoagulation. </w:t>
      </w:r>
      <w:r w:rsidR="00B30D0A">
        <w:rPr>
          <w:rFonts w:cstheme="minorHAnsi"/>
          <w:sz w:val="22"/>
          <w:szCs w:val="22"/>
        </w:rPr>
        <w:t xml:space="preserve">This may include low molecular weight heparin, warfarin or direct oral anticoagulants. </w:t>
      </w:r>
    </w:p>
    <w:p w14:paraId="573225BF" w14:textId="77777777" w:rsidR="00C278A7" w:rsidRPr="00117750" w:rsidRDefault="00C278A7" w:rsidP="003F494F">
      <w:pPr>
        <w:spacing w:line="360" w:lineRule="auto"/>
        <w:jc w:val="both"/>
        <w:rPr>
          <w:rFonts w:cstheme="minorHAnsi"/>
          <w:b/>
          <w:sz w:val="22"/>
          <w:szCs w:val="22"/>
        </w:rPr>
      </w:pPr>
    </w:p>
    <w:p w14:paraId="39DEEBCD" w14:textId="77777777" w:rsidR="00C278A7" w:rsidRPr="00117750" w:rsidRDefault="001630D4" w:rsidP="003F494F">
      <w:pPr>
        <w:pStyle w:val="ListParagraph"/>
        <w:numPr>
          <w:ilvl w:val="0"/>
          <w:numId w:val="8"/>
        </w:numPr>
        <w:spacing w:after="160" w:line="360" w:lineRule="auto"/>
        <w:jc w:val="both"/>
        <w:rPr>
          <w:rFonts w:cstheme="minorHAnsi"/>
          <w:b/>
          <w:sz w:val="22"/>
          <w:szCs w:val="22"/>
        </w:rPr>
      </w:pPr>
      <w:r w:rsidRPr="00117750">
        <w:rPr>
          <w:rFonts w:cstheme="minorHAnsi"/>
          <w:b/>
          <w:sz w:val="22"/>
          <w:szCs w:val="22"/>
        </w:rPr>
        <w:t xml:space="preserve">Prophylaxis of infection </w:t>
      </w:r>
    </w:p>
    <w:p w14:paraId="3808E207" w14:textId="77777777" w:rsidR="00C278A7" w:rsidRPr="00117750" w:rsidRDefault="001630D4" w:rsidP="003F494F">
      <w:pPr>
        <w:spacing w:line="360" w:lineRule="auto"/>
        <w:jc w:val="both"/>
        <w:rPr>
          <w:rFonts w:cstheme="minorHAnsi"/>
          <w:b/>
          <w:i/>
          <w:sz w:val="22"/>
          <w:szCs w:val="22"/>
        </w:rPr>
      </w:pPr>
      <w:r w:rsidRPr="00117750">
        <w:rPr>
          <w:rFonts w:cstheme="minorHAnsi"/>
          <w:b/>
          <w:i/>
          <w:sz w:val="22"/>
          <w:szCs w:val="22"/>
        </w:rPr>
        <w:t>Definition:</w:t>
      </w:r>
    </w:p>
    <w:p w14:paraId="47D3F61E" w14:textId="1E29262F" w:rsidR="00C278A7" w:rsidRPr="00117750" w:rsidRDefault="001630D4" w:rsidP="003F494F">
      <w:pPr>
        <w:spacing w:line="360" w:lineRule="auto"/>
        <w:jc w:val="both"/>
        <w:rPr>
          <w:rFonts w:cstheme="minorHAnsi"/>
          <w:sz w:val="22"/>
          <w:szCs w:val="22"/>
        </w:rPr>
      </w:pPr>
      <w:r w:rsidRPr="00117750">
        <w:rPr>
          <w:rFonts w:cstheme="minorHAnsi"/>
          <w:sz w:val="22"/>
          <w:szCs w:val="22"/>
        </w:rPr>
        <w:t xml:space="preserve">Preventative measures used to avoid infections in CYP with </w:t>
      </w:r>
      <w:r w:rsidR="00B30D0A">
        <w:rPr>
          <w:rFonts w:cstheme="minorHAnsi"/>
          <w:sz w:val="22"/>
          <w:szCs w:val="22"/>
        </w:rPr>
        <w:t>IM-GD</w:t>
      </w:r>
      <w:r w:rsidRPr="00117750">
        <w:rPr>
          <w:rFonts w:cstheme="minorHAnsi"/>
          <w:sz w:val="22"/>
          <w:szCs w:val="22"/>
        </w:rPr>
        <w:t>.</w:t>
      </w:r>
    </w:p>
    <w:p w14:paraId="2995B2FE" w14:textId="77777777" w:rsidR="00C278A7" w:rsidRPr="00117750" w:rsidRDefault="001630D4" w:rsidP="003F494F">
      <w:pPr>
        <w:spacing w:line="360" w:lineRule="auto"/>
        <w:jc w:val="both"/>
        <w:rPr>
          <w:rFonts w:cstheme="minorHAnsi"/>
          <w:b/>
          <w:i/>
          <w:sz w:val="22"/>
          <w:szCs w:val="22"/>
        </w:rPr>
      </w:pPr>
      <w:r w:rsidRPr="00117750">
        <w:rPr>
          <w:rFonts w:cstheme="minorHAnsi"/>
          <w:b/>
          <w:i/>
          <w:sz w:val="22"/>
          <w:szCs w:val="22"/>
        </w:rPr>
        <w:t xml:space="preserve">Indications for treatment: </w:t>
      </w:r>
    </w:p>
    <w:p w14:paraId="6F0088CC" w14:textId="1EF9FD29" w:rsidR="00C278A7" w:rsidRPr="00117750" w:rsidRDefault="001630D4" w:rsidP="003F494F">
      <w:pPr>
        <w:spacing w:line="360" w:lineRule="auto"/>
        <w:jc w:val="both"/>
        <w:rPr>
          <w:rFonts w:cstheme="minorHAnsi"/>
          <w:sz w:val="22"/>
          <w:szCs w:val="22"/>
        </w:rPr>
      </w:pPr>
      <w:r w:rsidRPr="00117750">
        <w:rPr>
          <w:rFonts w:cstheme="minorHAnsi"/>
          <w:sz w:val="22"/>
          <w:szCs w:val="22"/>
        </w:rPr>
        <w:t xml:space="preserve">Prophylactic treatment may be considered in CYP who are on immunosuppression and/or patients who are clinically nephrotic and/or who have </w:t>
      </w:r>
      <w:r w:rsidR="00B30D0A">
        <w:rPr>
          <w:rFonts w:cstheme="minorHAnsi"/>
          <w:sz w:val="22"/>
          <w:szCs w:val="22"/>
        </w:rPr>
        <w:t>CKD</w:t>
      </w:r>
      <w:r w:rsidRPr="00117750">
        <w:rPr>
          <w:rFonts w:cstheme="minorHAnsi"/>
          <w:sz w:val="22"/>
          <w:szCs w:val="22"/>
        </w:rPr>
        <w:t>.</w:t>
      </w:r>
    </w:p>
    <w:p w14:paraId="028CE1BD" w14:textId="77777777" w:rsidR="00C278A7" w:rsidRPr="00117750" w:rsidRDefault="001630D4" w:rsidP="003F494F">
      <w:pPr>
        <w:spacing w:line="360" w:lineRule="auto"/>
        <w:jc w:val="both"/>
        <w:rPr>
          <w:rFonts w:cstheme="minorHAnsi"/>
          <w:b/>
          <w:i/>
          <w:sz w:val="22"/>
          <w:szCs w:val="22"/>
        </w:rPr>
      </w:pPr>
      <w:r w:rsidRPr="00117750">
        <w:rPr>
          <w:rFonts w:cstheme="minorHAnsi"/>
          <w:b/>
          <w:i/>
          <w:sz w:val="22"/>
          <w:szCs w:val="22"/>
        </w:rPr>
        <w:t>Treatment:</w:t>
      </w:r>
    </w:p>
    <w:p w14:paraId="71BCCB3A" w14:textId="77777777" w:rsidR="00C278A7" w:rsidRPr="00117750" w:rsidRDefault="001630D4" w:rsidP="003F494F">
      <w:pPr>
        <w:spacing w:line="360" w:lineRule="auto"/>
        <w:jc w:val="both"/>
        <w:rPr>
          <w:rFonts w:cstheme="minorHAnsi"/>
          <w:sz w:val="22"/>
          <w:szCs w:val="22"/>
        </w:rPr>
      </w:pPr>
      <w:r w:rsidRPr="00117750">
        <w:rPr>
          <w:rFonts w:cstheme="minorHAnsi"/>
          <w:sz w:val="22"/>
          <w:szCs w:val="22"/>
        </w:rPr>
        <w:t xml:space="preserve">Patients should be vaccinated according to the Public Health England Green Book recommendations (7) with caution being made in acknowledging that live vaccines are contraindicated in patients receiving (or having recently received) </w:t>
      </w:r>
      <w:r w:rsidRPr="00117750">
        <w:rPr>
          <w:rFonts w:cstheme="minorHAnsi"/>
          <w:sz w:val="22"/>
          <w:szCs w:val="22"/>
        </w:rPr>
        <w:lastRenderedPageBreak/>
        <w:t xml:space="preserve">immunosuppression and patients may need additional doses to achieve full protection (8). In clinically appropriate patients there should be screening for tuberculosis (TB), hepatitis B virus (HBV), hepatitis C virus (HCV), human immunodeficiency virus (HIV) and syphilis.  Contact with chicken pox or measles whilst on immunosuppression will require specific evaluation of protective antibodies according to local protocols. </w:t>
      </w:r>
    </w:p>
    <w:p w14:paraId="72CD596B" w14:textId="4DF3DE48" w:rsidR="00C278A7" w:rsidRPr="00117750" w:rsidRDefault="74A0DB8C" w:rsidP="003F494F">
      <w:pPr>
        <w:spacing w:line="360" w:lineRule="auto"/>
        <w:jc w:val="both"/>
        <w:rPr>
          <w:sz w:val="22"/>
          <w:szCs w:val="22"/>
        </w:rPr>
      </w:pPr>
      <w:r w:rsidRPr="102F4F22">
        <w:rPr>
          <w:sz w:val="22"/>
          <w:szCs w:val="22"/>
        </w:rPr>
        <w:t>Prophylactic use of anti-infective treatment such as antibiotics, antiviral or antifungal agents are not recommended routinely. This includes the use of prophylactic penicillin for relapses of nephrotic syndrome. Antibiotics such as trimethoprim-sulfamethoxazole (TMP-SMX; Co-trimoxazole), or an alternative agent according to local protocols, anti-viral or anti-fungal agents should be considered in patients who are receiving regular high dose intravenous treatments, plasma exchange or multiple (</w:t>
      </w:r>
      <w:r w:rsidRPr="102F4F22">
        <w:rPr>
          <w:color w:val="333333"/>
          <w:sz w:val="22"/>
          <w:szCs w:val="22"/>
          <w:shd w:val="clear" w:color="auto" w:fill="FFFFFF"/>
        </w:rPr>
        <w:t>≥ 3)</w:t>
      </w:r>
      <w:r w:rsidRPr="102F4F22">
        <w:rPr>
          <w:sz w:val="22"/>
          <w:szCs w:val="22"/>
        </w:rPr>
        <w:t xml:space="preserve"> immunosuppressive agents when the clinical risk of infection is deemed to be high. </w:t>
      </w:r>
      <w:r w:rsidR="463EEACA" w:rsidRPr="102F4F22">
        <w:rPr>
          <w:sz w:val="22"/>
          <w:szCs w:val="22"/>
        </w:rPr>
        <w:t>This is of relevance to patients with ANCA, anti-GBM and LN where induction therapy typically requires multiple immunosuppressive agents.</w:t>
      </w:r>
      <w:r w:rsidRPr="102F4F22">
        <w:rPr>
          <w:sz w:val="22"/>
          <w:szCs w:val="22"/>
        </w:rPr>
        <w:t xml:space="preserve"> Patients with evidence of active infection should be treated and</w:t>
      </w:r>
      <w:r w:rsidR="00B30D0A">
        <w:rPr>
          <w:sz w:val="22"/>
          <w:szCs w:val="22"/>
        </w:rPr>
        <w:t xml:space="preserve"> </w:t>
      </w:r>
      <w:r w:rsidRPr="102F4F22">
        <w:rPr>
          <w:sz w:val="22"/>
          <w:szCs w:val="22"/>
        </w:rPr>
        <w:t>managed in partnership with other specialists</w:t>
      </w:r>
      <w:r w:rsidR="00B30D0A">
        <w:rPr>
          <w:sz w:val="22"/>
          <w:szCs w:val="22"/>
        </w:rPr>
        <w:t xml:space="preserve"> as needed</w:t>
      </w:r>
      <w:r w:rsidRPr="102F4F22">
        <w:rPr>
          <w:sz w:val="22"/>
          <w:szCs w:val="22"/>
        </w:rPr>
        <w:t>. Episodes of previous active infections may be an indicat</w:t>
      </w:r>
      <w:r w:rsidR="00B30D0A">
        <w:rPr>
          <w:sz w:val="22"/>
          <w:szCs w:val="22"/>
        </w:rPr>
        <w:t>ion to support the use of</w:t>
      </w:r>
      <w:r w:rsidRPr="102F4F22">
        <w:rPr>
          <w:sz w:val="22"/>
          <w:szCs w:val="22"/>
        </w:rPr>
        <w:t xml:space="preserve"> future prophylactic agents. </w:t>
      </w:r>
    </w:p>
    <w:p w14:paraId="4AEC5D79" w14:textId="77777777" w:rsidR="00C278A7" w:rsidRPr="00117750" w:rsidRDefault="00C278A7" w:rsidP="003F494F">
      <w:pPr>
        <w:spacing w:line="360" w:lineRule="auto"/>
        <w:jc w:val="both"/>
        <w:rPr>
          <w:rFonts w:cstheme="minorHAnsi"/>
          <w:sz w:val="22"/>
          <w:szCs w:val="22"/>
        </w:rPr>
      </w:pPr>
    </w:p>
    <w:p w14:paraId="68CAD1AE" w14:textId="77777777" w:rsidR="00C278A7" w:rsidRPr="00117750" w:rsidRDefault="001630D4" w:rsidP="003F494F">
      <w:pPr>
        <w:pStyle w:val="ListParagraph"/>
        <w:numPr>
          <w:ilvl w:val="0"/>
          <w:numId w:val="8"/>
        </w:numPr>
        <w:spacing w:after="160" w:line="360" w:lineRule="auto"/>
        <w:jc w:val="both"/>
        <w:rPr>
          <w:rFonts w:cstheme="minorHAnsi"/>
          <w:b/>
          <w:sz w:val="22"/>
          <w:szCs w:val="22"/>
        </w:rPr>
      </w:pPr>
      <w:r w:rsidRPr="00117750">
        <w:rPr>
          <w:rFonts w:cstheme="minorHAnsi"/>
          <w:b/>
          <w:sz w:val="22"/>
          <w:szCs w:val="22"/>
        </w:rPr>
        <w:t xml:space="preserve">Vitamin D </w:t>
      </w:r>
    </w:p>
    <w:p w14:paraId="47DB0189" w14:textId="6610E3FE" w:rsidR="00C278A7" w:rsidRPr="00117750" w:rsidRDefault="001630D4" w:rsidP="003F494F">
      <w:pPr>
        <w:spacing w:line="360" w:lineRule="auto"/>
        <w:jc w:val="both"/>
        <w:rPr>
          <w:rFonts w:cstheme="minorHAnsi"/>
          <w:b/>
          <w:sz w:val="22"/>
          <w:szCs w:val="22"/>
        </w:rPr>
      </w:pPr>
      <w:r w:rsidRPr="00117750">
        <w:rPr>
          <w:rFonts w:cstheme="minorHAnsi"/>
          <w:sz w:val="22"/>
          <w:szCs w:val="22"/>
        </w:rPr>
        <w:t xml:space="preserve">Vitamin D levels should be routinely measured, and any deficiency or insufficiency should be managed according to local and national recommendations in patients unless contraindicated. </w:t>
      </w:r>
    </w:p>
    <w:p w14:paraId="37D6D23E" w14:textId="77777777" w:rsidR="00C278A7" w:rsidRDefault="00C278A7" w:rsidP="003F494F">
      <w:pPr>
        <w:spacing w:line="360" w:lineRule="auto"/>
      </w:pPr>
    </w:p>
    <w:p w14:paraId="0B0AC1E5" w14:textId="77777777" w:rsidR="008C4799" w:rsidRDefault="001630D4" w:rsidP="003F494F">
      <w:pPr>
        <w:spacing w:line="360" w:lineRule="auto"/>
        <w:rPr>
          <w:rFonts w:cstheme="minorHAnsi"/>
          <w:b/>
          <w:sz w:val="22"/>
          <w:szCs w:val="22"/>
          <w:highlight w:val="yellow"/>
        </w:rPr>
      </w:pPr>
      <w:r>
        <w:rPr>
          <w:rFonts w:cstheme="minorHAnsi"/>
          <w:b/>
          <w:sz w:val="22"/>
          <w:szCs w:val="22"/>
          <w:highlight w:val="yellow"/>
        </w:rPr>
        <w:br w:type="page"/>
      </w:r>
    </w:p>
    <w:p w14:paraId="70167060" w14:textId="4E897999" w:rsidR="003E3265" w:rsidRDefault="001630D4" w:rsidP="003F494F">
      <w:pPr>
        <w:spacing w:line="360" w:lineRule="auto"/>
        <w:rPr>
          <w:rFonts w:cstheme="minorHAnsi"/>
          <w:b/>
          <w:sz w:val="22"/>
          <w:szCs w:val="22"/>
        </w:rPr>
      </w:pPr>
      <w:r w:rsidRPr="003F494F">
        <w:rPr>
          <w:rFonts w:cstheme="minorHAnsi"/>
          <w:b/>
          <w:sz w:val="22"/>
          <w:szCs w:val="22"/>
        </w:rPr>
        <w:lastRenderedPageBreak/>
        <w:t xml:space="preserve">Appendix </w:t>
      </w:r>
      <w:r w:rsidR="00C278A7" w:rsidRPr="003F494F">
        <w:rPr>
          <w:rFonts w:cstheme="minorHAnsi"/>
          <w:b/>
          <w:sz w:val="22"/>
          <w:szCs w:val="22"/>
        </w:rPr>
        <w:t>5</w:t>
      </w:r>
      <w:r w:rsidRPr="003F494F">
        <w:rPr>
          <w:rFonts w:cstheme="minorHAnsi"/>
          <w:b/>
          <w:sz w:val="22"/>
          <w:szCs w:val="22"/>
        </w:rPr>
        <w:t>: Clinical guideline group</w:t>
      </w:r>
      <w:r>
        <w:rPr>
          <w:rFonts w:cstheme="minorHAnsi"/>
          <w:b/>
          <w:sz w:val="22"/>
          <w:szCs w:val="22"/>
        </w:rPr>
        <w:t xml:space="preserve"> </w:t>
      </w:r>
    </w:p>
    <w:tbl>
      <w:tblPr>
        <w:tblStyle w:val="TableGrid"/>
        <w:tblW w:w="9493" w:type="dxa"/>
        <w:jc w:val="center"/>
        <w:tblLook w:val="04A0" w:firstRow="1" w:lastRow="0" w:firstColumn="1" w:lastColumn="0" w:noHBand="0" w:noVBand="1"/>
      </w:tblPr>
      <w:tblGrid>
        <w:gridCol w:w="1555"/>
        <w:gridCol w:w="2409"/>
        <w:gridCol w:w="2694"/>
        <w:gridCol w:w="2835"/>
      </w:tblGrid>
      <w:tr w:rsidR="00E51C5D" w:rsidRPr="00B054AA" w14:paraId="4CC84704" w14:textId="77777777" w:rsidTr="003F494F">
        <w:trPr>
          <w:jc w:val="center"/>
        </w:trPr>
        <w:tc>
          <w:tcPr>
            <w:tcW w:w="1555" w:type="dxa"/>
          </w:tcPr>
          <w:p w14:paraId="543761C8" w14:textId="77777777" w:rsidR="00E51C5D" w:rsidRPr="00B054AA" w:rsidRDefault="00E51C5D" w:rsidP="00826871">
            <w:pPr>
              <w:rPr>
                <w:rFonts w:ascii="Calibri" w:hAnsi="Calibri" w:cs="Calibri"/>
                <w:b/>
                <w:bCs/>
                <w:sz w:val="21"/>
                <w:szCs w:val="21"/>
              </w:rPr>
            </w:pPr>
            <w:r w:rsidRPr="00B054AA">
              <w:rPr>
                <w:rFonts w:ascii="Calibri" w:hAnsi="Calibri" w:cs="Calibri"/>
                <w:b/>
                <w:bCs/>
                <w:sz w:val="21"/>
                <w:szCs w:val="21"/>
              </w:rPr>
              <w:t>Name</w:t>
            </w:r>
          </w:p>
        </w:tc>
        <w:tc>
          <w:tcPr>
            <w:tcW w:w="2409" w:type="dxa"/>
          </w:tcPr>
          <w:p w14:paraId="6BAF0BD2" w14:textId="77777777" w:rsidR="00E51C5D" w:rsidRPr="00B054AA" w:rsidRDefault="00E51C5D" w:rsidP="00826871">
            <w:pPr>
              <w:rPr>
                <w:rFonts w:ascii="Calibri" w:hAnsi="Calibri" w:cs="Calibri"/>
                <w:b/>
                <w:bCs/>
                <w:sz w:val="21"/>
                <w:szCs w:val="21"/>
              </w:rPr>
            </w:pPr>
            <w:r>
              <w:rPr>
                <w:rFonts w:ascii="Calibri" w:hAnsi="Calibri" w:cs="Calibri"/>
                <w:b/>
                <w:bCs/>
                <w:sz w:val="21"/>
                <w:szCs w:val="21"/>
              </w:rPr>
              <w:t>C</w:t>
            </w:r>
            <w:r w:rsidRPr="00B054AA">
              <w:rPr>
                <w:rFonts w:ascii="Calibri" w:hAnsi="Calibri" w:cs="Calibri"/>
                <w:b/>
                <w:bCs/>
                <w:sz w:val="21"/>
                <w:szCs w:val="21"/>
              </w:rPr>
              <w:t>entre</w:t>
            </w:r>
          </w:p>
        </w:tc>
        <w:tc>
          <w:tcPr>
            <w:tcW w:w="2694" w:type="dxa"/>
          </w:tcPr>
          <w:p w14:paraId="35657326" w14:textId="77777777" w:rsidR="00E51C5D" w:rsidRPr="00B054AA" w:rsidRDefault="00E51C5D" w:rsidP="00826871">
            <w:pPr>
              <w:rPr>
                <w:rFonts w:ascii="Calibri" w:hAnsi="Calibri" w:cs="Calibri"/>
                <w:b/>
                <w:bCs/>
                <w:sz w:val="21"/>
                <w:szCs w:val="21"/>
              </w:rPr>
            </w:pPr>
            <w:r>
              <w:rPr>
                <w:rFonts w:ascii="Calibri" w:hAnsi="Calibri" w:cs="Calibri"/>
                <w:b/>
                <w:bCs/>
                <w:sz w:val="21"/>
                <w:szCs w:val="21"/>
              </w:rPr>
              <w:t>Title</w:t>
            </w:r>
          </w:p>
        </w:tc>
        <w:tc>
          <w:tcPr>
            <w:tcW w:w="2835" w:type="dxa"/>
          </w:tcPr>
          <w:p w14:paraId="0FFF3606" w14:textId="77777777" w:rsidR="00E51C5D" w:rsidRDefault="00E51C5D" w:rsidP="00826871">
            <w:pPr>
              <w:rPr>
                <w:rFonts w:ascii="Calibri" w:hAnsi="Calibri" w:cs="Calibri"/>
                <w:b/>
                <w:bCs/>
                <w:sz w:val="21"/>
                <w:szCs w:val="21"/>
              </w:rPr>
            </w:pPr>
            <w:r>
              <w:rPr>
                <w:rFonts w:ascii="Calibri" w:hAnsi="Calibri" w:cs="Calibri"/>
                <w:b/>
                <w:bCs/>
                <w:sz w:val="21"/>
                <w:szCs w:val="21"/>
              </w:rPr>
              <w:t>Project Role</w:t>
            </w:r>
          </w:p>
        </w:tc>
      </w:tr>
      <w:tr w:rsidR="00E51C5D" w:rsidRPr="00B054AA" w14:paraId="71AA6F5B" w14:textId="77777777" w:rsidTr="003F494F">
        <w:trPr>
          <w:jc w:val="center"/>
        </w:trPr>
        <w:tc>
          <w:tcPr>
            <w:tcW w:w="1555" w:type="dxa"/>
          </w:tcPr>
          <w:p w14:paraId="3A593F31"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 xml:space="preserve">Louise Oni </w:t>
            </w:r>
          </w:p>
        </w:tc>
        <w:tc>
          <w:tcPr>
            <w:tcW w:w="2409" w:type="dxa"/>
          </w:tcPr>
          <w:p w14:paraId="0CDA135F" w14:textId="77777777" w:rsidR="00E51C5D" w:rsidRPr="00B054AA" w:rsidRDefault="00E51C5D" w:rsidP="00826871">
            <w:pPr>
              <w:rPr>
                <w:rFonts w:ascii="Calibri" w:hAnsi="Calibri" w:cs="Calibri"/>
                <w:sz w:val="21"/>
                <w:szCs w:val="21"/>
              </w:rPr>
            </w:pPr>
            <w:r>
              <w:rPr>
                <w:rFonts w:ascii="Calibri" w:hAnsi="Calibri" w:cs="Calibri"/>
                <w:sz w:val="21"/>
                <w:szCs w:val="21"/>
              </w:rPr>
              <w:t xml:space="preserve">University College London, University of Liverpool </w:t>
            </w:r>
          </w:p>
        </w:tc>
        <w:tc>
          <w:tcPr>
            <w:tcW w:w="2694" w:type="dxa"/>
          </w:tcPr>
          <w:p w14:paraId="2525CB73"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Clinical Associate Professor Paediatric Nephrologist</w:t>
            </w:r>
          </w:p>
        </w:tc>
        <w:tc>
          <w:tcPr>
            <w:tcW w:w="2835" w:type="dxa"/>
          </w:tcPr>
          <w:p w14:paraId="35FACD80" w14:textId="77777777" w:rsidR="00E51C5D" w:rsidRPr="00B054AA" w:rsidRDefault="00E51C5D" w:rsidP="00826871">
            <w:pPr>
              <w:rPr>
                <w:rFonts w:ascii="Calibri" w:hAnsi="Calibri" w:cs="Calibri"/>
                <w:sz w:val="21"/>
                <w:szCs w:val="21"/>
              </w:rPr>
            </w:pPr>
            <w:r>
              <w:rPr>
                <w:rFonts w:ascii="Calibri" w:hAnsi="Calibri" w:cs="Calibri"/>
                <w:sz w:val="21"/>
                <w:szCs w:val="21"/>
              </w:rPr>
              <w:t xml:space="preserve">Project lead </w:t>
            </w:r>
          </w:p>
        </w:tc>
      </w:tr>
      <w:tr w:rsidR="00E51C5D" w:rsidRPr="00B054AA" w14:paraId="6F74DD00" w14:textId="77777777" w:rsidTr="003F494F">
        <w:trPr>
          <w:jc w:val="center"/>
        </w:trPr>
        <w:tc>
          <w:tcPr>
            <w:tcW w:w="1555" w:type="dxa"/>
          </w:tcPr>
          <w:p w14:paraId="327ED751"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 xml:space="preserve">Daniyal </w:t>
            </w:r>
            <w:proofErr w:type="spellStart"/>
            <w:r w:rsidRPr="00B054AA">
              <w:rPr>
                <w:rFonts w:ascii="Calibri" w:hAnsi="Calibri" w:cs="Calibri"/>
                <w:sz w:val="21"/>
                <w:szCs w:val="21"/>
              </w:rPr>
              <w:t>Jafree</w:t>
            </w:r>
            <w:proofErr w:type="spellEnd"/>
          </w:p>
        </w:tc>
        <w:tc>
          <w:tcPr>
            <w:tcW w:w="2409" w:type="dxa"/>
          </w:tcPr>
          <w:p w14:paraId="47170F6C" w14:textId="77777777" w:rsidR="00E51C5D" w:rsidRPr="00B054AA" w:rsidRDefault="00E51C5D" w:rsidP="00826871">
            <w:pPr>
              <w:rPr>
                <w:rFonts w:ascii="Calibri" w:hAnsi="Calibri" w:cs="Calibri"/>
                <w:sz w:val="21"/>
                <w:szCs w:val="21"/>
              </w:rPr>
            </w:pPr>
            <w:r>
              <w:rPr>
                <w:rFonts w:ascii="Calibri" w:hAnsi="Calibri" w:cs="Calibri"/>
                <w:sz w:val="21"/>
                <w:szCs w:val="21"/>
              </w:rPr>
              <w:t>Addenbrookes Hospital, Cambridge</w:t>
            </w:r>
          </w:p>
        </w:tc>
        <w:tc>
          <w:tcPr>
            <w:tcW w:w="2694" w:type="dxa"/>
          </w:tcPr>
          <w:p w14:paraId="5AB789A2"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Post</w:t>
            </w:r>
            <w:r>
              <w:rPr>
                <w:rFonts w:ascii="Calibri" w:hAnsi="Calibri" w:cs="Calibri"/>
                <w:sz w:val="21"/>
                <w:szCs w:val="21"/>
              </w:rPr>
              <w:t>-</w:t>
            </w:r>
            <w:r w:rsidRPr="00B054AA">
              <w:rPr>
                <w:rFonts w:ascii="Calibri" w:hAnsi="Calibri" w:cs="Calibri"/>
                <w:sz w:val="21"/>
                <w:szCs w:val="21"/>
              </w:rPr>
              <w:t>doctoral researcher and junior doctor</w:t>
            </w:r>
          </w:p>
        </w:tc>
        <w:tc>
          <w:tcPr>
            <w:tcW w:w="2835" w:type="dxa"/>
          </w:tcPr>
          <w:p w14:paraId="4E27FF2A" w14:textId="77777777" w:rsidR="00E51C5D" w:rsidRPr="00B054AA" w:rsidRDefault="00E51C5D" w:rsidP="00826871">
            <w:pPr>
              <w:rPr>
                <w:rFonts w:ascii="Calibri" w:hAnsi="Calibri" w:cs="Calibri"/>
                <w:sz w:val="21"/>
                <w:szCs w:val="21"/>
              </w:rPr>
            </w:pPr>
            <w:r>
              <w:rPr>
                <w:rFonts w:ascii="Calibri" w:hAnsi="Calibri" w:cs="Calibri"/>
                <w:sz w:val="21"/>
                <w:szCs w:val="21"/>
              </w:rPr>
              <w:t>Expert trainee specialist</w:t>
            </w:r>
          </w:p>
        </w:tc>
      </w:tr>
      <w:tr w:rsidR="00E51C5D" w:rsidRPr="00B054AA" w14:paraId="026F3525" w14:textId="77777777" w:rsidTr="003F494F">
        <w:trPr>
          <w:jc w:val="center"/>
        </w:trPr>
        <w:tc>
          <w:tcPr>
            <w:tcW w:w="1555" w:type="dxa"/>
          </w:tcPr>
          <w:p w14:paraId="714F34AB"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 xml:space="preserve">Wen Ding </w:t>
            </w:r>
          </w:p>
        </w:tc>
        <w:tc>
          <w:tcPr>
            <w:tcW w:w="2409" w:type="dxa"/>
          </w:tcPr>
          <w:p w14:paraId="06A48514" w14:textId="77777777" w:rsidR="00E51C5D" w:rsidRPr="00B054AA" w:rsidRDefault="00E51C5D" w:rsidP="00826871">
            <w:pPr>
              <w:rPr>
                <w:rFonts w:ascii="Calibri" w:hAnsi="Calibri" w:cs="Calibri"/>
                <w:sz w:val="21"/>
                <w:szCs w:val="21"/>
              </w:rPr>
            </w:pPr>
            <w:r>
              <w:rPr>
                <w:rFonts w:ascii="Calibri" w:hAnsi="Calibri" w:cs="Calibri"/>
                <w:sz w:val="21"/>
                <w:szCs w:val="21"/>
              </w:rPr>
              <w:t xml:space="preserve">Bristol Children’s Hospital </w:t>
            </w:r>
          </w:p>
        </w:tc>
        <w:tc>
          <w:tcPr>
            <w:tcW w:w="2694" w:type="dxa"/>
          </w:tcPr>
          <w:p w14:paraId="7091F49A"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Consultant Paediatric Nephrologist</w:t>
            </w:r>
          </w:p>
        </w:tc>
        <w:tc>
          <w:tcPr>
            <w:tcW w:w="2835" w:type="dxa"/>
          </w:tcPr>
          <w:p w14:paraId="2A61BBD2" w14:textId="77777777" w:rsidR="00E51C5D" w:rsidRPr="00B054AA" w:rsidRDefault="00E51C5D" w:rsidP="00826871">
            <w:pPr>
              <w:rPr>
                <w:rFonts w:ascii="Calibri" w:hAnsi="Calibri" w:cs="Calibri"/>
                <w:sz w:val="21"/>
                <w:szCs w:val="21"/>
              </w:rPr>
            </w:pPr>
            <w:r>
              <w:rPr>
                <w:rFonts w:ascii="Calibri" w:hAnsi="Calibri" w:cs="Calibri"/>
                <w:sz w:val="21"/>
                <w:szCs w:val="21"/>
              </w:rPr>
              <w:t xml:space="preserve">Expert specialist </w:t>
            </w:r>
          </w:p>
        </w:tc>
      </w:tr>
      <w:tr w:rsidR="00E51C5D" w:rsidRPr="00B054AA" w14:paraId="7624A7F5" w14:textId="77777777" w:rsidTr="003F494F">
        <w:trPr>
          <w:jc w:val="center"/>
        </w:trPr>
        <w:tc>
          <w:tcPr>
            <w:tcW w:w="1555" w:type="dxa"/>
          </w:tcPr>
          <w:p w14:paraId="7F567559"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 xml:space="preserve">Sally Johnson </w:t>
            </w:r>
          </w:p>
        </w:tc>
        <w:tc>
          <w:tcPr>
            <w:tcW w:w="2409" w:type="dxa"/>
          </w:tcPr>
          <w:p w14:paraId="32E0DE48"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Newcastle Children’s Hospital</w:t>
            </w:r>
          </w:p>
        </w:tc>
        <w:tc>
          <w:tcPr>
            <w:tcW w:w="2694" w:type="dxa"/>
          </w:tcPr>
          <w:p w14:paraId="77BC3FCD"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Consultant Paediatric Nephrologist</w:t>
            </w:r>
          </w:p>
        </w:tc>
        <w:tc>
          <w:tcPr>
            <w:tcW w:w="2835" w:type="dxa"/>
          </w:tcPr>
          <w:p w14:paraId="0BE89EE6" w14:textId="77777777" w:rsidR="00E51C5D" w:rsidRPr="00B054AA" w:rsidRDefault="00E51C5D" w:rsidP="00826871">
            <w:pPr>
              <w:rPr>
                <w:rFonts w:ascii="Calibri" w:hAnsi="Calibri" w:cs="Calibri"/>
                <w:sz w:val="21"/>
                <w:szCs w:val="21"/>
              </w:rPr>
            </w:pPr>
            <w:r>
              <w:rPr>
                <w:rFonts w:ascii="Calibri" w:hAnsi="Calibri" w:cs="Calibri"/>
                <w:sz w:val="21"/>
                <w:szCs w:val="21"/>
              </w:rPr>
              <w:t>Expert specialist</w:t>
            </w:r>
          </w:p>
        </w:tc>
      </w:tr>
      <w:tr w:rsidR="00E51C5D" w:rsidRPr="00B054AA" w14:paraId="2BAA7CAD" w14:textId="77777777" w:rsidTr="003F494F">
        <w:trPr>
          <w:jc w:val="center"/>
        </w:trPr>
        <w:tc>
          <w:tcPr>
            <w:tcW w:w="1555" w:type="dxa"/>
          </w:tcPr>
          <w:p w14:paraId="774C4A00"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 xml:space="preserve">Amanda Newnham </w:t>
            </w:r>
          </w:p>
        </w:tc>
        <w:tc>
          <w:tcPr>
            <w:tcW w:w="2409" w:type="dxa"/>
          </w:tcPr>
          <w:p w14:paraId="44BFE6B3"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Leeds Children’s Hospital</w:t>
            </w:r>
          </w:p>
        </w:tc>
        <w:tc>
          <w:tcPr>
            <w:tcW w:w="2694" w:type="dxa"/>
          </w:tcPr>
          <w:p w14:paraId="11022EE2"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Consultant Paediatric Nephrologist</w:t>
            </w:r>
          </w:p>
        </w:tc>
        <w:tc>
          <w:tcPr>
            <w:tcW w:w="2835" w:type="dxa"/>
          </w:tcPr>
          <w:p w14:paraId="1BCD3D04" w14:textId="77777777" w:rsidR="00E51C5D" w:rsidRPr="00B054AA" w:rsidRDefault="00E51C5D" w:rsidP="00826871">
            <w:pPr>
              <w:rPr>
                <w:rFonts w:ascii="Calibri" w:hAnsi="Calibri" w:cs="Calibri"/>
                <w:sz w:val="21"/>
                <w:szCs w:val="21"/>
              </w:rPr>
            </w:pPr>
            <w:r>
              <w:rPr>
                <w:rFonts w:ascii="Calibri" w:hAnsi="Calibri" w:cs="Calibri"/>
                <w:sz w:val="21"/>
                <w:szCs w:val="21"/>
              </w:rPr>
              <w:t>Expert specialist</w:t>
            </w:r>
          </w:p>
        </w:tc>
      </w:tr>
      <w:tr w:rsidR="00E51C5D" w:rsidRPr="00B054AA" w14:paraId="027D6FED" w14:textId="77777777" w:rsidTr="003F494F">
        <w:trPr>
          <w:jc w:val="center"/>
        </w:trPr>
        <w:tc>
          <w:tcPr>
            <w:tcW w:w="1555" w:type="dxa"/>
          </w:tcPr>
          <w:p w14:paraId="467DB17E"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 xml:space="preserve">Rona Smith </w:t>
            </w:r>
          </w:p>
        </w:tc>
        <w:tc>
          <w:tcPr>
            <w:tcW w:w="2409" w:type="dxa"/>
          </w:tcPr>
          <w:p w14:paraId="5F0F14E6" w14:textId="77777777" w:rsidR="00E51C5D" w:rsidRPr="00B054AA" w:rsidRDefault="00E51C5D" w:rsidP="00826871">
            <w:pPr>
              <w:rPr>
                <w:rFonts w:ascii="Calibri" w:hAnsi="Calibri" w:cs="Calibri"/>
                <w:sz w:val="21"/>
                <w:szCs w:val="21"/>
              </w:rPr>
            </w:pPr>
            <w:r>
              <w:rPr>
                <w:rFonts w:ascii="Calibri" w:hAnsi="Calibri" w:cs="Calibri"/>
                <w:sz w:val="21"/>
                <w:szCs w:val="21"/>
              </w:rPr>
              <w:t>University of Cambridge</w:t>
            </w:r>
          </w:p>
        </w:tc>
        <w:tc>
          <w:tcPr>
            <w:tcW w:w="2694" w:type="dxa"/>
          </w:tcPr>
          <w:p w14:paraId="60A1AB7F"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Consultant Nephrologist</w:t>
            </w:r>
          </w:p>
        </w:tc>
        <w:tc>
          <w:tcPr>
            <w:tcW w:w="2835" w:type="dxa"/>
          </w:tcPr>
          <w:p w14:paraId="353D0F37" w14:textId="77777777" w:rsidR="00E51C5D" w:rsidRPr="00B054AA" w:rsidRDefault="00E51C5D" w:rsidP="00826871">
            <w:pPr>
              <w:rPr>
                <w:rFonts w:ascii="Calibri" w:hAnsi="Calibri" w:cs="Calibri"/>
                <w:sz w:val="21"/>
                <w:szCs w:val="21"/>
              </w:rPr>
            </w:pPr>
            <w:r>
              <w:rPr>
                <w:rFonts w:ascii="Calibri" w:hAnsi="Calibri" w:cs="Calibri"/>
                <w:sz w:val="21"/>
                <w:szCs w:val="21"/>
              </w:rPr>
              <w:t>Expert adult vasculitis specialist</w:t>
            </w:r>
          </w:p>
        </w:tc>
      </w:tr>
      <w:tr w:rsidR="00E51C5D" w:rsidRPr="00B054AA" w14:paraId="414CF171" w14:textId="77777777" w:rsidTr="003F494F">
        <w:trPr>
          <w:jc w:val="center"/>
        </w:trPr>
        <w:tc>
          <w:tcPr>
            <w:tcW w:w="1555" w:type="dxa"/>
          </w:tcPr>
          <w:p w14:paraId="213B7A64" w14:textId="77777777" w:rsidR="00E51C5D" w:rsidRPr="00B054AA" w:rsidRDefault="00E51C5D" w:rsidP="00826871">
            <w:pPr>
              <w:rPr>
                <w:rFonts w:ascii="Calibri" w:hAnsi="Calibri" w:cs="Calibri"/>
                <w:sz w:val="21"/>
                <w:szCs w:val="21"/>
              </w:rPr>
            </w:pPr>
            <w:r w:rsidRPr="00B054AA">
              <w:rPr>
                <w:rFonts w:ascii="Calibri" w:hAnsi="Calibri" w:cs="Calibri"/>
                <w:color w:val="242424"/>
                <w:sz w:val="21"/>
                <w:szCs w:val="21"/>
                <w:bdr w:val="none" w:sz="0" w:space="0" w:color="auto" w:frame="1"/>
                <w:shd w:val="clear" w:color="auto" w:fill="FFFFFF"/>
              </w:rPr>
              <w:t>Evgenia</w:t>
            </w:r>
            <w:r w:rsidRPr="00B054AA">
              <w:rPr>
                <w:rFonts w:ascii="Calibri" w:hAnsi="Calibri" w:cs="Calibri"/>
                <w:sz w:val="21"/>
                <w:szCs w:val="21"/>
              </w:rPr>
              <w:t xml:space="preserve"> Preka </w:t>
            </w:r>
          </w:p>
        </w:tc>
        <w:tc>
          <w:tcPr>
            <w:tcW w:w="2409" w:type="dxa"/>
          </w:tcPr>
          <w:p w14:paraId="01D31704" w14:textId="77777777" w:rsidR="00E51C5D" w:rsidRPr="00B054AA" w:rsidRDefault="00E51C5D" w:rsidP="00826871">
            <w:pPr>
              <w:rPr>
                <w:rFonts w:ascii="Calibri" w:hAnsi="Calibri" w:cs="Calibri"/>
                <w:sz w:val="21"/>
                <w:szCs w:val="21"/>
              </w:rPr>
            </w:pPr>
            <w:r>
              <w:rPr>
                <w:rFonts w:ascii="Calibri" w:hAnsi="Calibri" w:cs="Calibri"/>
                <w:sz w:val="21"/>
                <w:szCs w:val="21"/>
              </w:rPr>
              <w:t xml:space="preserve">Paris Children’s Hospital </w:t>
            </w:r>
          </w:p>
        </w:tc>
        <w:tc>
          <w:tcPr>
            <w:tcW w:w="2694" w:type="dxa"/>
          </w:tcPr>
          <w:p w14:paraId="1A269FEA"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Consultant Paediatric Nephrologist</w:t>
            </w:r>
          </w:p>
        </w:tc>
        <w:tc>
          <w:tcPr>
            <w:tcW w:w="2835" w:type="dxa"/>
          </w:tcPr>
          <w:p w14:paraId="56D194F9" w14:textId="77777777" w:rsidR="00E51C5D" w:rsidRPr="00B054AA" w:rsidRDefault="00E51C5D" w:rsidP="00826871">
            <w:pPr>
              <w:rPr>
                <w:rFonts w:ascii="Calibri" w:hAnsi="Calibri" w:cs="Calibri"/>
                <w:sz w:val="21"/>
                <w:szCs w:val="21"/>
              </w:rPr>
            </w:pPr>
            <w:r>
              <w:rPr>
                <w:rFonts w:ascii="Calibri" w:hAnsi="Calibri" w:cs="Calibri"/>
                <w:sz w:val="21"/>
                <w:szCs w:val="21"/>
              </w:rPr>
              <w:t>Expert specialist</w:t>
            </w:r>
          </w:p>
        </w:tc>
      </w:tr>
      <w:tr w:rsidR="00E51C5D" w:rsidRPr="00B054AA" w14:paraId="75035B6E" w14:textId="77777777" w:rsidTr="003F494F">
        <w:trPr>
          <w:jc w:val="center"/>
        </w:trPr>
        <w:tc>
          <w:tcPr>
            <w:tcW w:w="1555" w:type="dxa"/>
          </w:tcPr>
          <w:p w14:paraId="3FD765DA"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 xml:space="preserve">Matko Marlais </w:t>
            </w:r>
          </w:p>
        </w:tc>
        <w:tc>
          <w:tcPr>
            <w:tcW w:w="2409" w:type="dxa"/>
          </w:tcPr>
          <w:p w14:paraId="456B21F4"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Great Ormond Street Children’s Hospital</w:t>
            </w:r>
          </w:p>
        </w:tc>
        <w:tc>
          <w:tcPr>
            <w:tcW w:w="2694" w:type="dxa"/>
          </w:tcPr>
          <w:p w14:paraId="3A026B9A"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Consultant Paediatric Nephrologist</w:t>
            </w:r>
          </w:p>
        </w:tc>
        <w:tc>
          <w:tcPr>
            <w:tcW w:w="2835" w:type="dxa"/>
          </w:tcPr>
          <w:p w14:paraId="09E6C43F" w14:textId="77777777" w:rsidR="00E51C5D" w:rsidRPr="00B054AA" w:rsidRDefault="00E51C5D" w:rsidP="00826871">
            <w:pPr>
              <w:rPr>
                <w:rFonts w:ascii="Calibri" w:hAnsi="Calibri" w:cs="Calibri"/>
                <w:sz w:val="21"/>
                <w:szCs w:val="21"/>
              </w:rPr>
            </w:pPr>
            <w:r>
              <w:rPr>
                <w:rFonts w:ascii="Calibri" w:hAnsi="Calibri" w:cs="Calibri"/>
                <w:sz w:val="21"/>
                <w:szCs w:val="21"/>
              </w:rPr>
              <w:t>Guideline methodology specialist &amp; expert specialist</w:t>
            </w:r>
          </w:p>
        </w:tc>
      </w:tr>
      <w:tr w:rsidR="00E51C5D" w:rsidRPr="00B054AA" w14:paraId="6E3C168B" w14:textId="77777777" w:rsidTr="003F494F">
        <w:trPr>
          <w:jc w:val="center"/>
        </w:trPr>
        <w:tc>
          <w:tcPr>
            <w:tcW w:w="1555" w:type="dxa"/>
          </w:tcPr>
          <w:p w14:paraId="1CD79428"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 xml:space="preserve">Mohan Shenoy </w:t>
            </w:r>
          </w:p>
        </w:tc>
        <w:tc>
          <w:tcPr>
            <w:tcW w:w="2409" w:type="dxa"/>
          </w:tcPr>
          <w:p w14:paraId="155B8C7D"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Royal Manchester Children’s Hospital</w:t>
            </w:r>
          </w:p>
        </w:tc>
        <w:tc>
          <w:tcPr>
            <w:tcW w:w="2694" w:type="dxa"/>
          </w:tcPr>
          <w:p w14:paraId="74295599"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Consultant Paediatric Nephrologist</w:t>
            </w:r>
          </w:p>
        </w:tc>
        <w:tc>
          <w:tcPr>
            <w:tcW w:w="2835" w:type="dxa"/>
          </w:tcPr>
          <w:p w14:paraId="70C5C5A4" w14:textId="77777777" w:rsidR="00E51C5D" w:rsidRPr="00B054AA" w:rsidRDefault="00E51C5D" w:rsidP="00826871">
            <w:pPr>
              <w:rPr>
                <w:rFonts w:ascii="Calibri" w:hAnsi="Calibri" w:cs="Calibri"/>
                <w:sz w:val="21"/>
                <w:szCs w:val="21"/>
              </w:rPr>
            </w:pPr>
            <w:r>
              <w:rPr>
                <w:rFonts w:ascii="Calibri" w:hAnsi="Calibri" w:cs="Calibri"/>
                <w:sz w:val="21"/>
                <w:szCs w:val="21"/>
              </w:rPr>
              <w:t>Expert specialist</w:t>
            </w:r>
          </w:p>
        </w:tc>
      </w:tr>
      <w:tr w:rsidR="00E51C5D" w:rsidRPr="00B054AA" w14:paraId="2C046183" w14:textId="77777777" w:rsidTr="003F494F">
        <w:trPr>
          <w:jc w:val="center"/>
        </w:trPr>
        <w:tc>
          <w:tcPr>
            <w:tcW w:w="1555" w:type="dxa"/>
          </w:tcPr>
          <w:p w14:paraId="1239B6FA"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 xml:space="preserve">Ben Reynolds </w:t>
            </w:r>
          </w:p>
        </w:tc>
        <w:tc>
          <w:tcPr>
            <w:tcW w:w="2409" w:type="dxa"/>
          </w:tcPr>
          <w:p w14:paraId="4B2D5EA0"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Glasgow Children’s Hospital</w:t>
            </w:r>
          </w:p>
        </w:tc>
        <w:tc>
          <w:tcPr>
            <w:tcW w:w="2694" w:type="dxa"/>
          </w:tcPr>
          <w:p w14:paraId="2693F6BE"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Consultant Paediatric Nephrologist</w:t>
            </w:r>
          </w:p>
        </w:tc>
        <w:tc>
          <w:tcPr>
            <w:tcW w:w="2835" w:type="dxa"/>
          </w:tcPr>
          <w:p w14:paraId="156DAFF7" w14:textId="77777777" w:rsidR="00E51C5D" w:rsidRPr="00B054AA" w:rsidRDefault="00E51C5D" w:rsidP="00826871">
            <w:pPr>
              <w:rPr>
                <w:rFonts w:ascii="Calibri" w:hAnsi="Calibri" w:cs="Calibri"/>
                <w:sz w:val="21"/>
                <w:szCs w:val="21"/>
              </w:rPr>
            </w:pPr>
            <w:r>
              <w:rPr>
                <w:rFonts w:ascii="Calibri" w:hAnsi="Calibri" w:cs="Calibri"/>
                <w:sz w:val="21"/>
                <w:szCs w:val="21"/>
              </w:rPr>
              <w:t>Expert specialist</w:t>
            </w:r>
          </w:p>
        </w:tc>
      </w:tr>
      <w:tr w:rsidR="00E51C5D" w:rsidRPr="00B054AA" w14:paraId="1D17BBD9" w14:textId="77777777" w:rsidTr="003F494F">
        <w:trPr>
          <w:jc w:val="center"/>
        </w:trPr>
        <w:tc>
          <w:tcPr>
            <w:tcW w:w="1555" w:type="dxa"/>
          </w:tcPr>
          <w:p w14:paraId="3F1D9CB5" w14:textId="77777777" w:rsidR="00E51C5D" w:rsidRPr="00B054AA" w:rsidRDefault="00E51C5D" w:rsidP="00826871">
            <w:pPr>
              <w:rPr>
                <w:rFonts w:ascii="Calibri" w:hAnsi="Calibri" w:cs="Calibri"/>
                <w:sz w:val="21"/>
                <w:szCs w:val="21"/>
              </w:rPr>
            </w:pPr>
            <w:r w:rsidRPr="00B054AA">
              <w:rPr>
                <w:rFonts w:ascii="Calibri" w:hAnsi="Calibri" w:cs="Calibri"/>
                <w:color w:val="242424"/>
                <w:sz w:val="21"/>
                <w:szCs w:val="21"/>
                <w:bdr w:val="none" w:sz="0" w:space="0" w:color="auto" w:frame="1"/>
                <w:shd w:val="clear" w:color="auto" w:fill="FFFFFF"/>
              </w:rPr>
              <w:t>Matthew Harmer</w:t>
            </w:r>
          </w:p>
        </w:tc>
        <w:tc>
          <w:tcPr>
            <w:tcW w:w="2409" w:type="dxa"/>
          </w:tcPr>
          <w:p w14:paraId="6E11957B"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Southampton Children’s Hospital</w:t>
            </w:r>
          </w:p>
        </w:tc>
        <w:tc>
          <w:tcPr>
            <w:tcW w:w="2694" w:type="dxa"/>
          </w:tcPr>
          <w:p w14:paraId="33A085B2"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Consultant Paediatric Nephrologist</w:t>
            </w:r>
          </w:p>
        </w:tc>
        <w:tc>
          <w:tcPr>
            <w:tcW w:w="2835" w:type="dxa"/>
          </w:tcPr>
          <w:p w14:paraId="3035DACD" w14:textId="77777777" w:rsidR="00E51C5D" w:rsidRPr="00B054AA" w:rsidRDefault="00E51C5D" w:rsidP="00826871">
            <w:pPr>
              <w:rPr>
                <w:rFonts w:ascii="Calibri" w:hAnsi="Calibri" w:cs="Calibri"/>
                <w:sz w:val="21"/>
                <w:szCs w:val="21"/>
              </w:rPr>
            </w:pPr>
            <w:r>
              <w:rPr>
                <w:rFonts w:ascii="Calibri" w:hAnsi="Calibri" w:cs="Calibri"/>
                <w:sz w:val="21"/>
                <w:szCs w:val="21"/>
              </w:rPr>
              <w:t>Expert specialist</w:t>
            </w:r>
          </w:p>
        </w:tc>
      </w:tr>
      <w:tr w:rsidR="00E51C5D" w:rsidRPr="00B054AA" w14:paraId="09C3EAA5" w14:textId="77777777" w:rsidTr="003F494F">
        <w:trPr>
          <w:jc w:val="center"/>
        </w:trPr>
        <w:tc>
          <w:tcPr>
            <w:tcW w:w="1555" w:type="dxa"/>
          </w:tcPr>
          <w:p w14:paraId="328E3159"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 xml:space="preserve">Samantha Williamson </w:t>
            </w:r>
          </w:p>
        </w:tc>
        <w:tc>
          <w:tcPr>
            <w:tcW w:w="2409" w:type="dxa"/>
          </w:tcPr>
          <w:p w14:paraId="1408020B"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Leeds Children’s Hospital</w:t>
            </w:r>
          </w:p>
        </w:tc>
        <w:tc>
          <w:tcPr>
            <w:tcW w:w="2694" w:type="dxa"/>
          </w:tcPr>
          <w:p w14:paraId="12432A41"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Consultant Paediatric Nephrologist</w:t>
            </w:r>
          </w:p>
        </w:tc>
        <w:tc>
          <w:tcPr>
            <w:tcW w:w="2835" w:type="dxa"/>
          </w:tcPr>
          <w:p w14:paraId="35B8B351" w14:textId="77777777" w:rsidR="00E51C5D" w:rsidRPr="00B054AA" w:rsidRDefault="00E51C5D" w:rsidP="00826871">
            <w:pPr>
              <w:rPr>
                <w:rFonts w:ascii="Calibri" w:hAnsi="Calibri" w:cs="Calibri"/>
                <w:sz w:val="21"/>
                <w:szCs w:val="21"/>
              </w:rPr>
            </w:pPr>
            <w:r>
              <w:rPr>
                <w:rFonts w:ascii="Calibri" w:hAnsi="Calibri" w:cs="Calibri"/>
                <w:sz w:val="21"/>
                <w:szCs w:val="21"/>
              </w:rPr>
              <w:t>Expert specialist</w:t>
            </w:r>
          </w:p>
        </w:tc>
      </w:tr>
      <w:tr w:rsidR="00E51C5D" w:rsidRPr="00B054AA" w14:paraId="4C907608" w14:textId="77777777" w:rsidTr="003F494F">
        <w:trPr>
          <w:jc w:val="center"/>
        </w:trPr>
        <w:tc>
          <w:tcPr>
            <w:tcW w:w="1555" w:type="dxa"/>
          </w:tcPr>
          <w:p w14:paraId="3C0D629B" w14:textId="77777777" w:rsidR="00E51C5D" w:rsidRPr="00B054AA" w:rsidRDefault="00E51C5D" w:rsidP="00826871">
            <w:pPr>
              <w:rPr>
                <w:rFonts w:ascii="Calibri" w:hAnsi="Calibri" w:cs="Calibri"/>
                <w:sz w:val="21"/>
                <w:szCs w:val="21"/>
              </w:rPr>
            </w:pPr>
            <w:r w:rsidRPr="00B054AA">
              <w:rPr>
                <w:rFonts w:ascii="Calibri" w:hAnsi="Calibri" w:cs="Calibri"/>
                <w:color w:val="242424"/>
                <w:sz w:val="21"/>
                <w:szCs w:val="21"/>
                <w:bdr w:val="none" w:sz="0" w:space="0" w:color="auto" w:frame="1"/>
                <w:shd w:val="clear" w:color="auto" w:fill="FFFFFF"/>
              </w:rPr>
              <w:t>Ramnath Iyer</w:t>
            </w:r>
          </w:p>
        </w:tc>
        <w:tc>
          <w:tcPr>
            <w:tcW w:w="2409" w:type="dxa"/>
          </w:tcPr>
          <w:p w14:paraId="688CA3A8"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Birmingham Children’s Hospital</w:t>
            </w:r>
          </w:p>
        </w:tc>
        <w:tc>
          <w:tcPr>
            <w:tcW w:w="2694" w:type="dxa"/>
          </w:tcPr>
          <w:p w14:paraId="766F4B94"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Consultant Paediatric Nephrologist</w:t>
            </w:r>
          </w:p>
        </w:tc>
        <w:tc>
          <w:tcPr>
            <w:tcW w:w="2835" w:type="dxa"/>
          </w:tcPr>
          <w:p w14:paraId="26B36E05" w14:textId="77777777" w:rsidR="00E51C5D" w:rsidRPr="00B054AA" w:rsidRDefault="00E51C5D" w:rsidP="00826871">
            <w:pPr>
              <w:rPr>
                <w:rFonts w:ascii="Calibri" w:hAnsi="Calibri" w:cs="Calibri"/>
                <w:sz w:val="21"/>
                <w:szCs w:val="21"/>
              </w:rPr>
            </w:pPr>
            <w:r>
              <w:rPr>
                <w:rFonts w:ascii="Calibri" w:hAnsi="Calibri" w:cs="Calibri"/>
                <w:sz w:val="21"/>
                <w:szCs w:val="21"/>
              </w:rPr>
              <w:t>Expert specialist</w:t>
            </w:r>
          </w:p>
        </w:tc>
      </w:tr>
      <w:tr w:rsidR="00E51C5D" w:rsidRPr="00B054AA" w14:paraId="7C42F188" w14:textId="77777777" w:rsidTr="003F494F">
        <w:trPr>
          <w:jc w:val="center"/>
        </w:trPr>
        <w:tc>
          <w:tcPr>
            <w:tcW w:w="1555" w:type="dxa"/>
          </w:tcPr>
          <w:p w14:paraId="5D0CDDEE"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Felicity Beal</w:t>
            </w:r>
          </w:p>
        </w:tc>
        <w:tc>
          <w:tcPr>
            <w:tcW w:w="2409" w:type="dxa"/>
          </w:tcPr>
          <w:p w14:paraId="51AAE92C"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Birmingham Children’s Hospital</w:t>
            </w:r>
          </w:p>
        </w:tc>
        <w:tc>
          <w:tcPr>
            <w:tcW w:w="2694" w:type="dxa"/>
          </w:tcPr>
          <w:p w14:paraId="24C0248A"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Paediatric Nephrology Trainee</w:t>
            </w:r>
          </w:p>
        </w:tc>
        <w:tc>
          <w:tcPr>
            <w:tcW w:w="2835" w:type="dxa"/>
          </w:tcPr>
          <w:p w14:paraId="7A4676A8" w14:textId="77777777" w:rsidR="00E51C5D" w:rsidRPr="00B054AA" w:rsidRDefault="00E51C5D" w:rsidP="00826871">
            <w:pPr>
              <w:rPr>
                <w:rFonts w:ascii="Calibri" w:hAnsi="Calibri" w:cs="Calibri"/>
                <w:sz w:val="21"/>
                <w:szCs w:val="21"/>
              </w:rPr>
            </w:pPr>
            <w:r>
              <w:rPr>
                <w:rFonts w:ascii="Calibri" w:hAnsi="Calibri" w:cs="Calibri"/>
                <w:sz w:val="21"/>
                <w:szCs w:val="21"/>
              </w:rPr>
              <w:t>Expert specialist</w:t>
            </w:r>
          </w:p>
        </w:tc>
      </w:tr>
      <w:tr w:rsidR="00E51C5D" w:rsidRPr="00B054AA" w14:paraId="04BE16D9" w14:textId="77777777" w:rsidTr="003F494F">
        <w:trPr>
          <w:jc w:val="center"/>
        </w:trPr>
        <w:tc>
          <w:tcPr>
            <w:tcW w:w="1555" w:type="dxa"/>
          </w:tcPr>
          <w:p w14:paraId="2F38DAD4"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 xml:space="preserve">Martin Christian </w:t>
            </w:r>
          </w:p>
        </w:tc>
        <w:tc>
          <w:tcPr>
            <w:tcW w:w="2409" w:type="dxa"/>
          </w:tcPr>
          <w:p w14:paraId="332FCA90"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Nottingham Children’s Hospital</w:t>
            </w:r>
          </w:p>
        </w:tc>
        <w:tc>
          <w:tcPr>
            <w:tcW w:w="2694" w:type="dxa"/>
          </w:tcPr>
          <w:p w14:paraId="4B7ABE18"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Consultant Paediatric Nephrologist</w:t>
            </w:r>
          </w:p>
        </w:tc>
        <w:tc>
          <w:tcPr>
            <w:tcW w:w="2835" w:type="dxa"/>
          </w:tcPr>
          <w:p w14:paraId="3EDB7902" w14:textId="77777777" w:rsidR="00E51C5D" w:rsidRPr="00B054AA" w:rsidRDefault="00E51C5D" w:rsidP="00826871">
            <w:pPr>
              <w:rPr>
                <w:rFonts w:ascii="Calibri" w:hAnsi="Calibri" w:cs="Calibri"/>
                <w:sz w:val="21"/>
                <w:szCs w:val="21"/>
              </w:rPr>
            </w:pPr>
            <w:r>
              <w:rPr>
                <w:rFonts w:ascii="Calibri" w:hAnsi="Calibri" w:cs="Calibri"/>
                <w:sz w:val="21"/>
                <w:szCs w:val="21"/>
              </w:rPr>
              <w:t>Guideline methodology specialist &amp; expert specialist</w:t>
            </w:r>
          </w:p>
        </w:tc>
      </w:tr>
      <w:tr w:rsidR="00E51C5D" w:rsidRPr="00B054AA" w14:paraId="19FD7F24" w14:textId="77777777" w:rsidTr="003F494F">
        <w:trPr>
          <w:jc w:val="center"/>
        </w:trPr>
        <w:tc>
          <w:tcPr>
            <w:tcW w:w="1555" w:type="dxa"/>
          </w:tcPr>
          <w:p w14:paraId="0B7F4380"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Angela Lamb</w:t>
            </w:r>
          </w:p>
        </w:tc>
        <w:tc>
          <w:tcPr>
            <w:tcW w:w="2409" w:type="dxa"/>
          </w:tcPr>
          <w:p w14:paraId="2C4D2F9C"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Glasgow Children’s Hospital</w:t>
            </w:r>
          </w:p>
        </w:tc>
        <w:tc>
          <w:tcPr>
            <w:tcW w:w="2694" w:type="dxa"/>
          </w:tcPr>
          <w:p w14:paraId="282850A9"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Paediatric Renal Pharmacist</w:t>
            </w:r>
          </w:p>
        </w:tc>
        <w:tc>
          <w:tcPr>
            <w:tcW w:w="2835" w:type="dxa"/>
          </w:tcPr>
          <w:p w14:paraId="2DAB26D5" w14:textId="77777777" w:rsidR="00E51C5D" w:rsidRPr="00B054AA" w:rsidRDefault="00E51C5D" w:rsidP="00826871">
            <w:pPr>
              <w:rPr>
                <w:rFonts w:ascii="Calibri" w:hAnsi="Calibri" w:cs="Calibri"/>
                <w:sz w:val="21"/>
                <w:szCs w:val="21"/>
              </w:rPr>
            </w:pPr>
            <w:r>
              <w:rPr>
                <w:rFonts w:ascii="Calibri" w:hAnsi="Calibri" w:cs="Calibri"/>
                <w:sz w:val="21"/>
                <w:szCs w:val="21"/>
              </w:rPr>
              <w:t>Expert pharmacy specialist</w:t>
            </w:r>
          </w:p>
        </w:tc>
      </w:tr>
      <w:tr w:rsidR="00E51C5D" w:rsidRPr="00B054AA" w14:paraId="223C5500" w14:textId="77777777" w:rsidTr="003F494F">
        <w:trPr>
          <w:jc w:val="center"/>
        </w:trPr>
        <w:tc>
          <w:tcPr>
            <w:tcW w:w="1555" w:type="dxa"/>
          </w:tcPr>
          <w:p w14:paraId="2D033FAD"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Pallavi Prasad</w:t>
            </w:r>
          </w:p>
        </w:tc>
        <w:tc>
          <w:tcPr>
            <w:tcW w:w="2409" w:type="dxa"/>
          </w:tcPr>
          <w:p w14:paraId="70AEA124"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Alder Hey Children’s Hospital</w:t>
            </w:r>
          </w:p>
        </w:tc>
        <w:tc>
          <w:tcPr>
            <w:tcW w:w="2694" w:type="dxa"/>
          </w:tcPr>
          <w:p w14:paraId="7668E559"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Consultant Paediatric Nephrologist</w:t>
            </w:r>
          </w:p>
        </w:tc>
        <w:tc>
          <w:tcPr>
            <w:tcW w:w="2835" w:type="dxa"/>
          </w:tcPr>
          <w:p w14:paraId="31339087" w14:textId="77777777" w:rsidR="00E51C5D" w:rsidRPr="00B054AA" w:rsidRDefault="00E51C5D" w:rsidP="00826871">
            <w:pPr>
              <w:rPr>
                <w:rFonts w:ascii="Calibri" w:hAnsi="Calibri" w:cs="Calibri"/>
                <w:sz w:val="21"/>
                <w:szCs w:val="21"/>
              </w:rPr>
            </w:pPr>
            <w:r>
              <w:rPr>
                <w:rFonts w:ascii="Calibri" w:hAnsi="Calibri" w:cs="Calibri"/>
                <w:sz w:val="21"/>
                <w:szCs w:val="21"/>
              </w:rPr>
              <w:t>Expert specialist</w:t>
            </w:r>
          </w:p>
        </w:tc>
      </w:tr>
      <w:tr w:rsidR="00E51C5D" w:rsidRPr="00B054AA" w14:paraId="568E53F5" w14:textId="77777777" w:rsidTr="003F494F">
        <w:trPr>
          <w:jc w:val="center"/>
        </w:trPr>
        <w:tc>
          <w:tcPr>
            <w:tcW w:w="1555" w:type="dxa"/>
          </w:tcPr>
          <w:p w14:paraId="7F959F30"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Stephen Marks</w:t>
            </w:r>
          </w:p>
        </w:tc>
        <w:tc>
          <w:tcPr>
            <w:tcW w:w="2409" w:type="dxa"/>
          </w:tcPr>
          <w:p w14:paraId="2A08EB80"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Great Ormond Street Children’s Hospital</w:t>
            </w:r>
          </w:p>
        </w:tc>
        <w:tc>
          <w:tcPr>
            <w:tcW w:w="2694" w:type="dxa"/>
          </w:tcPr>
          <w:p w14:paraId="333F591B"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Professor of Paediatric Nephrology</w:t>
            </w:r>
          </w:p>
        </w:tc>
        <w:tc>
          <w:tcPr>
            <w:tcW w:w="2835" w:type="dxa"/>
          </w:tcPr>
          <w:p w14:paraId="204A1EDA" w14:textId="77777777" w:rsidR="00E51C5D" w:rsidRPr="00B054AA" w:rsidRDefault="00E51C5D" w:rsidP="00826871">
            <w:pPr>
              <w:rPr>
                <w:rFonts w:ascii="Calibri" w:hAnsi="Calibri" w:cs="Calibri"/>
                <w:sz w:val="21"/>
                <w:szCs w:val="21"/>
              </w:rPr>
            </w:pPr>
            <w:r>
              <w:rPr>
                <w:rFonts w:ascii="Calibri" w:hAnsi="Calibri" w:cs="Calibri"/>
                <w:sz w:val="21"/>
                <w:szCs w:val="21"/>
              </w:rPr>
              <w:t>Expert specialist</w:t>
            </w:r>
          </w:p>
        </w:tc>
      </w:tr>
      <w:tr w:rsidR="00E51C5D" w:rsidRPr="00B054AA" w14:paraId="03E5293B" w14:textId="77777777" w:rsidTr="003F494F">
        <w:trPr>
          <w:jc w:val="center"/>
        </w:trPr>
        <w:tc>
          <w:tcPr>
            <w:tcW w:w="1555" w:type="dxa"/>
          </w:tcPr>
          <w:p w14:paraId="2D37B1C6"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 xml:space="preserve">Mordi </w:t>
            </w:r>
            <w:proofErr w:type="spellStart"/>
            <w:r w:rsidRPr="00B054AA">
              <w:rPr>
                <w:rFonts w:ascii="Calibri" w:hAnsi="Calibri" w:cs="Calibri"/>
                <w:sz w:val="21"/>
                <w:szCs w:val="21"/>
              </w:rPr>
              <w:t>Muorah</w:t>
            </w:r>
            <w:proofErr w:type="spellEnd"/>
          </w:p>
        </w:tc>
        <w:tc>
          <w:tcPr>
            <w:tcW w:w="2409" w:type="dxa"/>
          </w:tcPr>
          <w:p w14:paraId="4CABD59E"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Birmingham Children’s Hospital</w:t>
            </w:r>
          </w:p>
        </w:tc>
        <w:tc>
          <w:tcPr>
            <w:tcW w:w="2694" w:type="dxa"/>
          </w:tcPr>
          <w:p w14:paraId="772EDC52"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Consultant Paediatric Nephrologist</w:t>
            </w:r>
          </w:p>
        </w:tc>
        <w:tc>
          <w:tcPr>
            <w:tcW w:w="2835" w:type="dxa"/>
          </w:tcPr>
          <w:p w14:paraId="5BC73265" w14:textId="77777777" w:rsidR="00E51C5D" w:rsidRPr="00B054AA" w:rsidRDefault="00E51C5D" w:rsidP="00826871">
            <w:pPr>
              <w:rPr>
                <w:rFonts w:ascii="Calibri" w:hAnsi="Calibri" w:cs="Calibri"/>
                <w:sz w:val="21"/>
                <w:szCs w:val="21"/>
              </w:rPr>
            </w:pPr>
            <w:r>
              <w:rPr>
                <w:rFonts w:ascii="Calibri" w:hAnsi="Calibri" w:cs="Calibri"/>
                <w:sz w:val="21"/>
                <w:szCs w:val="21"/>
              </w:rPr>
              <w:t>Expert specialist</w:t>
            </w:r>
          </w:p>
        </w:tc>
      </w:tr>
      <w:tr w:rsidR="00E51C5D" w:rsidRPr="00B054AA" w14:paraId="279DE98B" w14:textId="77777777" w:rsidTr="003F494F">
        <w:trPr>
          <w:jc w:val="center"/>
        </w:trPr>
        <w:tc>
          <w:tcPr>
            <w:tcW w:w="1555" w:type="dxa"/>
          </w:tcPr>
          <w:p w14:paraId="096B7C6D"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Emma O’Hag</w:t>
            </w:r>
            <w:r>
              <w:rPr>
                <w:rFonts w:ascii="Calibri" w:hAnsi="Calibri" w:cs="Calibri"/>
                <w:sz w:val="21"/>
                <w:szCs w:val="21"/>
              </w:rPr>
              <w:t>a</w:t>
            </w:r>
            <w:r w:rsidRPr="00B054AA">
              <w:rPr>
                <w:rFonts w:ascii="Calibri" w:hAnsi="Calibri" w:cs="Calibri"/>
                <w:sz w:val="21"/>
                <w:szCs w:val="21"/>
              </w:rPr>
              <w:t xml:space="preserve">n </w:t>
            </w:r>
          </w:p>
        </w:tc>
        <w:tc>
          <w:tcPr>
            <w:tcW w:w="2409" w:type="dxa"/>
          </w:tcPr>
          <w:p w14:paraId="7B9119B7"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Belfast Children’s Hospital</w:t>
            </w:r>
          </w:p>
        </w:tc>
        <w:tc>
          <w:tcPr>
            <w:tcW w:w="2694" w:type="dxa"/>
          </w:tcPr>
          <w:p w14:paraId="0894838F"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Consultant Paediatric Nephrologist</w:t>
            </w:r>
          </w:p>
        </w:tc>
        <w:tc>
          <w:tcPr>
            <w:tcW w:w="2835" w:type="dxa"/>
          </w:tcPr>
          <w:p w14:paraId="4487C503" w14:textId="77777777" w:rsidR="00E51C5D" w:rsidRPr="00B054AA" w:rsidRDefault="00E51C5D" w:rsidP="00826871">
            <w:pPr>
              <w:rPr>
                <w:rFonts w:ascii="Calibri" w:hAnsi="Calibri" w:cs="Calibri"/>
                <w:sz w:val="21"/>
                <w:szCs w:val="21"/>
              </w:rPr>
            </w:pPr>
            <w:r>
              <w:rPr>
                <w:rFonts w:ascii="Calibri" w:hAnsi="Calibri" w:cs="Calibri"/>
                <w:sz w:val="21"/>
                <w:szCs w:val="21"/>
              </w:rPr>
              <w:t>Expert specialist</w:t>
            </w:r>
          </w:p>
        </w:tc>
      </w:tr>
      <w:tr w:rsidR="00E51C5D" w:rsidRPr="00B054AA" w14:paraId="152E94B6" w14:textId="77777777" w:rsidTr="003F494F">
        <w:trPr>
          <w:jc w:val="center"/>
        </w:trPr>
        <w:tc>
          <w:tcPr>
            <w:tcW w:w="1555" w:type="dxa"/>
          </w:tcPr>
          <w:p w14:paraId="70155116"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 xml:space="preserve">Hazel Webb </w:t>
            </w:r>
          </w:p>
        </w:tc>
        <w:tc>
          <w:tcPr>
            <w:tcW w:w="2409" w:type="dxa"/>
          </w:tcPr>
          <w:p w14:paraId="7CD49FCA"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Great Ormond Street Children’s Hospital</w:t>
            </w:r>
          </w:p>
        </w:tc>
        <w:tc>
          <w:tcPr>
            <w:tcW w:w="2694" w:type="dxa"/>
          </w:tcPr>
          <w:p w14:paraId="040310AE"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 xml:space="preserve">Advanced Paediatric Nurse Practitioner </w:t>
            </w:r>
          </w:p>
        </w:tc>
        <w:tc>
          <w:tcPr>
            <w:tcW w:w="2835" w:type="dxa"/>
          </w:tcPr>
          <w:p w14:paraId="04A3A647" w14:textId="77777777" w:rsidR="00E51C5D" w:rsidRPr="00B054AA" w:rsidRDefault="00E51C5D" w:rsidP="00826871">
            <w:pPr>
              <w:rPr>
                <w:rFonts w:ascii="Calibri" w:hAnsi="Calibri" w:cs="Calibri"/>
                <w:sz w:val="21"/>
                <w:szCs w:val="21"/>
              </w:rPr>
            </w:pPr>
            <w:r>
              <w:rPr>
                <w:rFonts w:ascii="Calibri" w:hAnsi="Calibri" w:cs="Calibri"/>
                <w:sz w:val="21"/>
                <w:szCs w:val="21"/>
              </w:rPr>
              <w:t>Expert nursing specialist</w:t>
            </w:r>
          </w:p>
        </w:tc>
      </w:tr>
      <w:tr w:rsidR="00E51C5D" w:rsidRPr="00B054AA" w14:paraId="1487DF90" w14:textId="77777777" w:rsidTr="003F494F">
        <w:trPr>
          <w:jc w:val="center"/>
        </w:trPr>
        <w:tc>
          <w:tcPr>
            <w:tcW w:w="1555" w:type="dxa"/>
          </w:tcPr>
          <w:p w14:paraId="370BD652"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Ania Koziell</w:t>
            </w:r>
          </w:p>
        </w:tc>
        <w:tc>
          <w:tcPr>
            <w:tcW w:w="2409" w:type="dxa"/>
          </w:tcPr>
          <w:p w14:paraId="5C29D736" w14:textId="77777777" w:rsidR="00E51C5D" w:rsidRPr="00B054AA" w:rsidRDefault="00E51C5D" w:rsidP="00826871">
            <w:pPr>
              <w:rPr>
                <w:rFonts w:ascii="Calibri" w:hAnsi="Calibri" w:cs="Calibri"/>
                <w:sz w:val="21"/>
                <w:szCs w:val="21"/>
              </w:rPr>
            </w:pPr>
            <w:r>
              <w:rPr>
                <w:rFonts w:ascii="Calibri" w:hAnsi="Calibri" w:cs="Calibri"/>
                <w:sz w:val="21"/>
                <w:szCs w:val="21"/>
              </w:rPr>
              <w:t xml:space="preserve">Kings University, London </w:t>
            </w:r>
          </w:p>
        </w:tc>
        <w:tc>
          <w:tcPr>
            <w:tcW w:w="2694" w:type="dxa"/>
          </w:tcPr>
          <w:p w14:paraId="4C322123"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 xml:space="preserve">Senior Lecturer in Paediatric Nephrology </w:t>
            </w:r>
          </w:p>
        </w:tc>
        <w:tc>
          <w:tcPr>
            <w:tcW w:w="2835" w:type="dxa"/>
          </w:tcPr>
          <w:p w14:paraId="3A2E127C" w14:textId="77777777" w:rsidR="00E51C5D" w:rsidRPr="00B054AA" w:rsidRDefault="00E51C5D" w:rsidP="00826871">
            <w:pPr>
              <w:rPr>
                <w:rFonts w:ascii="Calibri" w:hAnsi="Calibri" w:cs="Calibri"/>
                <w:sz w:val="21"/>
                <w:szCs w:val="21"/>
              </w:rPr>
            </w:pPr>
            <w:r>
              <w:rPr>
                <w:rFonts w:ascii="Calibri" w:hAnsi="Calibri" w:cs="Calibri"/>
                <w:sz w:val="21"/>
                <w:szCs w:val="21"/>
              </w:rPr>
              <w:t>Expert specialist</w:t>
            </w:r>
          </w:p>
        </w:tc>
      </w:tr>
      <w:tr w:rsidR="00E51C5D" w:rsidRPr="00B054AA" w14:paraId="7049BCC7" w14:textId="77777777" w:rsidTr="003F494F">
        <w:trPr>
          <w:jc w:val="center"/>
        </w:trPr>
        <w:tc>
          <w:tcPr>
            <w:tcW w:w="1555" w:type="dxa"/>
          </w:tcPr>
          <w:p w14:paraId="3B9859D9"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Elin Davies</w:t>
            </w:r>
          </w:p>
        </w:tc>
        <w:tc>
          <w:tcPr>
            <w:tcW w:w="2409" w:type="dxa"/>
          </w:tcPr>
          <w:p w14:paraId="5EBBBF0F" w14:textId="77777777" w:rsidR="00E51C5D" w:rsidRPr="00B054AA" w:rsidRDefault="00E51C5D" w:rsidP="00826871">
            <w:pPr>
              <w:rPr>
                <w:rFonts w:ascii="Calibri" w:hAnsi="Calibri" w:cs="Calibri"/>
                <w:sz w:val="21"/>
                <w:szCs w:val="21"/>
              </w:rPr>
            </w:pPr>
            <w:r>
              <w:rPr>
                <w:rFonts w:ascii="Calibri" w:hAnsi="Calibri" w:cs="Calibri"/>
                <w:sz w:val="21"/>
                <w:szCs w:val="21"/>
              </w:rPr>
              <w:t>University of Liverpool</w:t>
            </w:r>
          </w:p>
        </w:tc>
        <w:tc>
          <w:tcPr>
            <w:tcW w:w="2694" w:type="dxa"/>
          </w:tcPr>
          <w:p w14:paraId="639D8B7F"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Nephrology clinical fellow</w:t>
            </w:r>
          </w:p>
        </w:tc>
        <w:tc>
          <w:tcPr>
            <w:tcW w:w="2835" w:type="dxa"/>
          </w:tcPr>
          <w:p w14:paraId="2DFD7A4E" w14:textId="77777777" w:rsidR="00E51C5D" w:rsidRPr="00B054AA" w:rsidRDefault="00E51C5D" w:rsidP="00826871">
            <w:pPr>
              <w:rPr>
                <w:rFonts w:ascii="Calibri" w:hAnsi="Calibri" w:cs="Calibri"/>
                <w:sz w:val="21"/>
                <w:szCs w:val="21"/>
              </w:rPr>
            </w:pPr>
            <w:r>
              <w:rPr>
                <w:rFonts w:ascii="Calibri" w:hAnsi="Calibri" w:cs="Calibri"/>
                <w:sz w:val="21"/>
                <w:szCs w:val="21"/>
              </w:rPr>
              <w:t>Expert trainee specialist</w:t>
            </w:r>
          </w:p>
        </w:tc>
      </w:tr>
      <w:tr w:rsidR="00E51C5D" w:rsidRPr="00B054AA" w14:paraId="26F0A525" w14:textId="77777777" w:rsidTr="003F494F">
        <w:trPr>
          <w:jc w:val="center"/>
        </w:trPr>
        <w:tc>
          <w:tcPr>
            <w:tcW w:w="1555" w:type="dxa"/>
          </w:tcPr>
          <w:p w14:paraId="57DC1235"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 xml:space="preserve">Roger Deering </w:t>
            </w:r>
          </w:p>
        </w:tc>
        <w:tc>
          <w:tcPr>
            <w:tcW w:w="2409" w:type="dxa"/>
          </w:tcPr>
          <w:p w14:paraId="30B35518" w14:textId="77777777" w:rsidR="00E51C5D" w:rsidRPr="00B054AA" w:rsidRDefault="00E51C5D" w:rsidP="00826871">
            <w:pPr>
              <w:rPr>
                <w:rFonts w:ascii="Calibri" w:hAnsi="Calibri" w:cs="Calibri"/>
                <w:sz w:val="21"/>
                <w:szCs w:val="21"/>
              </w:rPr>
            </w:pPr>
            <w:r>
              <w:rPr>
                <w:rFonts w:ascii="Calibri" w:hAnsi="Calibri" w:cs="Calibri"/>
                <w:sz w:val="21"/>
                <w:szCs w:val="21"/>
              </w:rPr>
              <w:t>Leeds Children’s Hospital, Leeds</w:t>
            </w:r>
          </w:p>
        </w:tc>
        <w:tc>
          <w:tcPr>
            <w:tcW w:w="2694" w:type="dxa"/>
          </w:tcPr>
          <w:p w14:paraId="6AD44B63"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Consultant Paediatric Nephrologist</w:t>
            </w:r>
          </w:p>
        </w:tc>
        <w:tc>
          <w:tcPr>
            <w:tcW w:w="2835" w:type="dxa"/>
          </w:tcPr>
          <w:p w14:paraId="6D5D14B7" w14:textId="77777777" w:rsidR="00E51C5D" w:rsidRPr="00B054AA" w:rsidRDefault="00E51C5D" w:rsidP="00826871">
            <w:pPr>
              <w:rPr>
                <w:rFonts w:ascii="Calibri" w:hAnsi="Calibri" w:cs="Calibri"/>
                <w:sz w:val="21"/>
                <w:szCs w:val="21"/>
              </w:rPr>
            </w:pPr>
            <w:r>
              <w:rPr>
                <w:rFonts w:ascii="Calibri" w:hAnsi="Calibri" w:cs="Calibri"/>
                <w:sz w:val="21"/>
                <w:szCs w:val="21"/>
              </w:rPr>
              <w:t>Expert specialist</w:t>
            </w:r>
          </w:p>
        </w:tc>
      </w:tr>
      <w:tr w:rsidR="00E51C5D" w:rsidRPr="00B054AA" w14:paraId="2AFEB9CC" w14:textId="77777777" w:rsidTr="003F494F">
        <w:trPr>
          <w:jc w:val="center"/>
        </w:trPr>
        <w:tc>
          <w:tcPr>
            <w:tcW w:w="1555" w:type="dxa"/>
          </w:tcPr>
          <w:p w14:paraId="78FC4F3C"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Caroline Platt</w:t>
            </w:r>
          </w:p>
        </w:tc>
        <w:tc>
          <w:tcPr>
            <w:tcW w:w="2409" w:type="dxa"/>
          </w:tcPr>
          <w:p w14:paraId="0278A5FD"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 xml:space="preserve">Bristol </w:t>
            </w:r>
            <w:r>
              <w:rPr>
                <w:rFonts w:ascii="Calibri" w:hAnsi="Calibri" w:cs="Calibri"/>
                <w:sz w:val="21"/>
                <w:szCs w:val="21"/>
              </w:rPr>
              <w:t xml:space="preserve">Children’s Hospital, Bristol </w:t>
            </w:r>
          </w:p>
        </w:tc>
        <w:tc>
          <w:tcPr>
            <w:tcW w:w="2694" w:type="dxa"/>
          </w:tcPr>
          <w:p w14:paraId="698491AE"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Consultant Paediatric Nephrologist</w:t>
            </w:r>
          </w:p>
        </w:tc>
        <w:tc>
          <w:tcPr>
            <w:tcW w:w="2835" w:type="dxa"/>
          </w:tcPr>
          <w:p w14:paraId="1DD5B7F3" w14:textId="77777777" w:rsidR="00E51C5D" w:rsidRPr="00B054AA" w:rsidRDefault="00E51C5D" w:rsidP="00826871">
            <w:pPr>
              <w:rPr>
                <w:rFonts w:ascii="Calibri" w:hAnsi="Calibri" w:cs="Calibri"/>
                <w:sz w:val="21"/>
                <w:szCs w:val="21"/>
              </w:rPr>
            </w:pPr>
            <w:r>
              <w:rPr>
                <w:rFonts w:ascii="Calibri" w:hAnsi="Calibri" w:cs="Calibri"/>
                <w:sz w:val="21"/>
                <w:szCs w:val="21"/>
              </w:rPr>
              <w:t>Expert specialist</w:t>
            </w:r>
          </w:p>
        </w:tc>
      </w:tr>
      <w:tr w:rsidR="00E51C5D" w:rsidRPr="00B054AA" w14:paraId="2F945D6C" w14:textId="77777777" w:rsidTr="003F494F">
        <w:trPr>
          <w:jc w:val="center"/>
        </w:trPr>
        <w:tc>
          <w:tcPr>
            <w:tcW w:w="1555" w:type="dxa"/>
          </w:tcPr>
          <w:p w14:paraId="092A9CC2"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lastRenderedPageBreak/>
              <w:t xml:space="preserve">Emma Rigby </w:t>
            </w:r>
          </w:p>
        </w:tc>
        <w:tc>
          <w:tcPr>
            <w:tcW w:w="2409" w:type="dxa"/>
          </w:tcPr>
          <w:p w14:paraId="42CC6331"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 xml:space="preserve">Evelina </w:t>
            </w:r>
            <w:r>
              <w:rPr>
                <w:rFonts w:ascii="Calibri" w:hAnsi="Calibri" w:cs="Calibri"/>
                <w:sz w:val="21"/>
                <w:szCs w:val="21"/>
              </w:rPr>
              <w:t>Children’s Hospital, London</w:t>
            </w:r>
          </w:p>
        </w:tc>
        <w:tc>
          <w:tcPr>
            <w:tcW w:w="2694" w:type="dxa"/>
          </w:tcPr>
          <w:p w14:paraId="360628CA"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 xml:space="preserve">Specialist paediatric nurse </w:t>
            </w:r>
          </w:p>
        </w:tc>
        <w:tc>
          <w:tcPr>
            <w:tcW w:w="2835" w:type="dxa"/>
          </w:tcPr>
          <w:p w14:paraId="2557ACFE" w14:textId="77777777" w:rsidR="00E51C5D" w:rsidRPr="00B054AA" w:rsidRDefault="00E51C5D" w:rsidP="00826871">
            <w:pPr>
              <w:rPr>
                <w:rFonts w:ascii="Calibri" w:hAnsi="Calibri" w:cs="Calibri"/>
                <w:sz w:val="21"/>
                <w:szCs w:val="21"/>
              </w:rPr>
            </w:pPr>
            <w:r>
              <w:rPr>
                <w:rFonts w:ascii="Calibri" w:hAnsi="Calibri" w:cs="Calibri"/>
                <w:sz w:val="21"/>
                <w:szCs w:val="21"/>
              </w:rPr>
              <w:t>Expert nursing specialist</w:t>
            </w:r>
          </w:p>
        </w:tc>
      </w:tr>
      <w:tr w:rsidR="00E51C5D" w:rsidRPr="00B054AA" w14:paraId="5B1B78B4" w14:textId="77777777" w:rsidTr="003F494F">
        <w:trPr>
          <w:jc w:val="center"/>
        </w:trPr>
        <w:tc>
          <w:tcPr>
            <w:tcW w:w="1555" w:type="dxa"/>
          </w:tcPr>
          <w:p w14:paraId="69D0C735"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 xml:space="preserve">Hannah </w:t>
            </w:r>
            <w:proofErr w:type="spellStart"/>
            <w:r w:rsidRPr="00B054AA">
              <w:rPr>
                <w:rFonts w:ascii="Calibri" w:hAnsi="Calibri" w:cs="Calibri"/>
                <w:sz w:val="21"/>
                <w:szCs w:val="21"/>
              </w:rPr>
              <w:t>Cottis</w:t>
            </w:r>
            <w:proofErr w:type="spellEnd"/>
            <w:r w:rsidRPr="00B054AA">
              <w:rPr>
                <w:rFonts w:ascii="Calibri" w:hAnsi="Calibri" w:cs="Calibri"/>
                <w:sz w:val="21"/>
                <w:szCs w:val="21"/>
              </w:rPr>
              <w:t xml:space="preserve"> </w:t>
            </w:r>
          </w:p>
        </w:tc>
        <w:tc>
          <w:tcPr>
            <w:tcW w:w="2409" w:type="dxa"/>
          </w:tcPr>
          <w:p w14:paraId="09772755"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Royal Devon Hospital</w:t>
            </w:r>
            <w:r>
              <w:rPr>
                <w:rFonts w:ascii="Calibri" w:hAnsi="Calibri" w:cs="Calibri"/>
                <w:sz w:val="21"/>
                <w:szCs w:val="21"/>
              </w:rPr>
              <w:t>, Devon</w:t>
            </w:r>
          </w:p>
        </w:tc>
        <w:tc>
          <w:tcPr>
            <w:tcW w:w="2694" w:type="dxa"/>
          </w:tcPr>
          <w:p w14:paraId="3B2C8AA5"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 xml:space="preserve">Consultant Paediatrician with an interest in Paediatric Nephrology </w:t>
            </w:r>
          </w:p>
        </w:tc>
        <w:tc>
          <w:tcPr>
            <w:tcW w:w="2835" w:type="dxa"/>
          </w:tcPr>
          <w:p w14:paraId="36CFC092" w14:textId="77777777" w:rsidR="00E51C5D" w:rsidRPr="00B054AA" w:rsidRDefault="00E51C5D" w:rsidP="00826871">
            <w:pPr>
              <w:rPr>
                <w:rFonts w:ascii="Calibri" w:hAnsi="Calibri" w:cs="Calibri"/>
                <w:sz w:val="21"/>
                <w:szCs w:val="21"/>
              </w:rPr>
            </w:pPr>
            <w:r>
              <w:rPr>
                <w:rFonts w:ascii="Calibri" w:hAnsi="Calibri" w:cs="Calibri"/>
                <w:sz w:val="21"/>
                <w:szCs w:val="21"/>
              </w:rPr>
              <w:t>Expert specialist</w:t>
            </w:r>
          </w:p>
        </w:tc>
      </w:tr>
      <w:tr w:rsidR="00E51C5D" w:rsidRPr="00B054AA" w14:paraId="56625F05" w14:textId="77777777" w:rsidTr="003F494F">
        <w:trPr>
          <w:jc w:val="center"/>
        </w:trPr>
        <w:tc>
          <w:tcPr>
            <w:tcW w:w="1555" w:type="dxa"/>
          </w:tcPr>
          <w:p w14:paraId="47F27F29" w14:textId="77777777" w:rsidR="00E51C5D" w:rsidRPr="00B054AA" w:rsidRDefault="00E51C5D" w:rsidP="00826871">
            <w:pPr>
              <w:rPr>
                <w:rFonts w:ascii="Calibri" w:hAnsi="Calibri" w:cs="Calibri"/>
                <w:color w:val="242424"/>
                <w:sz w:val="21"/>
                <w:szCs w:val="21"/>
                <w:bdr w:val="none" w:sz="0" w:space="0" w:color="auto" w:frame="1"/>
                <w:shd w:val="clear" w:color="auto" w:fill="FFFFFF"/>
              </w:rPr>
            </w:pPr>
            <w:r w:rsidRPr="00B054AA">
              <w:rPr>
                <w:rFonts w:ascii="Calibri" w:hAnsi="Calibri" w:cs="Calibri"/>
                <w:color w:val="242424"/>
                <w:sz w:val="21"/>
                <w:szCs w:val="21"/>
                <w:bdr w:val="none" w:sz="0" w:space="0" w:color="auto" w:frame="1"/>
                <w:shd w:val="clear" w:color="auto" w:fill="FFFFFF"/>
              </w:rPr>
              <w:t xml:space="preserve">Alan Salama </w:t>
            </w:r>
          </w:p>
        </w:tc>
        <w:tc>
          <w:tcPr>
            <w:tcW w:w="2409" w:type="dxa"/>
          </w:tcPr>
          <w:p w14:paraId="3D0525B5"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U</w:t>
            </w:r>
            <w:r>
              <w:rPr>
                <w:rFonts w:ascii="Calibri" w:hAnsi="Calibri" w:cs="Calibri"/>
                <w:sz w:val="21"/>
                <w:szCs w:val="21"/>
              </w:rPr>
              <w:t>niversity college London, London</w:t>
            </w:r>
          </w:p>
        </w:tc>
        <w:tc>
          <w:tcPr>
            <w:tcW w:w="2694" w:type="dxa"/>
          </w:tcPr>
          <w:p w14:paraId="0984541E"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 xml:space="preserve">Professor of Nephrology </w:t>
            </w:r>
          </w:p>
        </w:tc>
        <w:tc>
          <w:tcPr>
            <w:tcW w:w="2835" w:type="dxa"/>
          </w:tcPr>
          <w:p w14:paraId="349BC1B0" w14:textId="77777777" w:rsidR="00E51C5D" w:rsidRPr="00B054AA" w:rsidRDefault="00E51C5D" w:rsidP="00826871">
            <w:pPr>
              <w:rPr>
                <w:rFonts w:ascii="Calibri" w:hAnsi="Calibri" w:cs="Calibri"/>
                <w:sz w:val="21"/>
                <w:szCs w:val="21"/>
              </w:rPr>
            </w:pPr>
            <w:r>
              <w:rPr>
                <w:rFonts w:ascii="Calibri" w:hAnsi="Calibri" w:cs="Calibri"/>
                <w:sz w:val="21"/>
                <w:szCs w:val="21"/>
              </w:rPr>
              <w:t>Expert adult vasculitis specialist</w:t>
            </w:r>
          </w:p>
        </w:tc>
      </w:tr>
      <w:tr w:rsidR="00E51C5D" w:rsidRPr="00B054AA" w14:paraId="2C532EF2" w14:textId="77777777" w:rsidTr="003F494F">
        <w:trPr>
          <w:jc w:val="center"/>
        </w:trPr>
        <w:tc>
          <w:tcPr>
            <w:tcW w:w="1555" w:type="dxa"/>
          </w:tcPr>
          <w:p w14:paraId="16E413BE" w14:textId="77777777" w:rsidR="00E51C5D" w:rsidRPr="00B054AA" w:rsidRDefault="00E51C5D" w:rsidP="00826871">
            <w:pPr>
              <w:rPr>
                <w:rFonts w:ascii="Calibri" w:hAnsi="Calibri" w:cs="Calibri"/>
                <w:color w:val="242424"/>
                <w:sz w:val="21"/>
                <w:szCs w:val="21"/>
                <w:bdr w:val="none" w:sz="0" w:space="0" w:color="auto" w:frame="1"/>
                <w:shd w:val="clear" w:color="auto" w:fill="FFFFFF"/>
              </w:rPr>
            </w:pPr>
            <w:r w:rsidRPr="00B054AA">
              <w:rPr>
                <w:rFonts w:ascii="Calibri" w:hAnsi="Calibri" w:cs="Calibri"/>
                <w:color w:val="242424"/>
                <w:sz w:val="21"/>
                <w:szCs w:val="21"/>
                <w:bdr w:val="none" w:sz="0" w:space="0" w:color="auto" w:frame="1"/>
                <w:shd w:val="clear" w:color="auto" w:fill="FFFFFF"/>
              </w:rPr>
              <w:t xml:space="preserve">Paul Brogan </w:t>
            </w:r>
          </w:p>
        </w:tc>
        <w:tc>
          <w:tcPr>
            <w:tcW w:w="2409" w:type="dxa"/>
          </w:tcPr>
          <w:p w14:paraId="46D61A18" w14:textId="77777777" w:rsidR="00E51C5D" w:rsidRPr="00B054AA" w:rsidRDefault="00E51C5D" w:rsidP="00826871">
            <w:pPr>
              <w:rPr>
                <w:rFonts w:ascii="Calibri" w:hAnsi="Calibri" w:cs="Calibri"/>
                <w:sz w:val="21"/>
                <w:szCs w:val="21"/>
              </w:rPr>
            </w:pPr>
            <w:r>
              <w:rPr>
                <w:rFonts w:ascii="Calibri" w:hAnsi="Calibri" w:cs="Calibri"/>
                <w:sz w:val="21"/>
                <w:szCs w:val="21"/>
              </w:rPr>
              <w:t>University college London, London</w:t>
            </w:r>
          </w:p>
        </w:tc>
        <w:tc>
          <w:tcPr>
            <w:tcW w:w="2694" w:type="dxa"/>
          </w:tcPr>
          <w:p w14:paraId="1EB3DBCB"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 xml:space="preserve">Professor of vasculitis </w:t>
            </w:r>
          </w:p>
        </w:tc>
        <w:tc>
          <w:tcPr>
            <w:tcW w:w="2835" w:type="dxa"/>
          </w:tcPr>
          <w:p w14:paraId="7503C2C0" w14:textId="77777777" w:rsidR="00E51C5D" w:rsidRPr="00B054AA" w:rsidRDefault="00E51C5D" w:rsidP="00826871">
            <w:pPr>
              <w:rPr>
                <w:rFonts w:ascii="Calibri" w:hAnsi="Calibri" w:cs="Calibri"/>
                <w:sz w:val="21"/>
                <w:szCs w:val="21"/>
              </w:rPr>
            </w:pPr>
            <w:r>
              <w:rPr>
                <w:rFonts w:ascii="Calibri" w:hAnsi="Calibri" w:cs="Calibri"/>
                <w:sz w:val="21"/>
                <w:szCs w:val="21"/>
              </w:rPr>
              <w:t>Expert vasculitis specialist</w:t>
            </w:r>
          </w:p>
        </w:tc>
      </w:tr>
      <w:tr w:rsidR="00E51C5D" w:rsidRPr="00B054AA" w14:paraId="42900622" w14:textId="77777777" w:rsidTr="003F494F">
        <w:trPr>
          <w:jc w:val="center"/>
        </w:trPr>
        <w:tc>
          <w:tcPr>
            <w:tcW w:w="1555" w:type="dxa"/>
          </w:tcPr>
          <w:p w14:paraId="0E3CC2AC" w14:textId="77777777" w:rsidR="00E51C5D" w:rsidRPr="00B054AA" w:rsidRDefault="00E51C5D" w:rsidP="00826871">
            <w:pPr>
              <w:rPr>
                <w:rFonts w:ascii="Calibri" w:hAnsi="Calibri" w:cs="Calibri"/>
                <w:sz w:val="21"/>
                <w:szCs w:val="21"/>
              </w:rPr>
            </w:pPr>
            <w:r w:rsidRPr="00B054AA">
              <w:rPr>
                <w:rFonts w:ascii="Calibri" w:hAnsi="Calibri" w:cs="Calibri"/>
                <w:color w:val="242424"/>
                <w:sz w:val="21"/>
                <w:szCs w:val="21"/>
                <w:bdr w:val="none" w:sz="0" w:space="0" w:color="auto" w:frame="1"/>
                <w:shd w:val="clear" w:color="auto" w:fill="FFFFFF"/>
              </w:rPr>
              <w:t xml:space="preserve">Francesca De Zan </w:t>
            </w:r>
          </w:p>
        </w:tc>
        <w:tc>
          <w:tcPr>
            <w:tcW w:w="2409" w:type="dxa"/>
          </w:tcPr>
          <w:p w14:paraId="4C050245"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Cardiff Children’s Hospital</w:t>
            </w:r>
            <w:r>
              <w:rPr>
                <w:rFonts w:ascii="Calibri" w:hAnsi="Calibri" w:cs="Calibri"/>
                <w:sz w:val="21"/>
                <w:szCs w:val="21"/>
              </w:rPr>
              <w:t>, Wales</w:t>
            </w:r>
          </w:p>
        </w:tc>
        <w:tc>
          <w:tcPr>
            <w:tcW w:w="2694" w:type="dxa"/>
          </w:tcPr>
          <w:p w14:paraId="7734FD56"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Consultant Paediatric Nephrologist</w:t>
            </w:r>
          </w:p>
        </w:tc>
        <w:tc>
          <w:tcPr>
            <w:tcW w:w="2835" w:type="dxa"/>
          </w:tcPr>
          <w:p w14:paraId="46E7B824" w14:textId="77777777" w:rsidR="00E51C5D" w:rsidRPr="00B054AA" w:rsidRDefault="00E51C5D" w:rsidP="00826871">
            <w:pPr>
              <w:rPr>
                <w:rFonts w:ascii="Calibri" w:hAnsi="Calibri" w:cs="Calibri"/>
                <w:sz w:val="21"/>
                <w:szCs w:val="21"/>
              </w:rPr>
            </w:pPr>
            <w:r>
              <w:rPr>
                <w:rFonts w:ascii="Calibri" w:hAnsi="Calibri" w:cs="Calibri"/>
                <w:sz w:val="21"/>
                <w:szCs w:val="21"/>
              </w:rPr>
              <w:t>Expert specialist</w:t>
            </w:r>
          </w:p>
        </w:tc>
      </w:tr>
      <w:tr w:rsidR="00E51C5D" w:rsidRPr="00B054AA" w14:paraId="32D53586" w14:textId="77777777" w:rsidTr="003F494F">
        <w:trPr>
          <w:jc w:val="center"/>
        </w:trPr>
        <w:tc>
          <w:tcPr>
            <w:tcW w:w="1555" w:type="dxa"/>
          </w:tcPr>
          <w:p w14:paraId="2A482403" w14:textId="77777777" w:rsidR="00E51C5D" w:rsidRPr="00B054AA" w:rsidRDefault="00E51C5D" w:rsidP="00826871">
            <w:pPr>
              <w:rPr>
                <w:rFonts w:ascii="Calibri" w:hAnsi="Calibri" w:cs="Calibri"/>
                <w:color w:val="242424"/>
                <w:sz w:val="21"/>
                <w:szCs w:val="21"/>
                <w:bdr w:val="none" w:sz="0" w:space="0" w:color="auto" w:frame="1"/>
                <w:shd w:val="clear" w:color="auto" w:fill="FFFFFF"/>
              </w:rPr>
            </w:pPr>
            <w:r>
              <w:rPr>
                <w:rFonts w:ascii="Calibri" w:hAnsi="Calibri" w:cs="Calibri"/>
                <w:color w:val="242424"/>
                <w:sz w:val="21"/>
                <w:szCs w:val="21"/>
                <w:bdr w:val="none" w:sz="0" w:space="0" w:color="auto" w:frame="1"/>
                <w:shd w:val="clear" w:color="auto" w:fill="FFFFFF"/>
              </w:rPr>
              <w:t xml:space="preserve">Eve Smith </w:t>
            </w:r>
          </w:p>
        </w:tc>
        <w:tc>
          <w:tcPr>
            <w:tcW w:w="2409" w:type="dxa"/>
          </w:tcPr>
          <w:p w14:paraId="2C9A62E1" w14:textId="77777777" w:rsidR="00E51C5D" w:rsidRPr="00B054AA" w:rsidRDefault="00E51C5D" w:rsidP="00826871">
            <w:pPr>
              <w:rPr>
                <w:rFonts w:ascii="Calibri" w:hAnsi="Calibri" w:cs="Calibri"/>
                <w:sz w:val="21"/>
                <w:szCs w:val="21"/>
              </w:rPr>
            </w:pPr>
            <w:r>
              <w:rPr>
                <w:rFonts w:ascii="Calibri" w:hAnsi="Calibri" w:cs="Calibri"/>
                <w:sz w:val="21"/>
                <w:szCs w:val="21"/>
              </w:rPr>
              <w:t>University of Glasgow, Glasgow</w:t>
            </w:r>
          </w:p>
        </w:tc>
        <w:tc>
          <w:tcPr>
            <w:tcW w:w="2694" w:type="dxa"/>
          </w:tcPr>
          <w:p w14:paraId="39D018C5" w14:textId="77777777" w:rsidR="00E51C5D" w:rsidRPr="00B054AA" w:rsidRDefault="00E51C5D" w:rsidP="00826871">
            <w:pPr>
              <w:rPr>
                <w:rFonts w:ascii="Calibri" w:hAnsi="Calibri" w:cs="Calibri"/>
                <w:sz w:val="21"/>
                <w:szCs w:val="21"/>
              </w:rPr>
            </w:pPr>
            <w:r>
              <w:rPr>
                <w:rFonts w:ascii="Calibri" w:hAnsi="Calibri" w:cs="Calibri"/>
                <w:sz w:val="21"/>
                <w:szCs w:val="21"/>
              </w:rPr>
              <w:t>Consultant Paediatric Rheumatologist</w:t>
            </w:r>
          </w:p>
        </w:tc>
        <w:tc>
          <w:tcPr>
            <w:tcW w:w="2835" w:type="dxa"/>
          </w:tcPr>
          <w:p w14:paraId="7F531EE5" w14:textId="77777777" w:rsidR="00E51C5D" w:rsidRDefault="00E51C5D" w:rsidP="00826871">
            <w:pPr>
              <w:rPr>
                <w:rFonts w:ascii="Calibri" w:hAnsi="Calibri" w:cs="Calibri"/>
                <w:sz w:val="21"/>
                <w:szCs w:val="21"/>
              </w:rPr>
            </w:pPr>
            <w:r>
              <w:rPr>
                <w:rFonts w:ascii="Calibri" w:hAnsi="Calibri" w:cs="Calibri"/>
                <w:sz w:val="21"/>
                <w:szCs w:val="21"/>
              </w:rPr>
              <w:t>Expert rheumatology specialist</w:t>
            </w:r>
          </w:p>
        </w:tc>
      </w:tr>
      <w:tr w:rsidR="00E51C5D" w:rsidRPr="00B054AA" w14:paraId="3B17E0D9" w14:textId="77777777" w:rsidTr="003F494F">
        <w:trPr>
          <w:jc w:val="center"/>
        </w:trPr>
        <w:tc>
          <w:tcPr>
            <w:tcW w:w="1555" w:type="dxa"/>
          </w:tcPr>
          <w:p w14:paraId="38731299" w14:textId="77777777" w:rsidR="00E51C5D" w:rsidRPr="00B054AA" w:rsidRDefault="00E51C5D" w:rsidP="00826871">
            <w:pPr>
              <w:rPr>
                <w:rFonts w:ascii="Calibri" w:hAnsi="Calibri" w:cs="Calibri"/>
                <w:color w:val="242424"/>
                <w:sz w:val="21"/>
                <w:szCs w:val="21"/>
                <w:highlight w:val="yellow"/>
                <w:bdr w:val="none" w:sz="0" w:space="0" w:color="auto" w:frame="1"/>
                <w:shd w:val="clear" w:color="auto" w:fill="FFFFFF"/>
              </w:rPr>
            </w:pPr>
            <w:r w:rsidRPr="00B054AA">
              <w:rPr>
                <w:rFonts w:ascii="Calibri" w:hAnsi="Calibri" w:cs="Calibri"/>
                <w:color w:val="242424"/>
                <w:sz w:val="21"/>
                <w:szCs w:val="21"/>
                <w:bdr w:val="none" w:sz="0" w:space="0" w:color="auto" w:frame="1"/>
                <w:shd w:val="clear" w:color="auto" w:fill="FFFFFF"/>
              </w:rPr>
              <w:t xml:space="preserve">Sarah Roy </w:t>
            </w:r>
          </w:p>
        </w:tc>
        <w:tc>
          <w:tcPr>
            <w:tcW w:w="2409" w:type="dxa"/>
          </w:tcPr>
          <w:p w14:paraId="319D44E9"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 xml:space="preserve">Evelina </w:t>
            </w:r>
            <w:r>
              <w:rPr>
                <w:rFonts w:ascii="Calibri" w:hAnsi="Calibri" w:cs="Calibri"/>
                <w:sz w:val="21"/>
                <w:szCs w:val="21"/>
              </w:rPr>
              <w:t>Children’s Hospital, London</w:t>
            </w:r>
          </w:p>
        </w:tc>
        <w:tc>
          <w:tcPr>
            <w:tcW w:w="2694" w:type="dxa"/>
          </w:tcPr>
          <w:p w14:paraId="79696380"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Consultant Paediatric Nephrologist</w:t>
            </w:r>
          </w:p>
        </w:tc>
        <w:tc>
          <w:tcPr>
            <w:tcW w:w="2835" w:type="dxa"/>
          </w:tcPr>
          <w:p w14:paraId="5B1B22EE" w14:textId="77777777" w:rsidR="00E51C5D" w:rsidRPr="00B054AA" w:rsidRDefault="00E51C5D" w:rsidP="00826871">
            <w:pPr>
              <w:rPr>
                <w:rFonts w:ascii="Calibri" w:hAnsi="Calibri" w:cs="Calibri"/>
                <w:sz w:val="21"/>
                <w:szCs w:val="21"/>
              </w:rPr>
            </w:pPr>
            <w:r>
              <w:rPr>
                <w:rFonts w:ascii="Calibri" w:hAnsi="Calibri" w:cs="Calibri"/>
                <w:sz w:val="21"/>
                <w:szCs w:val="21"/>
              </w:rPr>
              <w:t>Expert specialist</w:t>
            </w:r>
          </w:p>
        </w:tc>
      </w:tr>
      <w:tr w:rsidR="00E51C5D" w:rsidRPr="00B054AA" w14:paraId="5CA0311B" w14:textId="77777777" w:rsidTr="003F494F">
        <w:trPr>
          <w:jc w:val="center"/>
        </w:trPr>
        <w:tc>
          <w:tcPr>
            <w:tcW w:w="1555" w:type="dxa"/>
          </w:tcPr>
          <w:p w14:paraId="1E19BD40" w14:textId="77777777" w:rsidR="00E51C5D" w:rsidRPr="00B054AA" w:rsidRDefault="00E51C5D" w:rsidP="00826871">
            <w:pPr>
              <w:rPr>
                <w:rFonts w:ascii="Calibri" w:hAnsi="Calibri" w:cs="Calibri"/>
                <w:color w:val="242424"/>
                <w:sz w:val="21"/>
                <w:szCs w:val="21"/>
                <w:highlight w:val="yellow"/>
                <w:bdr w:val="none" w:sz="0" w:space="0" w:color="auto" w:frame="1"/>
                <w:shd w:val="clear" w:color="auto" w:fill="FFFFFF"/>
              </w:rPr>
            </w:pPr>
            <w:r w:rsidRPr="0034617D">
              <w:rPr>
                <w:rFonts w:ascii="Calibri" w:hAnsi="Calibri" w:cs="Calibri"/>
                <w:color w:val="242424"/>
                <w:sz w:val="21"/>
                <w:szCs w:val="21"/>
                <w:bdr w:val="none" w:sz="0" w:space="0" w:color="auto" w:frame="1"/>
                <w:shd w:val="clear" w:color="auto" w:fill="FFFFFF"/>
              </w:rPr>
              <w:t>Colin Higgins</w:t>
            </w:r>
          </w:p>
        </w:tc>
        <w:tc>
          <w:tcPr>
            <w:tcW w:w="2409" w:type="dxa"/>
          </w:tcPr>
          <w:p w14:paraId="5C7E009D"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 xml:space="preserve">Evelina </w:t>
            </w:r>
            <w:r>
              <w:rPr>
                <w:rFonts w:ascii="Calibri" w:hAnsi="Calibri" w:cs="Calibri"/>
                <w:sz w:val="21"/>
                <w:szCs w:val="21"/>
              </w:rPr>
              <w:t>Children’s Hospital, London</w:t>
            </w:r>
          </w:p>
        </w:tc>
        <w:tc>
          <w:tcPr>
            <w:tcW w:w="2694" w:type="dxa"/>
          </w:tcPr>
          <w:p w14:paraId="68EA61FF"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Consultant Paediatric Nephrologist</w:t>
            </w:r>
          </w:p>
        </w:tc>
        <w:tc>
          <w:tcPr>
            <w:tcW w:w="2835" w:type="dxa"/>
          </w:tcPr>
          <w:p w14:paraId="02BE611C" w14:textId="77777777" w:rsidR="00E51C5D" w:rsidRPr="00B054AA" w:rsidRDefault="00E51C5D" w:rsidP="00826871">
            <w:pPr>
              <w:rPr>
                <w:rFonts w:ascii="Calibri" w:hAnsi="Calibri" w:cs="Calibri"/>
                <w:sz w:val="21"/>
                <w:szCs w:val="21"/>
              </w:rPr>
            </w:pPr>
            <w:r>
              <w:rPr>
                <w:rFonts w:ascii="Calibri" w:hAnsi="Calibri" w:cs="Calibri"/>
                <w:sz w:val="21"/>
                <w:szCs w:val="21"/>
              </w:rPr>
              <w:t>Expert specialist</w:t>
            </w:r>
          </w:p>
        </w:tc>
      </w:tr>
      <w:tr w:rsidR="00E51C5D" w:rsidRPr="00B054AA" w14:paraId="737E8FE0" w14:textId="77777777" w:rsidTr="003F494F">
        <w:trPr>
          <w:jc w:val="center"/>
        </w:trPr>
        <w:tc>
          <w:tcPr>
            <w:tcW w:w="1555" w:type="dxa"/>
          </w:tcPr>
          <w:p w14:paraId="0888D306" w14:textId="77777777" w:rsidR="00E51C5D" w:rsidRPr="00B054AA" w:rsidRDefault="00E51C5D" w:rsidP="00826871">
            <w:pPr>
              <w:rPr>
                <w:rFonts w:ascii="Calibri" w:hAnsi="Calibri" w:cs="Calibri"/>
                <w:color w:val="242424"/>
                <w:sz w:val="21"/>
                <w:szCs w:val="21"/>
                <w:highlight w:val="yellow"/>
                <w:bdr w:val="none" w:sz="0" w:space="0" w:color="auto" w:frame="1"/>
                <w:shd w:val="clear" w:color="auto" w:fill="FFFFFF"/>
              </w:rPr>
            </w:pPr>
            <w:r w:rsidRPr="0034617D">
              <w:rPr>
                <w:rFonts w:ascii="Calibri" w:hAnsi="Calibri" w:cs="Calibri"/>
                <w:color w:val="242424"/>
                <w:sz w:val="21"/>
                <w:szCs w:val="21"/>
                <w:bdr w:val="none" w:sz="0" w:space="0" w:color="auto" w:frame="1"/>
                <w:shd w:val="clear" w:color="auto" w:fill="FFFFFF"/>
              </w:rPr>
              <w:t xml:space="preserve">Moin Saleem </w:t>
            </w:r>
          </w:p>
        </w:tc>
        <w:tc>
          <w:tcPr>
            <w:tcW w:w="2409" w:type="dxa"/>
          </w:tcPr>
          <w:p w14:paraId="04143B1D" w14:textId="77777777" w:rsidR="00E51C5D" w:rsidRPr="00B054AA" w:rsidRDefault="00E51C5D" w:rsidP="00826871">
            <w:pPr>
              <w:rPr>
                <w:rFonts w:ascii="Calibri" w:hAnsi="Calibri" w:cs="Calibri"/>
                <w:sz w:val="21"/>
                <w:szCs w:val="21"/>
              </w:rPr>
            </w:pPr>
            <w:r>
              <w:rPr>
                <w:rFonts w:ascii="Calibri" w:hAnsi="Calibri" w:cs="Calibri"/>
                <w:sz w:val="21"/>
                <w:szCs w:val="21"/>
              </w:rPr>
              <w:t xml:space="preserve">University of Bristol </w:t>
            </w:r>
          </w:p>
        </w:tc>
        <w:tc>
          <w:tcPr>
            <w:tcW w:w="2694" w:type="dxa"/>
          </w:tcPr>
          <w:p w14:paraId="172C8847"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Consultant Paediatric Nephrologist</w:t>
            </w:r>
          </w:p>
        </w:tc>
        <w:tc>
          <w:tcPr>
            <w:tcW w:w="2835" w:type="dxa"/>
          </w:tcPr>
          <w:p w14:paraId="2274BCE0" w14:textId="77777777" w:rsidR="00E51C5D" w:rsidRDefault="00E51C5D" w:rsidP="00826871">
            <w:pPr>
              <w:rPr>
                <w:rFonts w:ascii="Calibri" w:hAnsi="Calibri" w:cs="Calibri"/>
                <w:sz w:val="21"/>
                <w:szCs w:val="21"/>
              </w:rPr>
            </w:pPr>
            <w:r>
              <w:rPr>
                <w:rFonts w:ascii="Calibri" w:hAnsi="Calibri" w:cs="Calibri"/>
                <w:sz w:val="21"/>
                <w:szCs w:val="21"/>
              </w:rPr>
              <w:t>Expert specialist</w:t>
            </w:r>
          </w:p>
        </w:tc>
      </w:tr>
      <w:tr w:rsidR="00E51C5D" w:rsidRPr="00B054AA" w14:paraId="602F113E" w14:textId="77777777" w:rsidTr="003F494F">
        <w:trPr>
          <w:jc w:val="center"/>
        </w:trPr>
        <w:tc>
          <w:tcPr>
            <w:tcW w:w="1555" w:type="dxa"/>
          </w:tcPr>
          <w:p w14:paraId="59626E8C" w14:textId="77777777" w:rsidR="00E51C5D" w:rsidRPr="00B054AA" w:rsidRDefault="00E51C5D" w:rsidP="00826871">
            <w:pPr>
              <w:rPr>
                <w:rFonts w:ascii="Calibri" w:hAnsi="Calibri" w:cs="Calibri"/>
                <w:color w:val="242424"/>
                <w:sz w:val="21"/>
                <w:szCs w:val="21"/>
                <w:bdr w:val="none" w:sz="0" w:space="0" w:color="auto" w:frame="1"/>
                <w:shd w:val="clear" w:color="auto" w:fill="FFFFFF"/>
              </w:rPr>
            </w:pPr>
            <w:r w:rsidRPr="00B054AA">
              <w:rPr>
                <w:rFonts w:ascii="Calibri" w:hAnsi="Calibri" w:cs="Calibri"/>
                <w:color w:val="242424"/>
                <w:sz w:val="21"/>
                <w:szCs w:val="21"/>
                <w:bdr w:val="none" w:sz="0" w:space="0" w:color="auto" w:frame="1"/>
                <w:shd w:val="clear" w:color="auto" w:fill="FFFFFF"/>
              </w:rPr>
              <w:t>William Simmons</w:t>
            </w:r>
          </w:p>
        </w:tc>
        <w:tc>
          <w:tcPr>
            <w:tcW w:w="2409" w:type="dxa"/>
          </w:tcPr>
          <w:p w14:paraId="3037D989"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Alder Hey Children’s Hospital</w:t>
            </w:r>
            <w:r>
              <w:rPr>
                <w:rFonts w:ascii="Calibri" w:hAnsi="Calibri" w:cs="Calibri"/>
                <w:sz w:val="21"/>
                <w:szCs w:val="21"/>
              </w:rPr>
              <w:t>, Liverpool</w:t>
            </w:r>
          </w:p>
        </w:tc>
        <w:tc>
          <w:tcPr>
            <w:tcW w:w="2694" w:type="dxa"/>
          </w:tcPr>
          <w:p w14:paraId="69A12D17"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Consultant Paediatric Pathologist</w:t>
            </w:r>
          </w:p>
        </w:tc>
        <w:tc>
          <w:tcPr>
            <w:tcW w:w="2835" w:type="dxa"/>
          </w:tcPr>
          <w:p w14:paraId="674BC0C4" w14:textId="77777777" w:rsidR="00E51C5D" w:rsidRPr="00B054AA" w:rsidRDefault="00E51C5D" w:rsidP="00826871">
            <w:pPr>
              <w:rPr>
                <w:rFonts w:ascii="Calibri" w:hAnsi="Calibri" w:cs="Calibri"/>
                <w:sz w:val="21"/>
                <w:szCs w:val="21"/>
              </w:rPr>
            </w:pPr>
            <w:r>
              <w:rPr>
                <w:rFonts w:ascii="Calibri" w:hAnsi="Calibri" w:cs="Calibri"/>
                <w:sz w:val="21"/>
                <w:szCs w:val="21"/>
              </w:rPr>
              <w:t>Expert pathology specialist</w:t>
            </w:r>
          </w:p>
        </w:tc>
      </w:tr>
      <w:tr w:rsidR="00E51C5D" w:rsidRPr="00B054AA" w14:paraId="513D02F8" w14:textId="77777777" w:rsidTr="003F494F">
        <w:trPr>
          <w:jc w:val="center"/>
        </w:trPr>
        <w:tc>
          <w:tcPr>
            <w:tcW w:w="1555" w:type="dxa"/>
          </w:tcPr>
          <w:p w14:paraId="08B562E6" w14:textId="77777777" w:rsidR="00E51C5D" w:rsidRPr="00B054AA" w:rsidRDefault="00E51C5D" w:rsidP="00826871">
            <w:pPr>
              <w:rPr>
                <w:rFonts w:ascii="Calibri" w:hAnsi="Calibri" w:cs="Calibri"/>
                <w:color w:val="242424"/>
                <w:sz w:val="21"/>
                <w:szCs w:val="21"/>
                <w:bdr w:val="none" w:sz="0" w:space="0" w:color="auto" w:frame="1"/>
                <w:shd w:val="clear" w:color="auto" w:fill="FFFFFF"/>
              </w:rPr>
            </w:pPr>
            <w:r w:rsidRPr="00B054AA">
              <w:rPr>
                <w:rFonts w:ascii="Calibri" w:hAnsi="Calibri" w:cs="Calibri"/>
                <w:color w:val="242424"/>
                <w:sz w:val="21"/>
                <w:szCs w:val="21"/>
                <w:bdr w:val="none" w:sz="0" w:space="0" w:color="auto" w:frame="1"/>
                <w:shd w:val="clear" w:color="auto" w:fill="FFFFFF"/>
              </w:rPr>
              <w:t xml:space="preserve">Aisling McMahon </w:t>
            </w:r>
          </w:p>
        </w:tc>
        <w:tc>
          <w:tcPr>
            <w:tcW w:w="2409" w:type="dxa"/>
          </w:tcPr>
          <w:p w14:paraId="319FD032" w14:textId="77777777" w:rsidR="00E51C5D" w:rsidRPr="00B054AA" w:rsidRDefault="00E51C5D" w:rsidP="00826871">
            <w:pPr>
              <w:rPr>
                <w:rFonts w:ascii="Calibri" w:hAnsi="Calibri" w:cs="Calibri"/>
                <w:sz w:val="21"/>
                <w:szCs w:val="21"/>
              </w:rPr>
            </w:pPr>
            <w:r>
              <w:rPr>
                <w:rFonts w:ascii="Calibri" w:hAnsi="Calibri" w:cs="Calibri"/>
                <w:sz w:val="21"/>
                <w:szCs w:val="21"/>
              </w:rPr>
              <w:t>n/a</w:t>
            </w:r>
          </w:p>
        </w:tc>
        <w:tc>
          <w:tcPr>
            <w:tcW w:w="2694" w:type="dxa"/>
          </w:tcPr>
          <w:p w14:paraId="5B02E24F"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Kidney Research UK</w:t>
            </w:r>
          </w:p>
        </w:tc>
        <w:tc>
          <w:tcPr>
            <w:tcW w:w="2835" w:type="dxa"/>
          </w:tcPr>
          <w:p w14:paraId="18B0C9DE" w14:textId="77777777" w:rsidR="00E51C5D" w:rsidRPr="00B054AA" w:rsidRDefault="00E51C5D" w:rsidP="00826871">
            <w:pPr>
              <w:rPr>
                <w:rFonts w:ascii="Calibri" w:hAnsi="Calibri" w:cs="Calibri"/>
                <w:sz w:val="21"/>
                <w:szCs w:val="21"/>
              </w:rPr>
            </w:pPr>
            <w:r>
              <w:rPr>
                <w:rFonts w:ascii="Calibri" w:hAnsi="Calibri" w:cs="Calibri"/>
                <w:sz w:val="21"/>
                <w:szCs w:val="21"/>
              </w:rPr>
              <w:t>Charity partner</w:t>
            </w:r>
          </w:p>
        </w:tc>
      </w:tr>
      <w:tr w:rsidR="00E51C5D" w:rsidRPr="00B054AA" w14:paraId="179E2E56" w14:textId="77777777" w:rsidTr="003F494F">
        <w:trPr>
          <w:jc w:val="center"/>
        </w:trPr>
        <w:tc>
          <w:tcPr>
            <w:tcW w:w="1555" w:type="dxa"/>
          </w:tcPr>
          <w:p w14:paraId="2CA7BC36" w14:textId="77777777" w:rsidR="00E51C5D" w:rsidRPr="00B054AA" w:rsidRDefault="00E51C5D" w:rsidP="00826871">
            <w:pPr>
              <w:rPr>
                <w:rFonts w:ascii="Calibri" w:hAnsi="Calibri" w:cs="Calibri"/>
                <w:color w:val="242424"/>
                <w:sz w:val="21"/>
                <w:szCs w:val="21"/>
                <w:bdr w:val="none" w:sz="0" w:space="0" w:color="auto" w:frame="1"/>
                <w:shd w:val="clear" w:color="auto" w:fill="FFFFFF"/>
              </w:rPr>
            </w:pPr>
            <w:r w:rsidRPr="00B054AA">
              <w:rPr>
                <w:rFonts w:ascii="Calibri" w:hAnsi="Calibri" w:cs="Calibri"/>
                <w:color w:val="242424"/>
                <w:sz w:val="21"/>
                <w:szCs w:val="21"/>
                <w:bdr w:val="none" w:sz="0" w:space="0" w:color="auto" w:frame="1"/>
                <w:shd w:val="clear" w:color="auto" w:fill="FFFFFF"/>
              </w:rPr>
              <w:t>Wendy Cook</w:t>
            </w:r>
          </w:p>
        </w:tc>
        <w:tc>
          <w:tcPr>
            <w:tcW w:w="2409" w:type="dxa"/>
          </w:tcPr>
          <w:p w14:paraId="39EC2E79" w14:textId="77777777" w:rsidR="00E51C5D" w:rsidRPr="00B054AA" w:rsidRDefault="00E51C5D" w:rsidP="00826871">
            <w:pPr>
              <w:rPr>
                <w:rFonts w:ascii="Calibri" w:hAnsi="Calibri" w:cs="Calibri"/>
                <w:sz w:val="21"/>
                <w:szCs w:val="21"/>
              </w:rPr>
            </w:pPr>
            <w:r>
              <w:rPr>
                <w:rFonts w:ascii="Calibri" w:hAnsi="Calibri" w:cs="Calibri"/>
                <w:sz w:val="21"/>
                <w:szCs w:val="21"/>
              </w:rPr>
              <w:t>n/a</w:t>
            </w:r>
          </w:p>
        </w:tc>
        <w:tc>
          <w:tcPr>
            <w:tcW w:w="2694" w:type="dxa"/>
          </w:tcPr>
          <w:p w14:paraId="34BF9D0B"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Nephrotic syndrome Trust</w:t>
            </w:r>
          </w:p>
        </w:tc>
        <w:tc>
          <w:tcPr>
            <w:tcW w:w="2835" w:type="dxa"/>
          </w:tcPr>
          <w:p w14:paraId="35F8749B" w14:textId="77777777" w:rsidR="00E51C5D" w:rsidRPr="00B054AA" w:rsidRDefault="00E51C5D" w:rsidP="00826871">
            <w:pPr>
              <w:rPr>
                <w:rFonts w:ascii="Calibri" w:hAnsi="Calibri" w:cs="Calibri"/>
                <w:sz w:val="21"/>
                <w:szCs w:val="21"/>
              </w:rPr>
            </w:pPr>
            <w:r>
              <w:rPr>
                <w:rFonts w:ascii="Calibri" w:hAnsi="Calibri" w:cs="Calibri"/>
                <w:sz w:val="21"/>
                <w:szCs w:val="21"/>
              </w:rPr>
              <w:t>Charity partner</w:t>
            </w:r>
          </w:p>
        </w:tc>
      </w:tr>
      <w:tr w:rsidR="00E51C5D" w:rsidRPr="00B054AA" w14:paraId="2F919B71" w14:textId="77777777" w:rsidTr="003F494F">
        <w:trPr>
          <w:jc w:val="center"/>
        </w:trPr>
        <w:tc>
          <w:tcPr>
            <w:tcW w:w="1555" w:type="dxa"/>
          </w:tcPr>
          <w:p w14:paraId="2A644C6B" w14:textId="77777777" w:rsidR="00E51C5D" w:rsidRPr="00B054AA" w:rsidRDefault="00E51C5D" w:rsidP="00826871">
            <w:pPr>
              <w:rPr>
                <w:rFonts w:ascii="Calibri" w:hAnsi="Calibri" w:cs="Calibri"/>
                <w:color w:val="242424"/>
                <w:sz w:val="21"/>
                <w:szCs w:val="21"/>
                <w:bdr w:val="none" w:sz="0" w:space="0" w:color="auto" w:frame="1"/>
                <w:shd w:val="clear" w:color="auto" w:fill="FFFFFF"/>
              </w:rPr>
            </w:pPr>
            <w:r w:rsidRPr="00B054AA">
              <w:rPr>
                <w:rFonts w:ascii="Calibri" w:hAnsi="Calibri" w:cs="Calibri"/>
                <w:color w:val="242424"/>
                <w:sz w:val="21"/>
                <w:szCs w:val="21"/>
                <w:bdr w:val="none" w:sz="0" w:space="0" w:color="auto" w:frame="1"/>
                <w:shd w:val="clear" w:color="auto" w:fill="FFFFFF"/>
              </w:rPr>
              <w:t>Kathryn Croker</w:t>
            </w:r>
          </w:p>
        </w:tc>
        <w:tc>
          <w:tcPr>
            <w:tcW w:w="2409" w:type="dxa"/>
          </w:tcPr>
          <w:p w14:paraId="64D48108"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n/a</w:t>
            </w:r>
          </w:p>
        </w:tc>
        <w:tc>
          <w:tcPr>
            <w:tcW w:w="2694" w:type="dxa"/>
          </w:tcPr>
          <w:p w14:paraId="4766F9C8"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 xml:space="preserve">Patient </w:t>
            </w:r>
          </w:p>
        </w:tc>
        <w:tc>
          <w:tcPr>
            <w:tcW w:w="2835" w:type="dxa"/>
          </w:tcPr>
          <w:p w14:paraId="54893A62"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Patient with lived experience</w:t>
            </w:r>
          </w:p>
        </w:tc>
      </w:tr>
      <w:tr w:rsidR="00E51C5D" w:rsidRPr="00B054AA" w14:paraId="2F31A0B2" w14:textId="77777777" w:rsidTr="003F494F">
        <w:trPr>
          <w:jc w:val="center"/>
        </w:trPr>
        <w:tc>
          <w:tcPr>
            <w:tcW w:w="1555" w:type="dxa"/>
          </w:tcPr>
          <w:p w14:paraId="00050FBA" w14:textId="77777777" w:rsidR="00E51C5D" w:rsidRPr="00B054AA" w:rsidRDefault="00E51C5D" w:rsidP="00826871">
            <w:pPr>
              <w:rPr>
                <w:rFonts w:ascii="Calibri" w:hAnsi="Calibri" w:cs="Calibri"/>
                <w:color w:val="242424"/>
                <w:sz w:val="21"/>
                <w:szCs w:val="21"/>
                <w:bdr w:val="none" w:sz="0" w:space="0" w:color="auto" w:frame="1"/>
                <w:shd w:val="clear" w:color="auto" w:fill="FFFFFF"/>
              </w:rPr>
            </w:pPr>
            <w:r w:rsidRPr="00B054AA">
              <w:rPr>
                <w:rFonts w:ascii="Calibri" w:hAnsi="Calibri" w:cs="Calibri"/>
                <w:color w:val="242424"/>
                <w:sz w:val="21"/>
                <w:szCs w:val="21"/>
                <w:bdr w:val="none" w:sz="0" w:space="0" w:color="auto" w:frame="1"/>
                <w:shd w:val="clear" w:color="auto" w:fill="FFFFFF"/>
              </w:rPr>
              <w:t xml:space="preserve">Kelly Vernon </w:t>
            </w:r>
          </w:p>
        </w:tc>
        <w:tc>
          <w:tcPr>
            <w:tcW w:w="2409" w:type="dxa"/>
          </w:tcPr>
          <w:p w14:paraId="5D390598" w14:textId="77777777" w:rsidR="00E51C5D" w:rsidRPr="00B054AA" w:rsidRDefault="00E51C5D" w:rsidP="00826871">
            <w:pPr>
              <w:rPr>
                <w:rFonts w:ascii="Calibri" w:hAnsi="Calibri" w:cs="Calibri"/>
                <w:sz w:val="21"/>
                <w:szCs w:val="21"/>
              </w:rPr>
            </w:pPr>
            <w:r>
              <w:rPr>
                <w:rFonts w:ascii="Calibri" w:hAnsi="Calibri" w:cs="Calibri"/>
                <w:sz w:val="21"/>
                <w:szCs w:val="21"/>
              </w:rPr>
              <w:t>University of Liverpool</w:t>
            </w:r>
          </w:p>
        </w:tc>
        <w:tc>
          <w:tcPr>
            <w:tcW w:w="2694" w:type="dxa"/>
          </w:tcPr>
          <w:p w14:paraId="6F988CCE"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 xml:space="preserve">UK Kidney Ecosystem </w:t>
            </w:r>
          </w:p>
        </w:tc>
        <w:tc>
          <w:tcPr>
            <w:tcW w:w="2835" w:type="dxa"/>
          </w:tcPr>
          <w:p w14:paraId="4A5EBAD0" w14:textId="77777777" w:rsidR="00E51C5D" w:rsidRPr="00B054AA" w:rsidRDefault="00E51C5D" w:rsidP="00826871">
            <w:pPr>
              <w:rPr>
                <w:rFonts w:ascii="Calibri" w:hAnsi="Calibri" w:cs="Calibri"/>
                <w:sz w:val="21"/>
                <w:szCs w:val="21"/>
              </w:rPr>
            </w:pPr>
            <w:r w:rsidRPr="00B054AA">
              <w:rPr>
                <w:rFonts w:ascii="Calibri" w:hAnsi="Calibri" w:cs="Calibri"/>
                <w:sz w:val="21"/>
                <w:szCs w:val="21"/>
              </w:rPr>
              <w:t>Administrator</w:t>
            </w:r>
          </w:p>
        </w:tc>
      </w:tr>
    </w:tbl>
    <w:p w14:paraId="66653034" w14:textId="77777777" w:rsidR="003E3265" w:rsidRDefault="003E3265" w:rsidP="003F494F">
      <w:pPr>
        <w:spacing w:line="360" w:lineRule="auto"/>
        <w:rPr>
          <w:rFonts w:cstheme="minorHAnsi"/>
          <w:b/>
          <w:sz w:val="22"/>
          <w:szCs w:val="22"/>
        </w:rPr>
      </w:pPr>
    </w:p>
    <w:p w14:paraId="366C3412" w14:textId="77777777" w:rsidR="003E3265" w:rsidRDefault="003E3265" w:rsidP="003F494F">
      <w:pPr>
        <w:spacing w:line="360" w:lineRule="auto"/>
        <w:rPr>
          <w:rFonts w:cstheme="minorHAnsi"/>
          <w:b/>
          <w:sz w:val="22"/>
          <w:szCs w:val="22"/>
        </w:rPr>
      </w:pPr>
    </w:p>
    <w:p w14:paraId="11066BB1" w14:textId="77777777" w:rsidR="008C4799" w:rsidRDefault="001630D4" w:rsidP="003F494F">
      <w:pPr>
        <w:spacing w:line="360" w:lineRule="auto"/>
        <w:rPr>
          <w:rFonts w:cstheme="minorHAnsi"/>
          <w:b/>
          <w:sz w:val="22"/>
          <w:szCs w:val="22"/>
        </w:rPr>
      </w:pPr>
      <w:r>
        <w:rPr>
          <w:rFonts w:cstheme="minorHAnsi"/>
          <w:b/>
          <w:sz w:val="22"/>
          <w:szCs w:val="22"/>
        </w:rPr>
        <w:br w:type="page"/>
      </w:r>
    </w:p>
    <w:p w14:paraId="0CAE3134" w14:textId="36BD2377" w:rsidR="006F0C5C" w:rsidRPr="00117750" w:rsidRDefault="001630D4" w:rsidP="003F494F">
      <w:pPr>
        <w:spacing w:line="360" w:lineRule="auto"/>
        <w:rPr>
          <w:rFonts w:cstheme="minorHAnsi"/>
          <w:b/>
          <w:sz w:val="22"/>
          <w:szCs w:val="22"/>
        </w:rPr>
      </w:pPr>
      <w:r w:rsidRPr="00117750">
        <w:rPr>
          <w:rFonts w:cstheme="minorHAnsi"/>
          <w:b/>
          <w:sz w:val="22"/>
          <w:szCs w:val="22"/>
        </w:rPr>
        <w:lastRenderedPageBreak/>
        <w:t xml:space="preserve">Appendix </w:t>
      </w:r>
      <w:r w:rsidR="00C278A7">
        <w:rPr>
          <w:rFonts w:cstheme="minorHAnsi"/>
          <w:b/>
          <w:sz w:val="22"/>
          <w:szCs w:val="22"/>
        </w:rPr>
        <w:t>6</w:t>
      </w:r>
      <w:r w:rsidRPr="00117750">
        <w:rPr>
          <w:rFonts w:cstheme="minorHAnsi"/>
          <w:b/>
          <w:sz w:val="22"/>
          <w:szCs w:val="22"/>
        </w:rPr>
        <w:t xml:space="preserve">: List of stakeholders </w:t>
      </w:r>
    </w:p>
    <w:p w14:paraId="22881F1E" w14:textId="77777777" w:rsidR="006F0C5C" w:rsidRPr="00117750" w:rsidRDefault="006F0C5C" w:rsidP="003F494F">
      <w:pPr>
        <w:spacing w:line="360" w:lineRule="auto"/>
        <w:rPr>
          <w:rFonts w:cstheme="minorHAnsi"/>
          <w:b/>
          <w:sz w:val="22"/>
          <w:szCs w:val="22"/>
        </w:rPr>
      </w:pPr>
    </w:p>
    <w:tbl>
      <w:tblPr>
        <w:tblStyle w:val="TableGrid1"/>
        <w:tblW w:w="6374" w:type="dxa"/>
        <w:jc w:val="center"/>
        <w:tblLook w:val="04A0" w:firstRow="1" w:lastRow="0" w:firstColumn="1" w:lastColumn="0" w:noHBand="0" w:noVBand="1"/>
      </w:tblPr>
      <w:tblGrid>
        <w:gridCol w:w="6374"/>
      </w:tblGrid>
      <w:tr w:rsidR="00B30D0A" w14:paraId="32880951" w14:textId="77777777" w:rsidTr="004454AF">
        <w:trPr>
          <w:jc w:val="center"/>
        </w:trPr>
        <w:tc>
          <w:tcPr>
            <w:tcW w:w="6374" w:type="dxa"/>
          </w:tcPr>
          <w:p w14:paraId="081BEE0C" w14:textId="6F9942EC" w:rsidR="00B30D0A" w:rsidRPr="00117750" w:rsidRDefault="00B30D0A" w:rsidP="003F494F">
            <w:pPr>
              <w:spacing w:after="160" w:line="360" w:lineRule="auto"/>
              <w:rPr>
                <w:rFonts w:cstheme="minorHAnsi"/>
                <w:lang w:val="en-US"/>
              </w:rPr>
            </w:pPr>
            <w:proofErr w:type="spellStart"/>
            <w:r>
              <w:rPr>
                <w:rFonts w:cstheme="minorHAnsi"/>
                <w:lang w:val="en-US"/>
              </w:rPr>
              <w:t>LifeArc</w:t>
            </w:r>
            <w:proofErr w:type="spellEnd"/>
            <w:r>
              <w:rPr>
                <w:rFonts w:cstheme="minorHAnsi"/>
                <w:lang w:val="en-US"/>
              </w:rPr>
              <w:t>-Kidney Research UK Centre for Rare Kidney Diseases</w:t>
            </w:r>
          </w:p>
        </w:tc>
      </w:tr>
      <w:tr w:rsidR="00837E18" w14:paraId="58BA688B" w14:textId="77777777" w:rsidTr="004454AF">
        <w:trPr>
          <w:jc w:val="center"/>
        </w:trPr>
        <w:tc>
          <w:tcPr>
            <w:tcW w:w="6374" w:type="dxa"/>
          </w:tcPr>
          <w:p w14:paraId="7901E4FB" w14:textId="77777777" w:rsidR="006F0C5C" w:rsidRPr="00117750" w:rsidRDefault="001630D4" w:rsidP="003F494F">
            <w:pPr>
              <w:spacing w:after="160" w:line="360" w:lineRule="auto"/>
              <w:rPr>
                <w:rFonts w:cstheme="minorHAnsi"/>
              </w:rPr>
            </w:pPr>
            <w:r w:rsidRPr="00117750">
              <w:rPr>
                <w:rFonts w:cstheme="minorHAnsi"/>
                <w:lang w:val="en-US"/>
              </w:rPr>
              <w:t>Kidney Care UK</w:t>
            </w:r>
            <w:r w:rsidRPr="00117750">
              <w:rPr>
                <w:rFonts w:cstheme="minorHAnsi"/>
              </w:rPr>
              <w:t>, including k</w:t>
            </w:r>
            <w:proofErr w:type="spellStart"/>
            <w:r w:rsidRPr="00117750">
              <w:rPr>
                <w:rFonts w:cstheme="minorHAnsi"/>
                <w:lang w:val="en-US"/>
              </w:rPr>
              <w:t>idney</w:t>
            </w:r>
            <w:proofErr w:type="spellEnd"/>
            <w:r w:rsidRPr="00117750">
              <w:rPr>
                <w:rFonts w:cstheme="minorHAnsi"/>
                <w:lang w:val="en-US"/>
              </w:rPr>
              <w:t xml:space="preserve"> Patient Involvement Network KPIN</w:t>
            </w:r>
          </w:p>
        </w:tc>
      </w:tr>
      <w:tr w:rsidR="00837E18" w14:paraId="5958BB60" w14:textId="77777777" w:rsidTr="004454AF">
        <w:trPr>
          <w:jc w:val="center"/>
        </w:trPr>
        <w:tc>
          <w:tcPr>
            <w:tcW w:w="6374" w:type="dxa"/>
          </w:tcPr>
          <w:p w14:paraId="024983FA" w14:textId="77777777" w:rsidR="006F0C5C" w:rsidRPr="00117750" w:rsidRDefault="001630D4" w:rsidP="003F494F">
            <w:pPr>
              <w:spacing w:after="160" w:line="360" w:lineRule="auto"/>
              <w:rPr>
                <w:rFonts w:cstheme="minorHAnsi"/>
              </w:rPr>
            </w:pPr>
            <w:r w:rsidRPr="00117750">
              <w:rPr>
                <w:rFonts w:cstheme="minorHAnsi"/>
                <w:lang w:val="en-US"/>
              </w:rPr>
              <w:t xml:space="preserve">Kidney Research UK </w:t>
            </w:r>
          </w:p>
        </w:tc>
      </w:tr>
      <w:tr w:rsidR="00837E18" w14:paraId="2F32D730" w14:textId="77777777" w:rsidTr="004454AF">
        <w:trPr>
          <w:jc w:val="center"/>
        </w:trPr>
        <w:tc>
          <w:tcPr>
            <w:tcW w:w="6374" w:type="dxa"/>
          </w:tcPr>
          <w:p w14:paraId="3C193C80" w14:textId="77777777" w:rsidR="006F0C5C" w:rsidRPr="00117750" w:rsidRDefault="001630D4" w:rsidP="003F494F">
            <w:pPr>
              <w:spacing w:after="160" w:line="360" w:lineRule="auto"/>
              <w:rPr>
                <w:rFonts w:cstheme="minorHAnsi"/>
              </w:rPr>
            </w:pPr>
            <w:proofErr w:type="spellStart"/>
            <w:r w:rsidRPr="00117750">
              <w:rPr>
                <w:rFonts w:cstheme="minorHAnsi"/>
                <w:lang w:val="en-US"/>
              </w:rPr>
              <w:t>GenR</w:t>
            </w:r>
            <w:proofErr w:type="spellEnd"/>
            <w:r w:rsidRPr="00117750">
              <w:rPr>
                <w:rFonts w:cstheme="minorHAnsi"/>
                <w:lang w:val="en-US"/>
              </w:rPr>
              <w:t xml:space="preserve"> - YPAG groups </w:t>
            </w:r>
          </w:p>
        </w:tc>
      </w:tr>
      <w:tr w:rsidR="00837E18" w14:paraId="69DE3807" w14:textId="77777777" w:rsidTr="004454AF">
        <w:trPr>
          <w:jc w:val="center"/>
        </w:trPr>
        <w:tc>
          <w:tcPr>
            <w:tcW w:w="6374" w:type="dxa"/>
          </w:tcPr>
          <w:p w14:paraId="4C761A5D" w14:textId="30A0CBD1" w:rsidR="006F0C5C" w:rsidRPr="00117750" w:rsidRDefault="001630D4" w:rsidP="003F494F">
            <w:pPr>
              <w:spacing w:after="160" w:line="360" w:lineRule="auto"/>
              <w:rPr>
                <w:rFonts w:cstheme="minorHAnsi"/>
              </w:rPr>
            </w:pPr>
            <w:r w:rsidRPr="00117750">
              <w:rPr>
                <w:rFonts w:cstheme="minorHAnsi"/>
                <w:lang w:val="en-US"/>
              </w:rPr>
              <w:t xml:space="preserve">Nephrotic </w:t>
            </w:r>
            <w:r w:rsidR="00D56C15">
              <w:rPr>
                <w:rFonts w:cstheme="minorHAnsi"/>
                <w:lang w:val="en-US"/>
              </w:rPr>
              <w:t>S</w:t>
            </w:r>
            <w:r w:rsidRPr="00117750">
              <w:rPr>
                <w:rFonts w:cstheme="minorHAnsi"/>
                <w:lang w:val="en-US"/>
              </w:rPr>
              <w:t>yndrome</w:t>
            </w:r>
            <w:r w:rsidR="00D56C15">
              <w:rPr>
                <w:rFonts w:cstheme="minorHAnsi"/>
                <w:lang w:val="en-US"/>
              </w:rPr>
              <w:t xml:space="preserve"> T</w:t>
            </w:r>
            <w:r w:rsidRPr="00117750">
              <w:rPr>
                <w:rFonts w:cstheme="minorHAnsi"/>
                <w:lang w:val="en-US"/>
              </w:rPr>
              <w:t xml:space="preserve">rust </w:t>
            </w:r>
          </w:p>
        </w:tc>
      </w:tr>
      <w:tr w:rsidR="00837E18" w14:paraId="7682A2BE" w14:textId="77777777" w:rsidTr="004454AF">
        <w:trPr>
          <w:jc w:val="center"/>
        </w:trPr>
        <w:tc>
          <w:tcPr>
            <w:tcW w:w="6374" w:type="dxa"/>
          </w:tcPr>
          <w:p w14:paraId="0D184102" w14:textId="77777777" w:rsidR="006F0C5C" w:rsidRPr="00117750" w:rsidRDefault="001630D4" w:rsidP="003F494F">
            <w:pPr>
              <w:spacing w:after="160" w:line="360" w:lineRule="auto"/>
              <w:rPr>
                <w:rFonts w:cstheme="minorHAnsi"/>
              </w:rPr>
            </w:pPr>
            <w:r w:rsidRPr="00117750">
              <w:rPr>
                <w:rFonts w:cstheme="minorHAnsi"/>
                <w:lang w:val="en-US"/>
              </w:rPr>
              <w:t>Kidney kids</w:t>
            </w:r>
          </w:p>
        </w:tc>
      </w:tr>
      <w:tr w:rsidR="00837E18" w14:paraId="7E97FA9C" w14:textId="77777777" w:rsidTr="004454AF">
        <w:trPr>
          <w:jc w:val="center"/>
        </w:trPr>
        <w:tc>
          <w:tcPr>
            <w:tcW w:w="6374" w:type="dxa"/>
          </w:tcPr>
          <w:p w14:paraId="0CAA5BFF" w14:textId="77777777" w:rsidR="006F0C5C" w:rsidRPr="00117750" w:rsidRDefault="001630D4" w:rsidP="003F494F">
            <w:pPr>
              <w:spacing w:after="160" w:line="360" w:lineRule="auto"/>
              <w:rPr>
                <w:rFonts w:cstheme="minorHAnsi"/>
              </w:rPr>
            </w:pPr>
            <w:r w:rsidRPr="00117750">
              <w:rPr>
                <w:rFonts w:cstheme="minorHAnsi"/>
                <w:lang w:val="en-US"/>
              </w:rPr>
              <w:t>UKIVAS</w:t>
            </w:r>
          </w:p>
        </w:tc>
      </w:tr>
      <w:tr w:rsidR="00837E18" w14:paraId="7934D39A" w14:textId="77777777" w:rsidTr="004454AF">
        <w:trPr>
          <w:jc w:val="center"/>
        </w:trPr>
        <w:tc>
          <w:tcPr>
            <w:tcW w:w="6374" w:type="dxa"/>
          </w:tcPr>
          <w:p w14:paraId="27761C9F" w14:textId="77777777" w:rsidR="006F0C5C" w:rsidRPr="00117750" w:rsidRDefault="001630D4" w:rsidP="003F494F">
            <w:pPr>
              <w:spacing w:after="160" w:line="360" w:lineRule="auto"/>
              <w:rPr>
                <w:rFonts w:cstheme="minorHAnsi"/>
                <w:lang w:val="en-US"/>
              </w:rPr>
            </w:pPr>
            <w:r w:rsidRPr="00117750">
              <w:rPr>
                <w:rFonts w:eastAsia="Times New Roman" w:cstheme="minorHAnsi"/>
                <w:lang w:eastAsia="en-GB"/>
              </w:rPr>
              <w:t>MPGN/DDD support group</w:t>
            </w:r>
          </w:p>
        </w:tc>
      </w:tr>
      <w:tr w:rsidR="00837E18" w14:paraId="6ADF01AF" w14:textId="77777777" w:rsidTr="004454AF">
        <w:trPr>
          <w:jc w:val="center"/>
        </w:trPr>
        <w:tc>
          <w:tcPr>
            <w:tcW w:w="6374" w:type="dxa"/>
          </w:tcPr>
          <w:p w14:paraId="7AA6C4F6" w14:textId="77777777" w:rsidR="006F0C5C" w:rsidRPr="00117750" w:rsidRDefault="001630D4" w:rsidP="003F494F">
            <w:pPr>
              <w:spacing w:after="160" w:line="360" w:lineRule="auto"/>
              <w:rPr>
                <w:rFonts w:cstheme="minorHAnsi"/>
              </w:rPr>
            </w:pPr>
            <w:r w:rsidRPr="00117750">
              <w:rPr>
                <w:rFonts w:cstheme="minorHAnsi"/>
                <w:lang w:val="en-US"/>
              </w:rPr>
              <w:t xml:space="preserve">British association of </w:t>
            </w:r>
            <w:proofErr w:type="spellStart"/>
            <w:r w:rsidRPr="00117750">
              <w:rPr>
                <w:rFonts w:cstheme="minorHAnsi"/>
                <w:lang w:val="en-US"/>
              </w:rPr>
              <w:t>paediatric</w:t>
            </w:r>
            <w:proofErr w:type="spellEnd"/>
            <w:r w:rsidRPr="00117750">
              <w:rPr>
                <w:rFonts w:cstheme="minorHAnsi"/>
                <w:lang w:val="en-US"/>
              </w:rPr>
              <w:t xml:space="preserve"> nephrology (BAPN) </w:t>
            </w:r>
          </w:p>
        </w:tc>
      </w:tr>
      <w:tr w:rsidR="00837E18" w14:paraId="129351A2" w14:textId="77777777" w:rsidTr="004454AF">
        <w:trPr>
          <w:jc w:val="center"/>
        </w:trPr>
        <w:tc>
          <w:tcPr>
            <w:tcW w:w="6374" w:type="dxa"/>
          </w:tcPr>
          <w:p w14:paraId="08507B35" w14:textId="77777777" w:rsidR="006F0C5C" w:rsidRPr="00117750" w:rsidRDefault="001630D4" w:rsidP="003F494F">
            <w:pPr>
              <w:spacing w:after="160" w:line="360" w:lineRule="auto"/>
              <w:rPr>
                <w:rFonts w:cstheme="minorHAnsi"/>
              </w:rPr>
            </w:pPr>
            <w:r w:rsidRPr="00117750">
              <w:rPr>
                <w:rFonts w:cstheme="minorHAnsi"/>
                <w:lang w:val="en-US"/>
              </w:rPr>
              <w:t>Lupus UK</w:t>
            </w:r>
          </w:p>
        </w:tc>
      </w:tr>
      <w:tr w:rsidR="00837E18" w14:paraId="4023C4C3" w14:textId="77777777" w:rsidTr="004454AF">
        <w:trPr>
          <w:jc w:val="center"/>
        </w:trPr>
        <w:tc>
          <w:tcPr>
            <w:tcW w:w="6374" w:type="dxa"/>
          </w:tcPr>
          <w:p w14:paraId="38AF823A" w14:textId="77777777" w:rsidR="006F0C5C" w:rsidRPr="00117750" w:rsidRDefault="001630D4" w:rsidP="003F494F">
            <w:pPr>
              <w:spacing w:after="160" w:line="360" w:lineRule="auto"/>
              <w:rPr>
                <w:rFonts w:cstheme="minorHAnsi"/>
              </w:rPr>
            </w:pPr>
            <w:r w:rsidRPr="00117750">
              <w:rPr>
                <w:rFonts w:cstheme="minorHAnsi"/>
                <w:lang w:val="en-US"/>
              </w:rPr>
              <w:t>NHSBT/plasmapheresis</w:t>
            </w:r>
          </w:p>
        </w:tc>
      </w:tr>
      <w:tr w:rsidR="00837E18" w14:paraId="34945909" w14:textId="77777777" w:rsidTr="004454AF">
        <w:trPr>
          <w:jc w:val="center"/>
        </w:trPr>
        <w:tc>
          <w:tcPr>
            <w:tcW w:w="6374" w:type="dxa"/>
          </w:tcPr>
          <w:p w14:paraId="37403093" w14:textId="77777777" w:rsidR="006F0C5C" w:rsidRPr="00117750" w:rsidRDefault="001630D4" w:rsidP="003F494F">
            <w:pPr>
              <w:spacing w:after="160" w:line="360" w:lineRule="auto"/>
              <w:rPr>
                <w:rFonts w:cstheme="minorHAnsi"/>
              </w:rPr>
            </w:pPr>
            <w:r w:rsidRPr="00117750">
              <w:rPr>
                <w:rFonts w:cstheme="minorHAnsi"/>
                <w:lang w:val="en-US"/>
              </w:rPr>
              <w:t>British society rheumatology (BSR)</w:t>
            </w:r>
          </w:p>
        </w:tc>
      </w:tr>
      <w:tr w:rsidR="00837E18" w14:paraId="3E20212F" w14:textId="77777777" w:rsidTr="004454AF">
        <w:trPr>
          <w:jc w:val="center"/>
        </w:trPr>
        <w:tc>
          <w:tcPr>
            <w:tcW w:w="6374" w:type="dxa"/>
          </w:tcPr>
          <w:p w14:paraId="3A287BBF" w14:textId="77777777" w:rsidR="006F0C5C" w:rsidRPr="00117750" w:rsidRDefault="001630D4" w:rsidP="003F494F">
            <w:pPr>
              <w:spacing w:after="160" w:line="360" w:lineRule="auto"/>
              <w:rPr>
                <w:rFonts w:cstheme="minorHAnsi"/>
              </w:rPr>
            </w:pPr>
            <w:r w:rsidRPr="00117750">
              <w:rPr>
                <w:rFonts w:cstheme="minorHAnsi"/>
                <w:lang w:val="en-US"/>
              </w:rPr>
              <w:t>RCPCH</w:t>
            </w:r>
          </w:p>
        </w:tc>
      </w:tr>
      <w:tr w:rsidR="00837E18" w14:paraId="023212B2" w14:textId="77777777" w:rsidTr="004454AF">
        <w:trPr>
          <w:jc w:val="center"/>
        </w:trPr>
        <w:tc>
          <w:tcPr>
            <w:tcW w:w="6374" w:type="dxa"/>
          </w:tcPr>
          <w:p w14:paraId="71A5D6E5" w14:textId="77777777" w:rsidR="006F0C5C" w:rsidRPr="00117750" w:rsidRDefault="001630D4" w:rsidP="003F494F">
            <w:pPr>
              <w:spacing w:after="160" w:line="360" w:lineRule="auto"/>
              <w:rPr>
                <w:rFonts w:cstheme="minorHAnsi"/>
              </w:rPr>
            </w:pPr>
            <w:r w:rsidRPr="00117750">
              <w:rPr>
                <w:rFonts w:cstheme="minorHAnsi"/>
                <w:lang w:val="en-US"/>
              </w:rPr>
              <w:t>Vasculitis UK</w:t>
            </w:r>
          </w:p>
        </w:tc>
      </w:tr>
      <w:tr w:rsidR="00837E18" w14:paraId="6DF8473C" w14:textId="77777777" w:rsidTr="004454AF">
        <w:trPr>
          <w:jc w:val="center"/>
        </w:trPr>
        <w:tc>
          <w:tcPr>
            <w:tcW w:w="6374" w:type="dxa"/>
          </w:tcPr>
          <w:p w14:paraId="5603E1BF" w14:textId="77777777" w:rsidR="006F0C5C" w:rsidRPr="00117750" w:rsidRDefault="001630D4" w:rsidP="003F494F">
            <w:pPr>
              <w:spacing w:after="160" w:line="360" w:lineRule="auto"/>
              <w:rPr>
                <w:rFonts w:cstheme="minorHAnsi"/>
              </w:rPr>
            </w:pPr>
            <w:r w:rsidRPr="00117750">
              <w:rPr>
                <w:rFonts w:cstheme="minorHAnsi"/>
                <w:lang w:val="en-US"/>
              </w:rPr>
              <w:t>Royal college pathologists (</w:t>
            </w:r>
            <w:proofErr w:type="spellStart"/>
            <w:r w:rsidRPr="00117750">
              <w:rPr>
                <w:rFonts w:cstheme="minorHAnsi"/>
                <w:lang w:val="en-US"/>
              </w:rPr>
              <w:t>RCPath</w:t>
            </w:r>
            <w:proofErr w:type="spellEnd"/>
            <w:r w:rsidRPr="00117750">
              <w:rPr>
                <w:rFonts w:cstheme="minorHAnsi"/>
                <w:lang w:val="en-US"/>
              </w:rPr>
              <w:t>)</w:t>
            </w:r>
          </w:p>
        </w:tc>
      </w:tr>
      <w:tr w:rsidR="00837E18" w14:paraId="50E84FE4" w14:textId="77777777" w:rsidTr="004454AF">
        <w:trPr>
          <w:jc w:val="center"/>
        </w:trPr>
        <w:tc>
          <w:tcPr>
            <w:tcW w:w="6374" w:type="dxa"/>
          </w:tcPr>
          <w:p w14:paraId="68D1BA63" w14:textId="77777777" w:rsidR="006F0C5C" w:rsidRPr="00117750" w:rsidRDefault="001630D4" w:rsidP="003F494F">
            <w:pPr>
              <w:spacing w:after="160" w:line="360" w:lineRule="auto"/>
              <w:rPr>
                <w:rFonts w:cstheme="minorHAnsi"/>
              </w:rPr>
            </w:pPr>
            <w:r w:rsidRPr="00117750">
              <w:rPr>
                <w:rFonts w:cstheme="minorHAnsi"/>
              </w:rPr>
              <w:t>Paediatric Nephrology Nurses Group (PNNG)</w:t>
            </w:r>
          </w:p>
        </w:tc>
      </w:tr>
      <w:tr w:rsidR="00837E18" w14:paraId="6F2D110F" w14:textId="77777777" w:rsidTr="004454AF">
        <w:trPr>
          <w:jc w:val="center"/>
        </w:trPr>
        <w:tc>
          <w:tcPr>
            <w:tcW w:w="6374" w:type="dxa"/>
          </w:tcPr>
          <w:p w14:paraId="7B4DB531" w14:textId="77777777" w:rsidR="006F0C5C" w:rsidRPr="00117750" w:rsidRDefault="001630D4" w:rsidP="003F494F">
            <w:pPr>
              <w:spacing w:after="160" w:line="360" w:lineRule="auto"/>
              <w:rPr>
                <w:rFonts w:cstheme="minorHAnsi"/>
              </w:rPr>
            </w:pPr>
            <w:r w:rsidRPr="00117750">
              <w:rPr>
                <w:rFonts w:cstheme="minorHAnsi"/>
              </w:rPr>
              <w:t xml:space="preserve">Neonatal and Paediatric Pharmacy Group (NPPG) </w:t>
            </w:r>
          </w:p>
        </w:tc>
      </w:tr>
      <w:tr w:rsidR="00837E18" w14:paraId="6F4CF331" w14:textId="77777777" w:rsidTr="004454AF">
        <w:trPr>
          <w:jc w:val="center"/>
        </w:trPr>
        <w:tc>
          <w:tcPr>
            <w:tcW w:w="6374" w:type="dxa"/>
          </w:tcPr>
          <w:p w14:paraId="2EF45AD2" w14:textId="77777777" w:rsidR="006F0C5C" w:rsidRPr="00117750" w:rsidRDefault="001630D4" w:rsidP="003F494F">
            <w:pPr>
              <w:spacing w:after="160" w:line="360" w:lineRule="auto"/>
              <w:rPr>
                <w:rFonts w:cstheme="minorHAnsi"/>
              </w:rPr>
            </w:pPr>
            <w:r w:rsidRPr="00117750">
              <w:rPr>
                <w:rFonts w:cstheme="minorHAnsi"/>
              </w:rPr>
              <w:t>PMNG dieticians</w:t>
            </w:r>
          </w:p>
        </w:tc>
      </w:tr>
      <w:tr w:rsidR="00837E18" w14:paraId="74CEAC7E" w14:textId="77777777" w:rsidTr="004454AF">
        <w:trPr>
          <w:jc w:val="center"/>
        </w:trPr>
        <w:tc>
          <w:tcPr>
            <w:tcW w:w="6374" w:type="dxa"/>
          </w:tcPr>
          <w:p w14:paraId="761A94E3" w14:textId="77777777" w:rsidR="006F0C5C" w:rsidRPr="00117750" w:rsidRDefault="001630D4" w:rsidP="003F494F">
            <w:pPr>
              <w:spacing w:after="160" w:line="360" w:lineRule="auto"/>
              <w:rPr>
                <w:rFonts w:cstheme="minorHAnsi"/>
              </w:rPr>
            </w:pPr>
            <w:r w:rsidRPr="00117750">
              <w:rPr>
                <w:rFonts w:cstheme="minorHAnsi"/>
              </w:rPr>
              <w:t xml:space="preserve">Psychology </w:t>
            </w:r>
          </w:p>
        </w:tc>
      </w:tr>
      <w:tr w:rsidR="00837E18" w14:paraId="4D82B331" w14:textId="77777777" w:rsidTr="004454AF">
        <w:trPr>
          <w:jc w:val="center"/>
        </w:trPr>
        <w:tc>
          <w:tcPr>
            <w:tcW w:w="6374" w:type="dxa"/>
          </w:tcPr>
          <w:p w14:paraId="37BC4A7F" w14:textId="77777777" w:rsidR="006F0C5C" w:rsidRPr="00117750" w:rsidRDefault="001630D4" w:rsidP="003F494F">
            <w:pPr>
              <w:spacing w:after="160" w:line="360" w:lineRule="auto"/>
              <w:rPr>
                <w:rFonts w:cstheme="minorHAnsi"/>
              </w:rPr>
            </w:pPr>
            <w:r w:rsidRPr="00117750">
              <w:rPr>
                <w:rFonts w:cstheme="minorHAnsi"/>
              </w:rPr>
              <w:t xml:space="preserve">Child physio society </w:t>
            </w:r>
          </w:p>
        </w:tc>
      </w:tr>
      <w:tr w:rsidR="00837E18" w14:paraId="581956A7" w14:textId="77777777" w:rsidTr="004454AF">
        <w:trPr>
          <w:jc w:val="center"/>
        </w:trPr>
        <w:tc>
          <w:tcPr>
            <w:tcW w:w="6374" w:type="dxa"/>
          </w:tcPr>
          <w:p w14:paraId="2A213C76" w14:textId="77777777" w:rsidR="006F0C5C" w:rsidRPr="00117750" w:rsidRDefault="001630D4" w:rsidP="003F494F">
            <w:pPr>
              <w:spacing w:after="160" w:line="360" w:lineRule="auto"/>
              <w:rPr>
                <w:rFonts w:cstheme="minorHAnsi"/>
              </w:rPr>
            </w:pPr>
            <w:r w:rsidRPr="00117750">
              <w:rPr>
                <w:rFonts w:cstheme="minorHAnsi"/>
              </w:rPr>
              <w:t>Royal college physicians (RCP)</w:t>
            </w:r>
          </w:p>
        </w:tc>
      </w:tr>
      <w:tr w:rsidR="00837E18" w14:paraId="24737125" w14:textId="77777777" w:rsidTr="004454AF">
        <w:trPr>
          <w:jc w:val="center"/>
        </w:trPr>
        <w:tc>
          <w:tcPr>
            <w:tcW w:w="6374" w:type="dxa"/>
          </w:tcPr>
          <w:p w14:paraId="5F1E3210" w14:textId="77777777" w:rsidR="006F0C5C" w:rsidRPr="00117750" w:rsidRDefault="001630D4" w:rsidP="003F494F">
            <w:pPr>
              <w:spacing w:after="160" w:line="360" w:lineRule="auto"/>
              <w:rPr>
                <w:rFonts w:cstheme="minorHAnsi"/>
              </w:rPr>
            </w:pPr>
            <w:r w:rsidRPr="00117750">
              <w:rPr>
                <w:rFonts w:cstheme="minorHAnsi"/>
              </w:rPr>
              <w:t>Royal college general practitioners (RCPGP)</w:t>
            </w:r>
          </w:p>
        </w:tc>
      </w:tr>
    </w:tbl>
    <w:p w14:paraId="1CAC309F" w14:textId="0BD71F94" w:rsidR="005E3A5A" w:rsidRDefault="001630D4" w:rsidP="003F494F">
      <w:pPr>
        <w:pStyle w:val="Heading1"/>
        <w:spacing w:line="360" w:lineRule="auto"/>
        <w:rPr>
          <w:rFonts w:asciiTheme="minorHAnsi" w:eastAsia="Times New Roman" w:hAnsiTheme="minorHAnsi" w:cstheme="minorHAnsi"/>
          <w:sz w:val="22"/>
          <w:szCs w:val="22"/>
          <w:shd w:val="clear" w:color="auto" w:fill="FFFFFF"/>
          <w:lang w:eastAsia="en-GB"/>
        </w:rPr>
      </w:pPr>
      <w:r w:rsidRPr="00117750">
        <w:rPr>
          <w:rFonts w:asciiTheme="minorHAnsi" w:eastAsia="Times New Roman" w:hAnsiTheme="minorHAnsi" w:cstheme="minorHAnsi"/>
          <w:sz w:val="22"/>
          <w:szCs w:val="22"/>
          <w:shd w:val="clear" w:color="auto" w:fill="FFFFFF"/>
          <w:lang w:eastAsia="en-GB"/>
        </w:rPr>
        <w:lastRenderedPageBreak/>
        <w:t>References</w:t>
      </w:r>
    </w:p>
    <w:p w14:paraId="3CB41660" w14:textId="74E6F3B4" w:rsidR="00642970" w:rsidRPr="00642970" w:rsidRDefault="001630D4" w:rsidP="00642970">
      <w:pPr>
        <w:pStyle w:val="Bibliography"/>
      </w:pPr>
      <w:r>
        <w:rPr>
          <w:rFonts w:cstheme="minorHAnsi"/>
          <w:sz w:val="22"/>
          <w:szCs w:val="22"/>
        </w:rPr>
        <w:fldChar w:fldCharType="begin"/>
      </w:r>
      <w:r w:rsidR="0019161E">
        <w:rPr>
          <w:rFonts w:cstheme="minorHAnsi"/>
          <w:sz w:val="22"/>
          <w:szCs w:val="22"/>
        </w:rPr>
        <w:instrText xml:space="preserve"> ADDIN ZOTERO_BIBL {"uncited":[],"omitted":[],"custom":[]} CSL_BIBLIOGRAPHY </w:instrText>
      </w:r>
      <w:r>
        <w:rPr>
          <w:rFonts w:cstheme="minorHAnsi"/>
          <w:sz w:val="22"/>
          <w:szCs w:val="22"/>
        </w:rPr>
        <w:fldChar w:fldCharType="separate"/>
      </w:r>
      <w:r w:rsidR="00642970" w:rsidRPr="00642970">
        <w:t>1.</w:t>
      </w:r>
      <w:r w:rsidR="00642970" w:rsidRPr="00642970">
        <w:tab/>
      </w:r>
      <w:r w:rsidR="00642970">
        <w:tab/>
      </w:r>
      <w:r w:rsidR="00642970">
        <w:tab/>
      </w:r>
      <w:r w:rsidR="00642970" w:rsidRPr="00642970">
        <w:t xml:space="preserve">Garrity K, Putnam N, Kamil ES, Massengill S, Khalid M, Srivastava R, et al. Comparing adolescent glomerular disease clinical outcomes to the clinical outcomes in childhood, young adult, and adult-onset glomerular disease in the CureGN database. Pediatr Nephrol Berl Ger. 2025 Jun;40(6):1949–58. </w:t>
      </w:r>
    </w:p>
    <w:p w14:paraId="63CB41C1" w14:textId="116893A0" w:rsidR="00642970" w:rsidRPr="00642970" w:rsidRDefault="00642970" w:rsidP="00642970">
      <w:pPr>
        <w:pStyle w:val="Bibliography"/>
      </w:pPr>
      <w:r w:rsidRPr="00642970">
        <w:t>2.</w:t>
      </w:r>
      <w:r w:rsidRPr="00642970">
        <w:tab/>
      </w:r>
      <w:r>
        <w:tab/>
      </w:r>
      <w:r>
        <w:tab/>
      </w:r>
      <w:r w:rsidRPr="00642970">
        <w:t>The CKiD study: overview and summary of findings related to kidney disease progression - PubMed [Internet]. [cited 2025 Jul 15]. Available from: https://pubmed.ncbi.nlm.nih.gov/32016626/</w:t>
      </w:r>
    </w:p>
    <w:p w14:paraId="07A68400" w14:textId="1D86D0D8" w:rsidR="00642970" w:rsidRPr="00642970" w:rsidRDefault="00642970" w:rsidP="00642970">
      <w:pPr>
        <w:pStyle w:val="Bibliography"/>
      </w:pPr>
      <w:r w:rsidRPr="00642970">
        <w:t>3.</w:t>
      </w:r>
      <w:r w:rsidRPr="00642970">
        <w:tab/>
      </w:r>
      <w:r>
        <w:tab/>
      </w:r>
      <w:r>
        <w:tab/>
      </w:r>
      <w:r w:rsidRPr="00642970">
        <w:t xml:space="preserve">Trautmann A, Vivarelli M, Samuel S, Gipson D, Sinha A, Schaefer F, et al. IPNA clinical practice recommendations for the diagnosis and management of children with steroid-resistant nephrotic syndrome. Pediatr Nephrol Berl Ger. 2020 Aug;35(8):1529–61. </w:t>
      </w:r>
    </w:p>
    <w:p w14:paraId="1A22A348" w14:textId="0AC6812E" w:rsidR="00642970" w:rsidRPr="00642970" w:rsidRDefault="00642970" w:rsidP="00642970">
      <w:pPr>
        <w:pStyle w:val="Bibliography"/>
      </w:pPr>
      <w:r w:rsidRPr="00642970">
        <w:t>4.</w:t>
      </w:r>
      <w:r w:rsidRPr="00642970">
        <w:tab/>
      </w:r>
      <w:r>
        <w:tab/>
      </w:r>
      <w:r>
        <w:tab/>
      </w:r>
      <w:r w:rsidRPr="00642970">
        <w:t xml:space="preserve">Trautmann A, Boyer O, Hodson E, Bagga A, Gipson DS, Samuel S, et al. IPNA clinical practice recommendations for the diagnosis and management of children with steroid-sensitive nephrotic syndrome. Pediatr Nephrol Berl Ger. 2023 Mar;38(3):877–919. </w:t>
      </w:r>
    </w:p>
    <w:p w14:paraId="3DDECC3C" w14:textId="349D70CD" w:rsidR="00642970" w:rsidRPr="00642970" w:rsidRDefault="00642970" w:rsidP="00642970">
      <w:pPr>
        <w:pStyle w:val="Bibliography"/>
      </w:pPr>
      <w:r w:rsidRPr="00642970">
        <w:t>5.</w:t>
      </w:r>
      <w:r w:rsidRPr="00642970">
        <w:tab/>
      </w:r>
      <w:r>
        <w:tab/>
      </w:r>
      <w:r>
        <w:tab/>
      </w:r>
      <w:r w:rsidRPr="00642970">
        <w:t xml:space="preserve">Kidney Disease: Improving Global Outcomes (KDIGO) Glomerular Diseases Work Group. KDIGO 2021 Clinical Practice Guideline for the Management of Glomerular Diseases. Kidney Int. 2021 Oct;100(4S):S1–276. </w:t>
      </w:r>
    </w:p>
    <w:p w14:paraId="274DF3CA" w14:textId="7FC17C61" w:rsidR="00642970" w:rsidRPr="00642970" w:rsidRDefault="00642970" w:rsidP="00642970">
      <w:pPr>
        <w:pStyle w:val="Bibliography"/>
      </w:pPr>
      <w:r w:rsidRPr="00642970">
        <w:t>6.</w:t>
      </w:r>
      <w:r w:rsidRPr="00642970">
        <w:tab/>
      </w:r>
      <w:r>
        <w:tab/>
      </w:r>
      <w:r>
        <w:tab/>
      </w:r>
      <w:r w:rsidRPr="00642970">
        <w:t xml:space="preserve">Kidney Disease: Improving Global Outcomes (KDIGO) Lupus Nephritis Work Group. KDIGO 2024 Clinical Practice Guideline for the management of LUPUS NEPHRITIS. Kidney Int. 2024 Jan;105(1S):S1–69. </w:t>
      </w:r>
    </w:p>
    <w:p w14:paraId="748E45A0" w14:textId="56279975" w:rsidR="00642970" w:rsidRPr="00642970" w:rsidRDefault="00642970" w:rsidP="00642970">
      <w:pPr>
        <w:pStyle w:val="Bibliography"/>
      </w:pPr>
      <w:r w:rsidRPr="00642970">
        <w:t>7.</w:t>
      </w:r>
      <w:r w:rsidRPr="00642970">
        <w:tab/>
      </w:r>
      <w:r>
        <w:tab/>
      </w:r>
      <w:r>
        <w:tab/>
      </w:r>
      <w:r w:rsidRPr="00642970">
        <w:t xml:space="preserve">Kidney Disease: Improving Global Outcomes (KDIGO) ANCA Vasculitis Work Group. KDIGO 2024 Clinical Practice Guideline for the Management of Antineutrophil Cytoplasmic Antibody (ANCA)-Associated Vasculitis. Kidney Int. 2024 Mar;105(3S):S71–116. </w:t>
      </w:r>
    </w:p>
    <w:p w14:paraId="111202A4" w14:textId="460A0FF0" w:rsidR="00642970" w:rsidRPr="00642970" w:rsidRDefault="00642970" w:rsidP="00642970">
      <w:pPr>
        <w:pStyle w:val="Bibliography"/>
      </w:pPr>
      <w:r w:rsidRPr="00642970">
        <w:t>8.</w:t>
      </w:r>
      <w:r w:rsidRPr="00642970">
        <w:tab/>
      </w:r>
      <w:r>
        <w:tab/>
      </w:r>
      <w:r>
        <w:tab/>
      </w:r>
      <w:r w:rsidRPr="00642970">
        <w:t xml:space="preserve">Chung SA, Langford CA, Maz M, Abril A, Gorelik M, Guyatt G, et al. 2021 American College of Rheumatology/Vasculitis Foundation Guideline for the Management of Antineutrophil Cytoplasmic Antibody-Associated Vasculitis. Arthritis Rheumatol Hoboken NJ. 2021 Aug;73(8):1366–83. </w:t>
      </w:r>
    </w:p>
    <w:p w14:paraId="7AFBF643" w14:textId="0C3D674A" w:rsidR="00642970" w:rsidRPr="00642970" w:rsidRDefault="00642970" w:rsidP="00642970">
      <w:pPr>
        <w:pStyle w:val="Bibliography"/>
      </w:pPr>
      <w:r w:rsidRPr="00642970">
        <w:t>9.</w:t>
      </w:r>
      <w:r w:rsidRPr="00642970">
        <w:tab/>
      </w:r>
      <w:r>
        <w:tab/>
      </w:r>
      <w:r>
        <w:tab/>
      </w:r>
      <w:r w:rsidRPr="00642970">
        <w:t xml:space="preserve">Vivarelli M, Samuel S, Coppo R, Barratt J, Bonilla-Felix M, Haffner D, et al. IPNA clinical practice recommendations for the diagnosis and management of children with IgA nephropathy and IgA vasculitis nephritis. Pediatr Nephrol Berl Ger. 2024 Sep 27; </w:t>
      </w:r>
    </w:p>
    <w:p w14:paraId="2F235A62" w14:textId="77777777" w:rsidR="00642970" w:rsidRPr="00642970" w:rsidRDefault="00642970" w:rsidP="00642970">
      <w:pPr>
        <w:pStyle w:val="Bibliography"/>
      </w:pPr>
      <w:r w:rsidRPr="00642970">
        <w:t>10.</w:t>
      </w:r>
      <w:r w:rsidRPr="00642970">
        <w:tab/>
        <w:t xml:space="preserve">Bhatt GC, Patel B, Das RR, Malik S, Bitzan M, Mishra NR. Efficacy and safety of levamisole in childhood nephrotic syndrome: A meta-analysis. Indian J Pharmacol. 2023;55(1):43–52. </w:t>
      </w:r>
    </w:p>
    <w:p w14:paraId="7A4F269B" w14:textId="77777777" w:rsidR="00642970" w:rsidRPr="00642970" w:rsidRDefault="00642970" w:rsidP="00642970">
      <w:pPr>
        <w:pStyle w:val="Bibliography"/>
      </w:pPr>
      <w:r w:rsidRPr="00642970">
        <w:t>11.</w:t>
      </w:r>
      <w:r w:rsidRPr="00642970">
        <w:tab/>
        <w:t xml:space="preserve">Chan EYH, Yu ELM, Angeletti A, Arslan Z, Basu B, Boyer O, et al. Long-Term Efficacy and Safety of Repeated Rituximab to Maintain Remission in Idiopathic Childhood Nephrotic Syndrome: An International Study. J Am Soc Nephrol JASN. 2022 Jun;33(6):1193–207. </w:t>
      </w:r>
    </w:p>
    <w:p w14:paraId="498913AD" w14:textId="77777777" w:rsidR="00642970" w:rsidRPr="00642970" w:rsidRDefault="00642970" w:rsidP="00642970">
      <w:pPr>
        <w:pStyle w:val="Bibliography"/>
      </w:pPr>
      <w:r w:rsidRPr="00642970">
        <w:t>12.</w:t>
      </w:r>
      <w:r w:rsidRPr="00642970">
        <w:tab/>
        <w:t xml:space="preserve">Chen DP, Helmuth ME, Smith AR, Canetta PA, Ayoub I, Mucha K, et al. Age of Onset and Disease Course in Biopsy-Proven Minimal Change Disease: An Analysis From the Cure Glomerulonephropathy Network. Am J Kidney Dis Off J Natl Kidney Found. 2023 Jun;81(6):695-706.e1. </w:t>
      </w:r>
    </w:p>
    <w:p w14:paraId="2AC4A7FE" w14:textId="77777777" w:rsidR="00642970" w:rsidRPr="00642970" w:rsidRDefault="00642970" w:rsidP="00642970">
      <w:pPr>
        <w:pStyle w:val="Bibliography"/>
      </w:pPr>
      <w:r w:rsidRPr="00642970">
        <w:t>13.</w:t>
      </w:r>
      <w:r w:rsidRPr="00642970">
        <w:tab/>
        <w:t xml:space="preserve">Christian MT, Webb NJA, Mehta S, Woolley RL, Afentou N, Frew E, et al. Evaluation of Daily Low-Dose Prednisolone During Upper Respiratory Tract Infection to Prevent Relapse in Children With </w:t>
      </w:r>
      <w:r w:rsidRPr="00642970">
        <w:lastRenderedPageBreak/>
        <w:t xml:space="preserve">Relapsing Steroid-Sensitive Nephrotic Syndrome: The PREDNOS 2 Randomized Clinical Trial. JAMA Pediatr. 2022 Mar 1;176(3):236–43. </w:t>
      </w:r>
    </w:p>
    <w:p w14:paraId="556D9470" w14:textId="77777777" w:rsidR="00642970" w:rsidRPr="00642970" w:rsidRDefault="00642970" w:rsidP="00642970">
      <w:pPr>
        <w:pStyle w:val="Bibliography"/>
      </w:pPr>
      <w:r w:rsidRPr="00642970">
        <w:t>14.</w:t>
      </w:r>
      <w:r w:rsidRPr="00642970">
        <w:tab/>
        <w:t xml:space="preserve">Croitoru A, Balgradean M. Treatment-Associated Side Effects in Patients with Steroid-Dependent Nephrotic Syndrome. Maedica. 2022 Jun;17(2):285–90. </w:t>
      </w:r>
    </w:p>
    <w:p w14:paraId="67E46C5E" w14:textId="77777777" w:rsidR="00642970" w:rsidRPr="00642970" w:rsidRDefault="00642970" w:rsidP="00642970">
      <w:pPr>
        <w:pStyle w:val="Bibliography"/>
      </w:pPr>
      <w:r w:rsidRPr="00642970">
        <w:t>15.</w:t>
      </w:r>
      <w:r w:rsidRPr="00642970">
        <w:tab/>
        <w:t xml:space="preserve">Dossier C, Bonneric S, Baudouin V, Kwon T, Prim B, Cambier A, et al. Obinutuzumab in Frequently Relapsing and Steroid-Dependent Nephrotic Syndrome in Children. Clin J Am Soc Nephrol CJASN. 2023 Dec 1;18(12):1555–62. </w:t>
      </w:r>
    </w:p>
    <w:p w14:paraId="411E50A1" w14:textId="77777777" w:rsidR="00642970" w:rsidRPr="00642970" w:rsidRDefault="00642970" w:rsidP="00642970">
      <w:pPr>
        <w:pStyle w:val="Bibliography"/>
      </w:pPr>
      <w:r w:rsidRPr="00642970">
        <w:t>16.</w:t>
      </w:r>
      <w:r w:rsidRPr="00642970">
        <w:tab/>
        <w:t xml:space="preserve">Guzmán Morais B, Ordóñez Álvarez FÁ, Santos Rodríguez F, Martín Ramos S, Fernández Novo G. Rituximab treatment in pediatric patients with steroid-dependent nephrotic syndrome: A tertiary hospital. An Pediatr. 2022 Feb;96(2):83–90. </w:t>
      </w:r>
    </w:p>
    <w:p w14:paraId="4307FB57" w14:textId="77777777" w:rsidR="00642970" w:rsidRPr="00642970" w:rsidRDefault="00642970" w:rsidP="00642970">
      <w:pPr>
        <w:pStyle w:val="Bibliography"/>
      </w:pPr>
      <w:r w:rsidRPr="00642970">
        <w:t>17.</w:t>
      </w:r>
      <w:r w:rsidRPr="00642970">
        <w:tab/>
        <w:t xml:space="preserve">Iijima K, Sako M, Oba M, Tanaka S, Hamada R, Sakai T, et al. Mycophenolate Mofetil after Rituximab for Childhood-Onset Complicated Frequently-Relapsing or Steroid-Dependent Nephrotic Syndrome. J Am Soc Nephrol JASN. 2022 Feb;33(2):401–19. </w:t>
      </w:r>
    </w:p>
    <w:p w14:paraId="2442240E" w14:textId="77777777" w:rsidR="00642970" w:rsidRPr="00642970" w:rsidRDefault="00642970" w:rsidP="00642970">
      <w:pPr>
        <w:pStyle w:val="Bibliography"/>
      </w:pPr>
      <w:r w:rsidRPr="00642970">
        <w:t>18.</w:t>
      </w:r>
      <w:r w:rsidRPr="00642970">
        <w:tab/>
        <w:t xml:space="preserve">Inoki Y, Nishi K, Sato M, Ogura M, Kamei K. The association between hypogammaglobulinemia severity and infection risk in rituximab-treated patients with childhood-onset idiopathic nephrotic syndrome. Pediatr Nephrol Berl Ger. 2023 Feb;38(2):451–60. </w:t>
      </w:r>
    </w:p>
    <w:p w14:paraId="186DF2B2" w14:textId="77777777" w:rsidR="00642970" w:rsidRPr="00642970" w:rsidRDefault="00642970" w:rsidP="00642970">
      <w:pPr>
        <w:pStyle w:val="Bibliography"/>
      </w:pPr>
      <w:r w:rsidRPr="00642970">
        <w:t>19.</w:t>
      </w:r>
      <w:r w:rsidRPr="00642970">
        <w:tab/>
        <w:t xml:space="preserve">Jamshaid AA, Akhtar N, Adnan A, Perveen S, Chaudhry A, Fatima T. Outcome Of Short And Long Duration Steroid Therapy In Childhood Nephrotic Syndrome In Terms Of Frequency Of Relapse Rate. J Ayub Med Coll Abbottabad JAMC. 2022;34(2):300–3. </w:t>
      </w:r>
    </w:p>
    <w:p w14:paraId="4D0466B0" w14:textId="77777777" w:rsidR="00642970" w:rsidRPr="00642970" w:rsidRDefault="00642970" w:rsidP="00642970">
      <w:pPr>
        <w:pStyle w:val="Bibliography"/>
      </w:pPr>
      <w:r w:rsidRPr="00642970">
        <w:t>20.</w:t>
      </w:r>
      <w:r w:rsidRPr="00642970">
        <w:tab/>
        <w:t xml:space="preserve">Khan T, Akhtar S, Mukherjee D, Basu S, Tse Y, Sinha R. Single- versus Divided-Dose Prednisolone for the First Episode of Nephrotic Syndrome in Children: An Open-Label RCT. Clin J Am Soc Nephrol CJASN. 2023 Oct 1;18(10):1294–9. </w:t>
      </w:r>
    </w:p>
    <w:p w14:paraId="3CE4477A" w14:textId="77777777" w:rsidR="00642970" w:rsidRPr="00642970" w:rsidRDefault="00642970" w:rsidP="00642970">
      <w:pPr>
        <w:pStyle w:val="Bibliography"/>
      </w:pPr>
      <w:r w:rsidRPr="00642970">
        <w:t>21.</w:t>
      </w:r>
      <w:r w:rsidRPr="00642970">
        <w:tab/>
        <w:t xml:space="preserve">Lucchetti L, Gatto A, Gianviti A, Vivarelli M, Emma F, Massella L. Treatment of idiopathic nephrotic syndrome at onset: a comparison between 8- and 12-week regimens in everyday clinical practice. Pediatr Nephrol Berl Ger. 2023 Jul;38(7):2101–6. </w:t>
      </w:r>
    </w:p>
    <w:p w14:paraId="1C96EF7C" w14:textId="77777777" w:rsidR="00642970" w:rsidRPr="00642970" w:rsidRDefault="00642970" w:rsidP="00642970">
      <w:pPr>
        <w:pStyle w:val="Bibliography"/>
      </w:pPr>
      <w:r w:rsidRPr="00642970">
        <w:t>22.</w:t>
      </w:r>
      <w:r w:rsidRPr="00642970">
        <w:tab/>
        <w:t xml:space="preserve">Mantan M, Kansal A, Swarnim S. Effectiveness of a Low Dose Prednisolone Regimen for Treatment of Relapses in Children with Steroid Sensitive Nephrotic Syndrome. Indian J Nephrol. 2022;32(6):588–94. </w:t>
      </w:r>
    </w:p>
    <w:p w14:paraId="656E2B8E" w14:textId="77777777" w:rsidR="00642970" w:rsidRPr="00642970" w:rsidRDefault="00642970" w:rsidP="00642970">
      <w:pPr>
        <w:pStyle w:val="Bibliography"/>
      </w:pPr>
      <w:r w:rsidRPr="00642970">
        <w:t>23.</w:t>
      </w:r>
      <w:r w:rsidRPr="00642970">
        <w:tab/>
        <w:t xml:space="preserve">Mathew G, Sinha A, Ahmed A, Grewal N, Khandelwal P, Hari P, et al. Efficacy of rituximab versus tacrolimus in difficult-to-treat steroid-sensitive nephrotic syndrome: an open-label pilot randomized controlled trial. Pediatr Nephrol Berl Ger. 2022 Dec;37(12):3117–26. </w:t>
      </w:r>
    </w:p>
    <w:p w14:paraId="4E89D9AD" w14:textId="77777777" w:rsidR="00642970" w:rsidRPr="00642970" w:rsidRDefault="00642970" w:rsidP="00642970">
      <w:pPr>
        <w:pStyle w:val="Bibliography"/>
      </w:pPr>
      <w:r w:rsidRPr="00642970">
        <w:t>24.</w:t>
      </w:r>
      <w:r w:rsidRPr="00642970">
        <w:tab/>
        <w:t xml:space="preserve">Mbanefo NR, Uwaezuoke SN, Eneh CI, Odimegwu CL, Chikani UN, Muoneke UV, et al. Can Oral Zinc Supplementation Reduce Relapses in Childhood Steroid-Sensitive Nephrotic Syndrome? A Systematic Review. Int J Nephrol Renov Dis. 2023;16:143–53. </w:t>
      </w:r>
    </w:p>
    <w:p w14:paraId="19709BB0" w14:textId="77777777" w:rsidR="00642970" w:rsidRPr="00642970" w:rsidRDefault="00642970" w:rsidP="00642970">
      <w:pPr>
        <w:pStyle w:val="Bibliography"/>
      </w:pPr>
      <w:r w:rsidRPr="00642970">
        <w:t>25.</w:t>
      </w:r>
      <w:r w:rsidRPr="00642970">
        <w:tab/>
        <w:t xml:space="preserve">Mohammed RA, Hussein SK, Gaber SN, Ahmed  null, Abonaga F, Abdelfattah W, et al. The Role of Prebiotics and Probiotics as an Adjuvant Therapy in Children with Idiopathic Relapsing Nephrotic Syndrome: A Prospective Open-label Clinical Trial. Saudi J Kidney Dis Transplant Off Publ Saudi Cent Organ Transplant Saudi Arab. 2022 Aug;33(Supplement):S169–78. </w:t>
      </w:r>
    </w:p>
    <w:p w14:paraId="1011809D" w14:textId="77777777" w:rsidR="00642970" w:rsidRPr="00642970" w:rsidRDefault="00642970" w:rsidP="00642970">
      <w:pPr>
        <w:pStyle w:val="Bibliography"/>
      </w:pPr>
      <w:r w:rsidRPr="00642970">
        <w:lastRenderedPageBreak/>
        <w:t>26.</w:t>
      </w:r>
      <w:r w:rsidRPr="00642970">
        <w:tab/>
        <w:t xml:space="preserve">Sharma S, Kalra S, Shukla S, Sharma P. Clinical efficacy of mycophenolate mofetil versus levamisole therapy in frequently relapsing and steroid dependent childhood nephrotic syndrome - A retrospective comparative analysis. Nephrol Carlton Vic. 2022 Sep;27(9):758–62. </w:t>
      </w:r>
    </w:p>
    <w:p w14:paraId="0A7FBA11" w14:textId="77777777" w:rsidR="00642970" w:rsidRPr="00642970" w:rsidRDefault="00642970" w:rsidP="00642970">
      <w:pPr>
        <w:pStyle w:val="Bibliography"/>
      </w:pPr>
      <w:r w:rsidRPr="00642970">
        <w:t>27.</w:t>
      </w:r>
      <w:r w:rsidRPr="00642970">
        <w:tab/>
        <w:t xml:space="preserve">Vivarelli M, Colucci M, Gargiulo A, Bettini C, Lo Russo A, Emma F. Belimumab for the treatment of children with frequently relapsing nephrotic syndrome: the BELNEPH study. Pediatr Nephrol Berl Ger. 2022 Feb;37(2):377–83. </w:t>
      </w:r>
    </w:p>
    <w:p w14:paraId="6111C609" w14:textId="77777777" w:rsidR="00642970" w:rsidRPr="00642970" w:rsidRDefault="00642970" w:rsidP="00642970">
      <w:pPr>
        <w:pStyle w:val="Bibliography"/>
      </w:pPr>
      <w:r w:rsidRPr="00642970">
        <w:t>28.</w:t>
      </w:r>
      <w:r w:rsidRPr="00642970">
        <w:tab/>
        <w:t xml:space="preserve">Wang L, Zhu J, Xia M, Hua R, Deng F. Comparison of rituximab, cyclophosphamide, and tacrolimus as first steroid-sparing agents for complicated relapsing/steroid-dependent nephrotic syndrome in children: an evaluation of the health-related quality of life. Arch Med Sci AMS. 2022;18(1):275–8. </w:t>
      </w:r>
    </w:p>
    <w:p w14:paraId="01E73964" w14:textId="77777777" w:rsidR="00642970" w:rsidRPr="00642970" w:rsidRDefault="00642970" w:rsidP="00642970">
      <w:pPr>
        <w:pStyle w:val="Bibliography"/>
      </w:pPr>
      <w:r w:rsidRPr="00642970">
        <w:t>29.</w:t>
      </w:r>
      <w:r w:rsidRPr="00642970">
        <w:tab/>
        <w:t xml:space="preserve">Wang Y, Dang X, Wu X, Li Y, He Q, Li X. Real-word adrenocorticotropic hormone treatment for childhood-onset nephrotic syndrome. Front Pediatr. 2023;11:1044075. </w:t>
      </w:r>
    </w:p>
    <w:p w14:paraId="1E9156F2" w14:textId="77777777" w:rsidR="00642970" w:rsidRPr="00642970" w:rsidRDefault="00642970" w:rsidP="00642970">
      <w:pPr>
        <w:pStyle w:val="Bibliography"/>
      </w:pPr>
      <w:r w:rsidRPr="00642970">
        <w:t>30.</w:t>
      </w:r>
      <w:r w:rsidRPr="00642970">
        <w:tab/>
        <w:t xml:space="preserve">Weerasooriya W a. LK, Abeyagunawardena AS, Thalgahagoda RS. Single vs split dose of prednisolone in the treatment of relapses of childhood nephrotic syndrome. Eur J Pediatr. 2023 Apr;182(4):1741–7. </w:t>
      </w:r>
    </w:p>
    <w:p w14:paraId="48C13C6F" w14:textId="77777777" w:rsidR="00642970" w:rsidRPr="00642970" w:rsidRDefault="00642970" w:rsidP="00642970">
      <w:pPr>
        <w:pStyle w:val="Bibliography"/>
      </w:pPr>
      <w:r w:rsidRPr="00642970">
        <w:t>31.</w:t>
      </w:r>
      <w:r w:rsidRPr="00642970">
        <w:tab/>
        <w:t xml:space="preserve">Zhu Y, Wu L, Wang Y, Zhu YF, Peng Y, Fang SH, et al. [Efficacy and safety of low-dose rituximab in treatment of pediatric nephrotic syndrome: a prospective randomized controlled trial]. Zhongguo Dang Dai Er Ke Za Zhi Chin J Contemp Pediatr. 2023 Jun 15;25(6):606–11. </w:t>
      </w:r>
    </w:p>
    <w:p w14:paraId="383859D9" w14:textId="77777777" w:rsidR="00642970" w:rsidRPr="00642970" w:rsidRDefault="00642970" w:rsidP="00642970">
      <w:pPr>
        <w:pStyle w:val="Bibliography"/>
      </w:pPr>
      <w:r w:rsidRPr="00642970">
        <w:t>32.</w:t>
      </w:r>
      <w:r w:rsidRPr="00642970">
        <w:tab/>
        <w:t xml:space="preserve">Zion E, Borovitz Y, Alfandary H, Haskin O, Levi S, Shoham S, et al. A Clinical Response-Adjusted Steroid Treatment Protocol for Children With Newly Diagnosed Idiopathic Nephrotic Syndrome. Am J Kidney Dis Off J Natl Kidney Found. 2022 Oct;80(4):473-482.e1. </w:t>
      </w:r>
    </w:p>
    <w:p w14:paraId="64DBA668" w14:textId="77777777" w:rsidR="00642970" w:rsidRPr="00642970" w:rsidRDefault="00642970" w:rsidP="00642970">
      <w:pPr>
        <w:pStyle w:val="Bibliography"/>
      </w:pPr>
      <w:r w:rsidRPr="00642970">
        <w:t>33.</w:t>
      </w:r>
      <w:r w:rsidRPr="00642970">
        <w:tab/>
        <w:t xml:space="preserve">Geng HY, Chen CY, Tu J, Li HR, Du PW, Xia H, et al. Clinical effect of different prednisone regimens in the treatment of children with primary nephrotic syndrome and risk factors for recurrence. Zhongguo Dang Dai Er Ke Za Zhi Chin J Contemp Pediatr. 2022 Aug 15;24(8):853–7. </w:t>
      </w:r>
    </w:p>
    <w:p w14:paraId="598BD60C" w14:textId="77777777" w:rsidR="00642970" w:rsidRPr="00642970" w:rsidRDefault="00642970" w:rsidP="00642970">
      <w:pPr>
        <w:pStyle w:val="Bibliography"/>
      </w:pPr>
      <w:r w:rsidRPr="00642970">
        <w:t>34.</w:t>
      </w:r>
      <w:r w:rsidRPr="00642970">
        <w:tab/>
        <w:t xml:space="preserve">Assadi F, Mazaheri M, Sadeghi-Bodj S. Randomized controlled trial to compare safety and efficacy of mycophenolate vs. cyclosporine after rituximab in children with steroid-resistant nephrotic syndrome. Pharmacotherapy. 2022 Sep;42(9):690–6. </w:t>
      </w:r>
    </w:p>
    <w:p w14:paraId="649F6445" w14:textId="77777777" w:rsidR="00642970" w:rsidRPr="00642970" w:rsidRDefault="00642970" w:rsidP="00642970">
      <w:pPr>
        <w:pStyle w:val="Bibliography"/>
      </w:pPr>
      <w:r w:rsidRPr="00642970">
        <w:t>35.</w:t>
      </w:r>
      <w:r w:rsidRPr="00642970">
        <w:tab/>
        <w:t xml:space="preserve">Kashif AW, Ranjan A, Kalra S, Shravani Uttpal D, Malik A. Clinicopathological spectrum and treatment outcome of idiopathic steroid-resistant nephrotic syndrome in children at a tertiary care center. Med J Armed Forces India. 2022 Jul;78(3):291–5. </w:t>
      </w:r>
    </w:p>
    <w:p w14:paraId="51D6AA12" w14:textId="77777777" w:rsidR="00642970" w:rsidRPr="00642970" w:rsidRDefault="00642970" w:rsidP="00642970">
      <w:pPr>
        <w:pStyle w:val="Bibliography"/>
      </w:pPr>
      <w:r w:rsidRPr="00642970">
        <w:t>36.</w:t>
      </w:r>
      <w:r w:rsidRPr="00642970">
        <w:tab/>
        <w:t xml:space="preserve">Mishra OP, Sidar M, Batra VV, Prasad R, Singh A, Abhinay A, et al. Outcomes of children with idiopathic steroid resistant nephrotic syndrome: a single centre observational study. J Bras Nefrol. 2023;45(2):199–209. </w:t>
      </w:r>
    </w:p>
    <w:p w14:paraId="334749CF" w14:textId="77777777" w:rsidR="00642970" w:rsidRPr="00642970" w:rsidRDefault="00642970" w:rsidP="00642970">
      <w:pPr>
        <w:pStyle w:val="Bibliography"/>
      </w:pPr>
      <w:r w:rsidRPr="00642970">
        <w:t>37.</w:t>
      </w:r>
      <w:r w:rsidRPr="00642970">
        <w:tab/>
        <w:t xml:space="preserve">Nozu K, Sako M, Tanaka S, Kano Y, Ohwada Y, Morohashi T, et al. Rituximab in combination with cyclosporine and steroid pulse therapy for childhood-onset multidrug-resistant nephrotic syndrome: a multicenter single-arm clinical trial (JSKDC11 trial). Clin Exp Nephrol. 2024 Apr;28(4):337–48. </w:t>
      </w:r>
    </w:p>
    <w:p w14:paraId="50E758CC" w14:textId="77777777" w:rsidR="00642970" w:rsidRPr="00642970" w:rsidRDefault="00642970" w:rsidP="00642970">
      <w:pPr>
        <w:pStyle w:val="Bibliography"/>
      </w:pPr>
      <w:r w:rsidRPr="00642970">
        <w:t>38.</w:t>
      </w:r>
      <w:r w:rsidRPr="00642970">
        <w:tab/>
        <w:t xml:space="preserve">Tu J, Chen CY, Geng HY, Li HR, Xia H, Lin Y, et al. [Clinical assessment of moderate-dose glucocorticoid in the treatment of recurrence of primary nephrotic syndrome in children: a prospective </w:t>
      </w:r>
      <w:r w:rsidRPr="00642970">
        <w:lastRenderedPageBreak/>
        <w:t xml:space="preserve">randomized controlled trial]. Zhongguo Dang Dai Er Ke Za Zhi Chin J Contemp Pediatr. 2022 May 15;24(5):466–71. </w:t>
      </w:r>
    </w:p>
    <w:p w14:paraId="564678B4" w14:textId="77777777" w:rsidR="00642970" w:rsidRPr="00642970" w:rsidRDefault="00642970" w:rsidP="00642970">
      <w:pPr>
        <w:pStyle w:val="Bibliography"/>
      </w:pPr>
      <w:r w:rsidRPr="00642970">
        <w:t>39.</w:t>
      </w:r>
      <w:r w:rsidRPr="00642970">
        <w:tab/>
        <w:t xml:space="preserve">Avramescu M, Lahoche A, Hogan J, Salomon R, Roussey G, Bacchetta J, et al. To biopsy or not to biopsy: Henoch-Schönlein nephritis in children, a 5-year follow-up study. Pediatr Nephrol Berl Ger. 2022 Jan;37(1):147–52. </w:t>
      </w:r>
    </w:p>
    <w:p w14:paraId="68916F20" w14:textId="77777777" w:rsidR="00642970" w:rsidRPr="00642970" w:rsidRDefault="00642970" w:rsidP="00642970">
      <w:pPr>
        <w:pStyle w:val="Bibliography"/>
      </w:pPr>
      <w:r w:rsidRPr="00642970">
        <w:t>40.</w:t>
      </w:r>
      <w:r w:rsidRPr="00642970">
        <w:tab/>
        <w:t xml:space="preserve">Butzer S, Hennies I, Gimpel C, Gellermann J, Schalk G, König S, et al. Early clinical course of biopsy-proven IgA vasculitis nephritis. BMC Pediatr. 2022 Oct 4;22(1):570. </w:t>
      </w:r>
    </w:p>
    <w:p w14:paraId="2E610162" w14:textId="77777777" w:rsidR="00642970" w:rsidRPr="00642970" w:rsidRDefault="00642970" w:rsidP="00642970">
      <w:pPr>
        <w:pStyle w:val="Bibliography"/>
      </w:pPr>
      <w:r w:rsidRPr="00642970">
        <w:t>41.</w:t>
      </w:r>
      <w:r w:rsidRPr="00642970">
        <w:tab/>
        <w:t xml:space="preserve">Hahn D, Hodson EM, Craig JC. Interventions for preventing and treating kidney disease in IgA vasculitis. Cochrane Database Syst Rev. 2023 Feb 28;2(2):CD005128. </w:t>
      </w:r>
    </w:p>
    <w:p w14:paraId="5A7ECF83" w14:textId="77777777" w:rsidR="00642970" w:rsidRPr="00642970" w:rsidRDefault="00642970" w:rsidP="00642970">
      <w:pPr>
        <w:pStyle w:val="Bibliography"/>
      </w:pPr>
      <w:r w:rsidRPr="00642970">
        <w:t>42.</w:t>
      </w:r>
      <w:r w:rsidRPr="00642970">
        <w:tab/>
        <w:t xml:space="preserve">Kallash M, Vogt BA, Zeid A, Khin E, Najjar M, Aldughiem A, et al. The scope of treatment of pediatric IgA vasculitis nephritis and its outcome: a Pediatric Nephrology Research Consortium study. Pediatr Nephrol Berl Ger. 2022 Nov;37(11):2687–97. </w:t>
      </w:r>
    </w:p>
    <w:p w14:paraId="4DEBB64C" w14:textId="77777777" w:rsidR="00642970" w:rsidRPr="00642970" w:rsidRDefault="00642970" w:rsidP="00642970">
      <w:pPr>
        <w:pStyle w:val="Bibliography"/>
      </w:pPr>
      <w:r w:rsidRPr="00642970">
        <w:t>43.</w:t>
      </w:r>
      <w:r w:rsidRPr="00642970">
        <w:tab/>
        <w:t xml:space="preserve">Mary AL, Clave S, Rousset-Rouviere C, Berard E, Boyer O, Decramer S, et al. Outcome of children with IgA vasculitis with nephritis treated with steroids: a matched controlled study. Pediatr Nephrol Berl Ger. 2023 Oct;38(10):3317–26. </w:t>
      </w:r>
    </w:p>
    <w:p w14:paraId="66BD560D" w14:textId="77777777" w:rsidR="00642970" w:rsidRPr="00642970" w:rsidRDefault="00642970" w:rsidP="00642970">
      <w:pPr>
        <w:pStyle w:val="Bibliography"/>
      </w:pPr>
      <w:r w:rsidRPr="00642970">
        <w:t>44.</w:t>
      </w:r>
      <w:r w:rsidRPr="00642970">
        <w:tab/>
        <w:t xml:space="preserve">Nagai S, Horinouchi T, Ninchoji T, Ichikawa Y, Tanaka Y, Kitakado H, et al. Long-term outcome of combination therapy with corticosteroids, mizoribine and RAS inhibitors as initial therapy for severe childhood IgA vasculitis with nephritis. Pediatr Nephrol Berl Ger. 2023 Dec;38(12):4023–31. </w:t>
      </w:r>
    </w:p>
    <w:p w14:paraId="089B25C4" w14:textId="77777777" w:rsidR="00642970" w:rsidRPr="00642970" w:rsidRDefault="00642970" w:rsidP="00642970">
      <w:pPr>
        <w:pStyle w:val="Bibliography"/>
      </w:pPr>
      <w:r w:rsidRPr="00642970">
        <w:t>45.</w:t>
      </w:r>
      <w:r w:rsidRPr="00642970">
        <w:tab/>
        <w:t xml:space="preserve">Samsonov D, Zolotnitskaya A, Matloff R, Pereira T, Solomon S. Mycophenolate Mofetil for Severe IgA Vasculitis Nephropathy in Children: An Observational Study. Kidney Med. 2022 Oct;4(10):100534. </w:t>
      </w:r>
    </w:p>
    <w:p w14:paraId="4304790A" w14:textId="77777777" w:rsidR="00642970" w:rsidRPr="00642970" w:rsidRDefault="00642970" w:rsidP="00642970">
      <w:pPr>
        <w:pStyle w:val="Bibliography"/>
      </w:pPr>
      <w:r w:rsidRPr="00642970">
        <w:t>46.</w:t>
      </w:r>
      <w:r w:rsidRPr="00642970">
        <w:tab/>
        <w:t xml:space="preserve">Stone HK, Mitsnefes M, Dickinson K, Burrows EK, Razzaghi H, Luna IY, et al. Clinical course and management of children with IgA vasculitis with nephritis. Pediatr Nephrol Berl Ger. 2023 Nov;38(11):3721–33. </w:t>
      </w:r>
    </w:p>
    <w:p w14:paraId="1DA44E40" w14:textId="77777777" w:rsidR="00642970" w:rsidRPr="00642970" w:rsidRDefault="00642970" w:rsidP="00642970">
      <w:pPr>
        <w:pStyle w:val="Bibliography"/>
      </w:pPr>
      <w:r w:rsidRPr="00642970">
        <w:t>47.</w:t>
      </w:r>
      <w:r w:rsidRPr="00642970">
        <w:tab/>
        <w:t xml:space="preserve">Alladin A, Hahn D, Hodson EM, Ravani P, Pfister K, Quinn RR, et al. Immunosuppressive therapy for IgA nephropathy in children. Cochrane Database Syst Rev. 2024 Jun 12;6(6):CD015060. </w:t>
      </w:r>
    </w:p>
    <w:p w14:paraId="435AAA04" w14:textId="77777777" w:rsidR="00642970" w:rsidRPr="00642970" w:rsidRDefault="00642970" w:rsidP="00642970">
      <w:pPr>
        <w:pStyle w:val="Bibliography"/>
      </w:pPr>
      <w:r w:rsidRPr="00642970">
        <w:t>48.</w:t>
      </w:r>
      <w:r w:rsidRPr="00642970">
        <w:tab/>
        <w:t xml:space="preserve">Aoto Y, Ninchoji T, Kaito H, Shima Y, Fujimura J, Kamiyoshi N, et al. Efficacy of combination therapy for childhood complicated focal IgA nephropathy. Clin Exp Nephrol. 2022 Jun;26(6):561–70. </w:t>
      </w:r>
    </w:p>
    <w:p w14:paraId="08394136" w14:textId="77777777" w:rsidR="00642970" w:rsidRPr="00642970" w:rsidRDefault="00642970" w:rsidP="00642970">
      <w:pPr>
        <w:pStyle w:val="Bibliography"/>
      </w:pPr>
      <w:r w:rsidRPr="00642970">
        <w:t>49.</w:t>
      </w:r>
      <w:r w:rsidRPr="00642970">
        <w:tab/>
        <w:t xml:space="preserve">Mao Y, Zhou W, Zhou Z, Zhang C, Shen J, Yin L. Treatment and outcome of IgA nephropathy in children from one single center experience. BMC Pediatr. 2023 Jul 26;23(1):377. </w:t>
      </w:r>
    </w:p>
    <w:p w14:paraId="17875B5C" w14:textId="77777777" w:rsidR="00642970" w:rsidRPr="00642970" w:rsidRDefault="00642970" w:rsidP="00642970">
      <w:pPr>
        <w:pStyle w:val="Bibliography"/>
      </w:pPr>
      <w:r w:rsidRPr="00642970">
        <w:t>50.</w:t>
      </w:r>
      <w:r w:rsidRPr="00642970">
        <w:tab/>
        <w:t xml:space="preserve">Tunnicliffe DJ, Reid S, Craig JC, Samuels JA, Molony DA, Strippoli GF. Non-immunosuppressive treatment for IgA nephropathy. Cochrane Database Syst Rev. 2024 Feb 1;2(2):CD003962. </w:t>
      </w:r>
    </w:p>
    <w:p w14:paraId="3EC88860" w14:textId="77777777" w:rsidR="00642970" w:rsidRPr="00642970" w:rsidRDefault="00642970" w:rsidP="00642970">
      <w:pPr>
        <w:pStyle w:val="Bibliography"/>
      </w:pPr>
      <w:r w:rsidRPr="00642970">
        <w:t>51.</w:t>
      </w:r>
      <w:r w:rsidRPr="00642970">
        <w:tab/>
        <w:t xml:space="preserve">Vaz de Castro PAS, Bitencourt L, Pereira BWS, Lima AQR, Hermida HS, Moreira Neto CR, et al. Efficacy and safety of angiotensin-converting enzyme inhibitors or angiotensin receptor blockers for IgA nephropathy in children. Pediatr Nephrol Berl Ger. 2022 Mar;37(3):499–508. </w:t>
      </w:r>
    </w:p>
    <w:p w14:paraId="2E24AE4E" w14:textId="77777777" w:rsidR="00642970" w:rsidRPr="00642970" w:rsidRDefault="00642970" w:rsidP="00642970">
      <w:pPr>
        <w:pStyle w:val="Bibliography"/>
      </w:pPr>
      <w:r w:rsidRPr="00642970">
        <w:t>52.</w:t>
      </w:r>
      <w:r w:rsidRPr="00642970">
        <w:tab/>
        <w:t>Aziz M, Ehsan A, Mubarak M, Lanewala AA, Hashmi S. Clinicopathologic Features and the Association with Short-Term Outcome of Primary Membranous Nephropathy in Children: A Single-</w:t>
      </w:r>
      <w:r w:rsidRPr="00642970">
        <w:lastRenderedPageBreak/>
        <w:t xml:space="preserve">Center Study from Pakistan. Saudi J Kidney Dis Transplant Off Publ Saudi Cent Organ Transplant Saudi Arab. 2020;31(5):1078–84. </w:t>
      </w:r>
    </w:p>
    <w:p w14:paraId="503FC199" w14:textId="77777777" w:rsidR="00642970" w:rsidRPr="00642970" w:rsidRDefault="00642970" w:rsidP="00642970">
      <w:pPr>
        <w:pStyle w:val="Bibliography"/>
      </w:pPr>
      <w:r w:rsidRPr="00642970">
        <w:t>53.</w:t>
      </w:r>
      <w:r w:rsidRPr="00642970">
        <w:tab/>
        <w:t xml:space="preserve">Chen A, Frank R, Vento S, Crosby V, Chandra M, Gauthier B, et al. Idiopathic membranous nephropathy in pediatric patients: presentation, response to therapy, and long-term outcome. BMC Nephrol. 2007 Aug 6;8:11. </w:t>
      </w:r>
    </w:p>
    <w:p w14:paraId="38F2ED90" w14:textId="77777777" w:rsidR="00642970" w:rsidRPr="00642970" w:rsidRDefault="00642970" w:rsidP="00642970">
      <w:pPr>
        <w:pStyle w:val="Bibliography"/>
      </w:pPr>
      <w:r w:rsidRPr="00642970">
        <w:t>54.</w:t>
      </w:r>
      <w:r w:rsidRPr="00642970">
        <w:tab/>
        <w:t xml:space="preserve">Kumar V, Varma AK, Nada R, Ghosh R, Suri D, Gupta A, et al. Primary membranous nephropathy in adolescence: A prospective study. Nephrol Carlton Vic. 2017 Sep;22(9):678–83. </w:t>
      </w:r>
    </w:p>
    <w:p w14:paraId="5A908521" w14:textId="77777777" w:rsidR="00642970" w:rsidRPr="00642970" w:rsidRDefault="00642970" w:rsidP="00642970">
      <w:pPr>
        <w:pStyle w:val="Bibliography"/>
      </w:pPr>
      <w:r w:rsidRPr="00642970">
        <w:t>55.</w:t>
      </w:r>
      <w:r w:rsidRPr="00642970">
        <w:tab/>
        <w:t xml:space="preserve">O’Shaughnessy MM, Troost JP, Bomback AS, Hladunewich MA, Ashoor IF, Gibson KL, et al. Treatment Patterns Among Adults and Children With Membranous Nephropathy in the Cure Glomerulonephropathy Network (CureGN). Kidney Int Rep. 2019 Dec;4(12):1725–34. </w:t>
      </w:r>
    </w:p>
    <w:p w14:paraId="75501854" w14:textId="77777777" w:rsidR="00642970" w:rsidRPr="00642970" w:rsidRDefault="00642970" w:rsidP="00642970">
      <w:pPr>
        <w:pStyle w:val="Bibliography"/>
      </w:pPr>
      <w:r w:rsidRPr="00642970">
        <w:t>56.</w:t>
      </w:r>
      <w:r w:rsidRPr="00642970">
        <w:tab/>
        <w:t xml:space="preserve">Ramachandran R, Nayak S, Kumar V, Kumar A, Agrawal N, Bansal R, et al. Primary membranous nephropathy in children and adolescents: a single-centre report from South Asia. Pediatr Nephrol Berl Ger. 2021 May;36(5):1217–26. </w:t>
      </w:r>
    </w:p>
    <w:p w14:paraId="1CC24A73" w14:textId="77777777" w:rsidR="00642970" w:rsidRPr="00642970" w:rsidRDefault="00642970" w:rsidP="00642970">
      <w:pPr>
        <w:pStyle w:val="Bibliography"/>
      </w:pPr>
      <w:r w:rsidRPr="00642970">
        <w:t>57.</w:t>
      </w:r>
      <w:r w:rsidRPr="00642970">
        <w:tab/>
        <w:t xml:space="preserve">Basu B, Roy B, Babu BG. Efficacy and safety of rituximab in comparison with common induction therapies in pediatric active lupus nephritis. Pediatr Nephrol Berl Ger. 2017 Jun;32(6):1013–21. </w:t>
      </w:r>
    </w:p>
    <w:p w14:paraId="64AEE1E3" w14:textId="77777777" w:rsidR="00642970" w:rsidRPr="00642970" w:rsidRDefault="00642970" w:rsidP="00642970">
      <w:pPr>
        <w:pStyle w:val="Bibliography"/>
      </w:pPr>
      <w:r w:rsidRPr="00642970">
        <w:t>58.</w:t>
      </w:r>
      <w:r w:rsidRPr="00642970">
        <w:tab/>
        <w:t>D B, D D, P P, R S. Presentation and outcome of pediatric lupus nephritis from a large single centre contemporary cohort in Eastern India. Lupus [Internet]. 2023 Oct [cited 2024 Dec 28];32(12). Available from: https://pubmed.ncbi.nlm.nih.gov/37707867/</w:t>
      </w:r>
    </w:p>
    <w:p w14:paraId="241C9F94" w14:textId="77777777" w:rsidR="00642970" w:rsidRPr="00642970" w:rsidRDefault="00642970" w:rsidP="00642970">
      <w:pPr>
        <w:pStyle w:val="Bibliography"/>
      </w:pPr>
      <w:r w:rsidRPr="00642970">
        <w:t>59.</w:t>
      </w:r>
      <w:r w:rsidRPr="00642970">
        <w:tab/>
        <w:t xml:space="preserve">Boneparth A, Ilowite NT, CARRA Registry Investigators. Comparison of renal response parameters for juvenile membranous plus proliferative lupus nephritis versus isolated proliferative lupus nephritis: a cross-sectional analysis of the CARRA Registry. Lupus. 2014 Aug;23(9):898–904. </w:t>
      </w:r>
    </w:p>
    <w:p w14:paraId="7922A9A2" w14:textId="77777777" w:rsidR="00642970" w:rsidRPr="00642970" w:rsidRDefault="00642970" w:rsidP="00642970">
      <w:pPr>
        <w:pStyle w:val="Bibliography"/>
      </w:pPr>
      <w:r w:rsidRPr="00642970">
        <w:t>60.</w:t>
      </w:r>
      <w:r w:rsidRPr="00642970">
        <w:tab/>
        <w:t xml:space="preserve">Boneparth A, Wenderfer SE, Moorthy LN, Radhakrishna SM, Sagcal-Gironella ACP, von Scheven E, et al. Clinical characteristics of children with membranous lupus nephritis: the Childhood Arthritis and Rheumatology Research Alliance Legacy Registry. Lupus. 2017 Mar;26(3):299–306. </w:t>
      </w:r>
    </w:p>
    <w:p w14:paraId="41D2A6E2" w14:textId="77777777" w:rsidR="00642970" w:rsidRPr="00642970" w:rsidRDefault="00642970" w:rsidP="00642970">
      <w:pPr>
        <w:pStyle w:val="Bibliography"/>
      </w:pPr>
      <w:r w:rsidRPr="00642970">
        <w:t>61.</w:t>
      </w:r>
      <w:r w:rsidRPr="00642970">
        <w:tab/>
        <w:t xml:space="preserve">Boneparth A, Ilowite NT, CARRA Registry Investigators. Comparison of renal response parameters for juvenile membranous plus proliferative lupus nephritis versus isolated proliferative lupus nephritis: a cross-sectional analysis of the CARRA Registry. Lupus. 2014 Aug;23(9):898–904. </w:t>
      </w:r>
    </w:p>
    <w:p w14:paraId="49590FAE" w14:textId="77777777" w:rsidR="00642970" w:rsidRPr="00642970" w:rsidRDefault="00642970" w:rsidP="00642970">
      <w:pPr>
        <w:pStyle w:val="Bibliography"/>
      </w:pPr>
      <w:r w:rsidRPr="00642970">
        <w:t>62.</w:t>
      </w:r>
      <w:r w:rsidRPr="00642970">
        <w:tab/>
        <w:t xml:space="preserve">Boneparth A, Wenderfer SE, Moorthy LN, Radhakrishna SM, Sagcal-Gironella ACP, von Scheven E, et al. Clinical characteristics of children with membranous lupus nephritis: the Childhood Arthritis and Rheumatology Research Alliance Legacy Registry. Lupus. 2017 Mar;26(3):299–306. </w:t>
      </w:r>
    </w:p>
    <w:p w14:paraId="78BB6F68" w14:textId="77777777" w:rsidR="00642970" w:rsidRPr="00642970" w:rsidRDefault="00642970" w:rsidP="00642970">
      <w:pPr>
        <w:pStyle w:val="Bibliography"/>
      </w:pPr>
      <w:r w:rsidRPr="00642970">
        <w:t>63.</w:t>
      </w:r>
      <w:r w:rsidRPr="00642970">
        <w:tab/>
        <w:t xml:space="preserve">Chan EYH, Yap DYH, Wong WHS, Wong SW, Lin KYK, Hui FYW, et al. Renal relapse in children and adolescents with childhood-onset lupus nephritis: a 20-year study. Rheumatol Oxf Engl. 2024 Apr 2;63(4):953–61. </w:t>
      </w:r>
    </w:p>
    <w:p w14:paraId="49ADE9E2" w14:textId="77777777" w:rsidR="00642970" w:rsidRPr="00642970" w:rsidRDefault="00642970" w:rsidP="00642970">
      <w:pPr>
        <w:pStyle w:val="Bibliography"/>
      </w:pPr>
      <w:r w:rsidRPr="00642970">
        <w:t>64.</w:t>
      </w:r>
      <w:r w:rsidRPr="00642970">
        <w:tab/>
        <w:t xml:space="preserve">Cooper JC, Rouster-Stevens K, Wright TB, Hsu JJ, Klein-Gitelman MS, Ardoin SP, et al. Pilot study comparing the childhood arthritis and rheumatology research alliance consensus treatment plans for induction therapy of juvenile proliferative lupus nephritis. Pediatr Rheumatol Online J. 2018 Oct 22;16(1):65. </w:t>
      </w:r>
    </w:p>
    <w:p w14:paraId="2FF25BBE" w14:textId="77777777" w:rsidR="00642970" w:rsidRPr="00642970" w:rsidRDefault="00642970" w:rsidP="00642970">
      <w:pPr>
        <w:pStyle w:val="Bibliography"/>
      </w:pPr>
      <w:r w:rsidRPr="00642970">
        <w:lastRenderedPageBreak/>
        <w:t>65.</w:t>
      </w:r>
      <w:r w:rsidRPr="00642970">
        <w:tab/>
        <w:t xml:space="preserve">Cooper JC, Rouster-Stevens K, Wright TB, Hsu JJ, Klein-Gitelman MS, Ardoin SP, et al. Pilot study comparing the childhood arthritis and rheumatology research alliance consensus treatment plans for induction therapy of juvenile proliferative lupus nephritis. Pediatr Rheumatol Online J. 2018 Oct 22;16(1):65. </w:t>
      </w:r>
    </w:p>
    <w:p w14:paraId="7FB65D4A" w14:textId="77777777" w:rsidR="00642970" w:rsidRPr="00642970" w:rsidRDefault="00642970" w:rsidP="00642970">
      <w:pPr>
        <w:pStyle w:val="Bibliography"/>
      </w:pPr>
      <w:r w:rsidRPr="00642970">
        <w:t>66.</w:t>
      </w:r>
      <w:r w:rsidRPr="00642970">
        <w:tab/>
        <w:t xml:space="preserve">das Chagas Medeiros MM, Bezerra MC, Braga FNHF, da Justa Feijão MRM, Gois ACR, Rebouças VC do R, et al. Clinical and immunological aspects and outcome of a Brazilian cohort of 414 patients with systemic lupus erythematosus (SLE): comparison between childhood-onset, adult-onset, and late-onset SLE. Lupus. 2016 Apr;25(4):355–63. </w:t>
      </w:r>
    </w:p>
    <w:p w14:paraId="1225D4D9" w14:textId="77777777" w:rsidR="00642970" w:rsidRPr="00642970" w:rsidRDefault="00642970" w:rsidP="00642970">
      <w:pPr>
        <w:pStyle w:val="Bibliography"/>
      </w:pPr>
      <w:r w:rsidRPr="00642970">
        <w:t>67.</w:t>
      </w:r>
      <w:r w:rsidRPr="00642970">
        <w:tab/>
        <w:t xml:space="preserve">Gheet FS, Dawoud HES, El-Shahaby WA, Elrifaey SM, Abdelnabi HH. Hydroxychloroquine in children with proliferative lupus nephritis: a randomized clinical trial. Eur J Pediatr. 2023 Apr;182(4):1685–95. </w:t>
      </w:r>
    </w:p>
    <w:p w14:paraId="50635123" w14:textId="77777777" w:rsidR="00642970" w:rsidRPr="00642970" w:rsidRDefault="00642970" w:rsidP="00642970">
      <w:pPr>
        <w:pStyle w:val="Bibliography"/>
      </w:pPr>
      <w:r w:rsidRPr="00642970">
        <w:t>68.</w:t>
      </w:r>
      <w:r w:rsidRPr="00642970">
        <w:tab/>
        <w:t xml:space="preserve">Gu F, Wang D, Zhang H, Feng X, Gilkeson GS, Shi S, et al. Allogeneic mesenchymal stem cell transplantation for lupus nephritis patients refractory to conventional therapy. Clin Rheumatol. 2014 Nov;33(11):1611–9. </w:t>
      </w:r>
    </w:p>
    <w:p w14:paraId="0D2C906C" w14:textId="77777777" w:rsidR="00642970" w:rsidRPr="00642970" w:rsidRDefault="00642970" w:rsidP="00642970">
      <w:pPr>
        <w:pStyle w:val="Bibliography"/>
      </w:pPr>
      <w:r w:rsidRPr="00642970">
        <w:t>69.</w:t>
      </w:r>
      <w:r w:rsidRPr="00642970">
        <w:tab/>
        <w:t xml:space="preserve">Hugle B, Silverman ED, Tyrrell PN, Harvey EA, Hébert D, Benseler SM. Presentation and outcome of paediatric membranous non-proliferative lupus nephritis. Pediatr Nephrol Berl Ger. 2015 Jan;30(1):113–21. </w:t>
      </w:r>
    </w:p>
    <w:p w14:paraId="01AD3782" w14:textId="77777777" w:rsidR="00642970" w:rsidRPr="00642970" w:rsidRDefault="00642970" w:rsidP="00642970">
      <w:pPr>
        <w:pStyle w:val="Bibliography"/>
      </w:pPr>
      <w:r w:rsidRPr="00642970">
        <w:t>70.</w:t>
      </w:r>
      <w:r w:rsidRPr="00642970">
        <w:tab/>
        <w:t xml:space="preserve">Jin SY, Huang DL, Dang XQ, Yi ZW. Lupus glomerulonephritis in 788 Chinese children: a multi-centre clinical and histopathological analysis based on 549 renal biopsies. Paediatr Int Child Health. 2017 Nov;37(4):286–91. </w:t>
      </w:r>
    </w:p>
    <w:p w14:paraId="6D373982" w14:textId="77777777" w:rsidR="00642970" w:rsidRPr="00642970" w:rsidRDefault="00642970" w:rsidP="00642970">
      <w:pPr>
        <w:pStyle w:val="Bibliography"/>
      </w:pPr>
      <w:r w:rsidRPr="00642970">
        <w:t>71.</w:t>
      </w:r>
      <w:r w:rsidRPr="00642970">
        <w:tab/>
        <w:t xml:space="preserve">Kostik M, Kalashnikova E, Rinat R, Isupova E, Gaidar E, Soloviev AA, et al. Rituximab Biosimilar BCD020 Shows Superior Efficacy above Conventional Non-Biologics Treatment in Pediatric Lupus Nephritis: The Data of Retrospective Cohort Study. Biomedicines. 2023 May 22;11(5):1503. </w:t>
      </w:r>
    </w:p>
    <w:p w14:paraId="7AA634C6" w14:textId="77777777" w:rsidR="00642970" w:rsidRPr="00642970" w:rsidRDefault="00642970" w:rsidP="00642970">
      <w:pPr>
        <w:pStyle w:val="Bibliography"/>
      </w:pPr>
      <w:r w:rsidRPr="00642970">
        <w:t>72.</w:t>
      </w:r>
      <w:r w:rsidRPr="00642970">
        <w:tab/>
        <w:t xml:space="preserve">Lewandowski LB, Schanberg LE, Thielman N, Phuti A, Kalla AA, Okpechi I, et al. Severe disease presentation and poor outcomes among pediatric systemic lupus erythematosus patients in South Africa. Lupus. 2017 Feb;26(2):186–94. </w:t>
      </w:r>
    </w:p>
    <w:p w14:paraId="55438D22" w14:textId="77777777" w:rsidR="00642970" w:rsidRPr="00642970" w:rsidRDefault="00642970" w:rsidP="00642970">
      <w:pPr>
        <w:pStyle w:val="Bibliography"/>
      </w:pPr>
      <w:r w:rsidRPr="00642970">
        <w:t>73.</w:t>
      </w:r>
      <w:r w:rsidRPr="00642970">
        <w:tab/>
        <w:t xml:space="preserve">Ly E, Thein H, Lam Po Tang M. Retrospective review of lupus nephritis in a New Zealand multi-ethnic cohort. Lupus. 2017 Jul;26(8):893–7. </w:t>
      </w:r>
    </w:p>
    <w:p w14:paraId="1B8A3F46" w14:textId="77777777" w:rsidR="00642970" w:rsidRPr="00642970" w:rsidRDefault="00642970" w:rsidP="00642970">
      <w:pPr>
        <w:pStyle w:val="Bibliography"/>
      </w:pPr>
      <w:r w:rsidRPr="00642970">
        <w:t>74.</w:t>
      </w:r>
      <w:r w:rsidRPr="00642970">
        <w:tab/>
        <w:t xml:space="preserve">Miettunen PM, Pistorio A, Palmisani E, Ravelli A, Silverman E, Oliveira S, et al. Therapeutic approaches for the treatment of renal disease in juvenile systemic lupus erythematosus: an international multicentre PRINTO study. Ann Rheum Dis. 2013 Sep 1;72(9):1503–9. </w:t>
      </w:r>
    </w:p>
    <w:p w14:paraId="21AA25D1" w14:textId="77777777" w:rsidR="00642970" w:rsidRPr="00642970" w:rsidRDefault="00642970" w:rsidP="00642970">
      <w:pPr>
        <w:pStyle w:val="Bibliography"/>
      </w:pPr>
      <w:r w:rsidRPr="00642970">
        <w:t>75.</w:t>
      </w:r>
      <w:r w:rsidRPr="00642970">
        <w:tab/>
        <w:t xml:space="preserve">Ruggiero B, Vivarelli M, Gianviti A, Benetti E, Peruzzi L, Barbano G, et al. Lupus nephritis in children and adolescents: results of the Italian Collaborative Study. Nephrol Dial Transplant Off Publ Eur Dial Transpl Assoc - Eur Ren Assoc. 2013 Jun;28(6):1487–96. </w:t>
      </w:r>
    </w:p>
    <w:p w14:paraId="17797E0C" w14:textId="77777777" w:rsidR="00642970" w:rsidRPr="00642970" w:rsidRDefault="00642970" w:rsidP="00642970">
      <w:pPr>
        <w:pStyle w:val="Bibliography"/>
      </w:pPr>
      <w:r w:rsidRPr="00642970">
        <w:t>76.</w:t>
      </w:r>
      <w:r w:rsidRPr="00642970">
        <w:tab/>
        <w:t xml:space="preserve">Sakamoto AP, Silva CA, Pita AC, Trindade VC, Islabao AG, Fiorot FJ, et al. Risk factors for mortality in 1528 Brazilian childhood-onset systemic lupus erythematosus patients. Lupus. 2023 May;32(6):781–90. </w:t>
      </w:r>
    </w:p>
    <w:p w14:paraId="2AE551E6" w14:textId="77777777" w:rsidR="00642970" w:rsidRPr="00642970" w:rsidRDefault="00642970" w:rsidP="00642970">
      <w:pPr>
        <w:pStyle w:val="Bibliography"/>
      </w:pPr>
      <w:r w:rsidRPr="00642970">
        <w:t>77.</w:t>
      </w:r>
      <w:r w:rsidRPr="00642970">
        <w:tab/>
        <w:t xml:space="preserve">Smith E, Al-Abadi E, Armon K, Bailey K, Ciurtin C, Davidson J, et al. Outcomes following mycophenolate mofetil versus cyclophosphamide induction treatment for proliferative juvenile-onset lupus nephritis. Lupus. 2019 Apr;28(5):613–20. </w:t>
      </w:r>
    </w:p>
    <w:p w14:paraId="3A83BF98" w14:textId="77777777" w:rsidR="00642970" w:rsidRPr="00642970" w:rsidRDefault="00642970" w:rsidP="00642970">
      <w:pPr>
        <w:pStyle w:val="Bibliography"/>
      </w:pPr>
      <w:r w:rsidRPr="00642970">
        <w:lastRenderedPageBreak/>
        <w:t>78.</w:t>
      </w:r>
      <w:r w:rsidRPr="00642970">
        <w:tab/>
        <w:t xml:space="preserve">Stohl W, Kwok A. Belimumab for the treatment of pediatric patients with lupus nephritis. Expert Opin Biol Ther. 2023 Mar;23(3):243–51. </w:t>
      </w:r>
    </w:p>
    <w:p w14:paraId="6B59F84B" w14:textId="77777777" w:rsidR="00642970" w:rsidRPr="00642970" w:rsidRDefault="00642970" w:rsidP="00642970">
      <w:pPr>
        <w:pStyle w:val="Bibliography"/>
      </w:pPr>
      <w:r w:rsidRPr="00642970">
        <w:t>79.</w:t>
      </w:r>
      <w:r w:rsidRPr="00642970">
        <w:tab/>
        <w:t xml:space="preserve">Sun L, Shen Q, Gong Y, Li Y, Lv Q, Liu H, et al. Safety and efficacy of telitacicept in refractory childhood-onset systemic lupus erythematosus: A self-controlled before-after trial. Lupus. 2022 Jul;31(8):998–1006. </w:t>
      </w:r>
    </w:p>
    <w:p w14:paraId="7597396C" w14:textId="77777777" w:rsidR="00642970" w:rsidRPr="00642970" w:rsidRDefault="00642970" w:rsidP="00642970">
      <w:pPr>
        <w:pStyle w:val="Bibliography"/>
      </w:pPr>
      <w:r w:rsidRPr="00642970">
        <w:t>80.</w:t>
      </w:r>
      <w:r w:rsidRPr="00642970">
        <w:tab/>
        <w:t xml:space="preserve">Tanaka H, Aizawa T, Watanabe S, Oki E, Tsuruga K, Imaizumi T. Efficacy of mizoribine-tacrolimus-based induction therapy for pediatric lupus nephritis. Lupus. 2014 Jul;23(8):813–8. </w:t>
      </w:r>
    </w:p>
    <w:p w14:paraId="4582DEE4" w14:textId="77777777" w:rsidR="00642970" w:rsidRPr="00642970" w:rsidRDefault="00642970" w:rsidP="00642970">
      <w:pPr>
        <w:pStyle w:val="Bibliography"/>
      </w:pPr>
      <w:r w:rsidRPr="00642970">
        <w:t>81.</w:t>
      </w:r>
      <w:r w:rsidRPr="00642970">
        <w:tab/>
        <w:t xml:space="preserve">Tanaka H, Aizawa T, Watanabe S, Oki E, Tsuruga K, Imaizumi T. Efficacy of mizoribine-tacrolimus-based induction therapy for pediatric lupus nephritis. Lupus. 2014 Jul;23(8):813–8. </w:t>
      </w:r>
    </w:p>
    <w:p w14:paraId="48ADB801" w14:textId="77777777" w:rsidR="00642970" w:rsidRPr="00642970" w:rsidRDefault="00642970" w:rsidP="00642970">
      <w:pPr>
        <w:pStyle w:val="Bibliography"/>
      </w:pPr>
      <w:r w:rsidRPr="00642970">
        <w:t>82.</w:t>
      </w:r>
      <w:r w:rsidRPr="00642970">
        <w:tab/>
        <w:t xml:space="preserve">Tian SY, Silverman ED, Pullenayegum E, Brown PE, Beyene J, Feldman BM. Comparative Effectiveness of Mycophenolate Mofetil for the Treatment of Juvenile-Onset Proliferative Lupus Nephritis. Arthritis Care Res. 2017 Dec;69(12):1887–94. </w:t>
      </w:r>
    </w:p>
    <w:p w14:paraId="4B78DCC6" w14:textId="77777777" w:rsidR="00642970" w:rsidRPr="00642970" w:rsidRDefault="00642970" w:rsidP="00642970">
      <w:pPr>
        <w:pStyle w:val="Bibliography"/>
      </w:pPr>
      <w:r w:rsidRPr="00642970">
        <w:t>83.</w:t>
      </w:r>
      <w:r w:rsidRPr="00642970">
        <w:tab/>
        <w:t xml:space="preserve">Tian SY, Feldman BM, Beyene J, Brown PE, Uleryk EM, Silverman ED. Immunosuppressive Therapies for the Maintenance Treatment of Proliferative Lupus Nephritis: A Systematic Review and Network Metaanalysis. J Rheumatol. 2015 Aug;42(8):1392–400. </w:t>
      </w:r>
    </w:p>
    <w:p w14:paraId="76BA6CAC" w14:textId="77777777" w:rsidR="00642970" w:rsidRPr="00642970" w:rsidRDefault="00642970" w:rsidP="00642970">
      <w:pPr>
        <w:pStyle w:val="Bibliography"/>
      </w:pPr>
      <w:r w:rsidRPr="00642970">
        <w:t>84.</w:t>
      </w:r>
      <w:r w:rsidRPr="00642970">
        <w:tab/>
        <w:t xml:space="preserve">Tunnicliffe DJ, Singh-Grewal D, Kim S, Craig JC, Tong A. Diagnosis, Monitoring, and Treatment of Systemic Lupus Erythematosus: A Systematic Review of Clinical Practice Guidelines. Arthritis Care Res. 2015 Oct;67(10):1440–52. </w:t>
      </w:r>
    </w:p>
    <w:p w14:paraId="68E7ED08" w14:textId="77777777" w:rsidR="00642970" w:rsidRPr="00642970" w:rsidRDefault="00642970" w:rsidP="00642970">
      <w:pPr>
        <w:pStyle w:val="Bibliography"/>
      </w:pPr>
      <w:r w:rsidRPr="00642970">
        <w:t>85.</w:t>
      </w:r>
      <w:r w:rsidRPr="00642970">
        <w:tab/>
        <w:t xml:space="preserve">Tunnicliffe DJ, Palmer SC. Immunosuppressive Treatment for Proliferative Lupus Nephritis: Summary of a Cochrane Review. Am J Kidney Dis Off J Natl Kidney Found. 2018 Nov;72(5):756–7. </w:t>
      </w:r>
    </w:p>
    <w:p w14:paraId="247D30FD" w14:textId="77777777" w:rsidR="00642970" w:rsidRPr="00642970" w:rsidRDefault="00642970" w:rsidP="00642970">
      <w:pPr>
        <w:pStyle w:val="Bibliography"/>
      </w:pPr>
      <w:r w:rsidRPr="00642970">
        <w:t>86.</w:t>
      </w:r>
      <w:r w:rsidRPr="00642970">
        <w:tab/>
        <w:t xml:space="preserve">Basu B, Mahapatra TKS, Mondal N. Favourable renal survival in paediatric microscopic polyangiitis: efficacy of a novel treatment algorithm. Nephrol Dial Transplant Off Publ Eur Dial Transpl Assoc - Eur Ren Assoc. 2015 Apr;30 Suppl 1:i113-118. </w:t>
      </w:r>
    </w:p>
    <w:p w14:paraId="71CD0EA8" w14:textId="77777777" w:rsidR="00642970" w:rsidRPr="00642970" w:rsidRDefault="00642970" w:rsidP="00642970">
      <w:pPr>
        <w:pStyle w:val="Bibliography"/>
      </w:pPr>
      <w:r w:rsidRPr="00642970">
        <w:t>87.</w:t>
      </w:r>
      <w:r w:rsidRPr="00642970">
        <w:tab/>
        <w:t xml:space="preserve">Calatroni M, Consonni F, Allinovi M, Bettiol A, Jawa N, Fiasella S, et al. Prognostic Factors and Long-Term Outcome with ANCA-Associated Kidney Vasculitis in Childhood. Clin J Am Soc Nephrol CJASN. 2021 Jul;16(7):1043–51. </w:t>
      </w:r>
    </w:p>
    <w:p w14:paraId="62B83E70" w14:textId="77777777" w:rsidR="00642970" w:rsidRPr="00642970" w:rsidRDefault="00642970" w:rsidP="00642970">
      <w:pPr>
        <w:pStyle w:val="Bibliography"/>
      </w:pPr>
      <w:r w:rsidRPr="00642970">
        <w:t>88.</w:t>
      </w:r>
      <w:r w:rsidRPr="00642970">
        <w:tab/>
        <w:t xml:space="preserve">Charnaya O, Kruglyakova J, Jacob B, Arend LJ. Clinicopathological characteristics of pediatric ANCA-associated glomerulonephritis. Pediatr Nephrol Berl Ger. 2024 Oct;39(10):2947–57. </w:t>
      </w:r>
    </w:p>
    <w:p w14:paraId="51402ED2" w14:textId="77777777" w:rsidR="00642970" w:rsidRPr="00642970" w:rsidRDefault="00642970" w:rsidP="00642970">
      <w:pPr>
        <w:pStyle w:val="Bibliography"/>
      </w:pPr>
      <w:r w:rsidRPr="00642970">
        <w:t>89.</w:t>
      </w:r>
      <w:r w:rsidRPr="00642970">
        <w:tab/>
        <w:t xml:space="preserve">Chen A, Mammen C, Guzman J, Al-Abadi E, Benseler SM, Berard RA, et al. Wide variation in glucocorticoid dosing in paediatric ANCA-associated vasculitis with renal disease: a paediatric vasculitis initiative study. Clin Exp Rheumatol. 2022 May;40(4):841–8. </w:t>
      </w:r>
    </w:p>
    <w:p w14:paraId="265109DA" w14:textId="77777777" w:rsidR="00642970" w:rsidRPr="00642970" w:rsidRDefault="00642970" w:rsidP="00642970">
      <w:pPr>
        <w:pStyle w:val="Bibliography"/>
      </w:pPr>
      <w:r w:rsidRPr="00642970">
        <w:t>90.</w:t>
      </w:r>
      <w:r w:rsidRPr="00642970">
        <w:tab/>
        <w:t xml:space="preserve">Iudici M, Quartier P, Terrier B, Mouthon L, Guillevin L, Puéchal X. Childhood-onset granulomatosis with polyangiitis and microscopic polyangiitis: systematic review and meta-analysis. Orphanet J Rare Dis. 2016 Oct 22;11(1):141. </w:t>
      </w:r>
    </w:p>
    <w:p w14:paraId="0DF3C8B0" w14:textId="77777777" w:rsidR="00642970" w:rsidRPr="00642970" w:rsidRDefault="00642970" w:rsidP="00642970">
      <w:pPr>
        <w:pStyle w:val="Bibliography"/>
      </w:pPr>
      <w:r w:rsidRPr="00642970">
        <w:t>91.</w:t>
      </w:r>
      <w:r w:rsidRPr="00642970">
        <w:tab/>
        <w:t xml:space="preserve">James KE, Xiao R, Merkel PA, Weiss PF. Variation in the Treatment of Children Hospitalized With Antineutrophil Cytoplasmic Antibody-Associated Vasculitis in the US. Arthritis Care Res. 2017 Sep;69(9):1377–83. </w:t>
      </w:r>
    </w:p>
    <w:p w14:paraId="5C66CF45" w14:textId="77777777" w:rsidR="00642970" w:rsidRPr="00642970" w:rsidRDefault="00642970" w:rsidP="00642970">
      <w:pPr>
        <w:pStyle w:val="Bibliography"/>
      </w:pPr>
      <w:r w:rsidRPr="00642970">
        <w:lastRenderedPageBreak/>
        <w:t>92.</w:t>
      </w:r>
      <w:r w:rsidRPr="00642970">
        <w:tab/>
        <w:t xml:space="preserve">Mahi SL, Bahram S, Harambat J, Allard L, Merlin E, Belot A, et al. Pediatric ANCA vasculitis: clinical presentation, treatment, and outcomes in a French retrospective study. Pediatr Nephrol Berl Ger. 2023 Aug;38(8):2649–58. </w:t>
      </w:r>
    </w:p>
    <w:p w14:paraId="6F2A60E8" w14:textId="77777777" w:rsidR="00642970" w:rsidRPr="00642970" w:rsidRDefault="00642970" w:rsidP="00642970">
      <w:pPr>
        <w:pStyle w:val="Bibliography"/>
      </w:pPr>
      <w:r w:rsidRPr="00642970">
        <w:t>93.</w:t>
      </w:r>
      <w:r w:rsidRPr="00642970">
        <w:tab/>
        <w:t xml:space="preserve">Meng T, Shen C, Tang R, Lin W, Ooi JD, Eggenhuizen PJ, et al. Clinical features and outcomes of anti-neutrophil cytoplasmic autoantibody-associated vasculitis in Chinese childhood-onset patients. Clin Exp Med. 2022 Aug;22(3):447–53. </w:t>
      </w:r>
    </w:p>
    <w:p w14:paraId="47D49220" w14:textId="77777777" w:rsidR="00642970" w:rsidRPr="00642970" w:rsidRDefault="00642970" w:rsidP="00642970">
      <w:pPr>
        <w:pStyle w:val="Bibliography"/>
      </w:pPr>
      <w:r w:rsidRPr="00642970">
        <w:t>94.</w:t>
      </w:r>
      <w:r w:rsidRPr="00642970">
        <w:tab/>
        <w:t xml:space="preserve">Morishita KA, Moorthy LN, Lubieniecka JM, Twilt M, Yeung RSM, Toth MB, et al. Early Outcomes in Children With Antineutrophil Cytoplasmic Antibody-Associated Vasculitis. Arthritis Rheumatol Hoboken NJ. 2017 Jul;69(7):1470–9. </w:t>
      </w:r>
    </w:p>
    <w:p w14:paraId="40F6BA67" w14:textId="77777777" w:rsidR="00642970" w:rsidRPr="00642970" w:rsidRDefault="00642970" w:rsidP="00642970">
      <w:pPr>
        <w:pStyle w:val="Bibliography"/>
      </w:pPr>
      <w:r w:rsidRPr="00642970">
        <w:t>95.</w:t>
      </w:r>
      <w:r w:rsidRPr="00642970">
        <w:tab/>
        <w:t xml:space="preserve">Morishita KA, Wagner-Weiner L, Yen EY, Sivaraman V, James KE, Gerstbacher D, et al. Consensus Treatment Plans for Severe Pediatric Antineutrophil Cytoplasmic Antibody-Associated Vasculitis. Arthritis Care Res. 2022 Sep;74(9):1550–8. </w:t>
      </w:r>
    </w:p>
    <w:p w14:paraId="5459E705" w14:textId="77777777" w:rsidR="00642970" w:rsidRPr="00642970" w:rsidRDefault="00642970" w:rsidP="00642970">
      <w:pPr>
        <w:pStyle w:val="Bibliography"/>
      </w:pPr>
      <w:r w:rsidRPr="00642970">
        <w:t>96.</w:t>
      </w:r>
      <w:r w:rsidRPr="00642970">
        <w:tab/>
        <w:t xml:space="preserve">Sacri AS, Chambaraud T, Ranchin B, Florkin B, Sée H, Decramer S, et al. Clinical characteristics and outcomes of childhood-onset ANCA-associated vasculitis: a French nationwide study. Nephrol Dial Transplant Off Publ Eur Dial Transpl Assoc - Eur Ren Assoc. 2015 Apr;30 Suppl 1:i104-112. </w:t>
      </w:r>
    </w:p>
    <w:p w14:paraId="18009059" w14:textId="77777777" w:rsidR="00642970" w:rsidRPr="00642970" w:rsidRDefault="00642970" w:rsidP="00642970">
      <w:pPr>
        <w:pStyle w:val="Bibliography"/>
      </w:pPr>
      <w:r w:rsidRPr="00642970">
        <w:t>97.</w:t>
      </w:r>
      <w:r w:rsidRPr="00642970">
        <w:tab/>
        <w:t xml:space="preserve">Singh D, Sukumaran S. Childhood-Onset ANCA- Associated Vasculitis: single center experience from Central California. Pediatr Rheumatol Online J. 2023 Jul 3;21(1):66. </w:t>
      </w:r>
    </w:p>
    <w:p w14:paraId="68AE5E87" w14:textId="77777777" w:rsidR="00642970" w:rsidRPr="00642970" w:rsidRDefault="00642970" w:rsidP="00642970">
      <w:pPr>
        <w:pStyle w:val="Bibliography"/>
      </w:pPr>
      <w:r w:rsidRPr="00642970">
        <w:t>98.</w:t>
      </w:r>
      <w:r w:rsidRPr="00642970">
        <w:tab/>
        <w:t xml:space="preserve">Yang J, Yang Y, Xu Y, Zhou L, Zhou L, Yin X, et al. Clinical and Renal Histology Findings and Different Responses to Induction Treatment Affecting the Long-Term Renal Outcomes of Children With ANCA-Associated Vasculitis: a Single-Center Cohort Analysis. Front Immunol. 2022;13:857813. </w:t>
      </w:r>
    </w:p>
    <w:p w14:paraId="046D43BA" w14:textId="77777777" w:rsidR="00642970" w:rsidRPr="00642970" w:rsidRDefault="00642970" w:rsidP="00642970">
      <w:pPr>
        <w:pStyle w:val="Bibliography"/>
      </w:pPr>
      <w:r w:rsidRPr="00642970">
        <w:t>99.</w:t>
      </w:r>
      <w:r w:rsidRPr="00642970">
        <w:tab/>
        <w:t xml:space="preserve">Menzi CP, Bucher BS, Bianchetti MG, Ardissino G, Simonetti GD. Management and outcomes of childhood Goodpasture’s disease. Pediatr Res. 2018 Apr;83(4):813–7. </w:t>
      </w:r>
    </w:p>
    <w:p w14:paraId="6ECBF283" w14:textId="77777777" w:rsidR="00642970" w:rsidRPr="00642970" w:rsidRDefault="00642970" w:rsidP="00642970">
      <w:pPr>
        <w:pStyle w:val="Bibliography"/>
      </w:pPr>
      <w:r w:rsidRPr="00642970">
        <w:t>100.</w:t>
      </w:r>
      <w:r w:rsidRPr="00642970">
        <w:tab/>
        <w:t xml:space="preserve">Nicolas C, Vuiblet V, Baudouin V, Macher MA, Vrillon I, Biebuyck-Gouge N, et al. C3 nephritic factor associated with C3 glomerulopathy in children. Pediatr Nephrol Berl Ger. 2014 Jan;29(1):85–94. </w:t>
      </w:r>
    </w:p>
    <w:p w14:paraId="2123716B" w14:textId="77777777" w:rsidR="00642970" w:rsidRPr="00642970" w:rsidRDefault="00642970" w:rsidP="00642970">
      <w:pPr>
        <w:pStyle w:val="Bibliography"/>
      </w:pPr>
      <w:r w:rsidRPr="00642970">
        <w:t>101.</w:t>
      </w:r>
      <w:r w:rsidRPr="00642970">
        <w:tab/>
        <w:t xml:space="preserve">Wong EKS, Marchbank KJ, Lomax-Browne H, Pappworth IY, Denton H, Cooke K, et al. C3 Glomerulopathy and Related Disorders in Children: Etiology-Phenotype Correlation and Outcomes. Clin J Am Soc Nephrol CJASN. 2021 Nov;16(11):1639–51. </w:t>
      </w:r>
    </w:p>
    <w:p w14:paraId="67C2EA03" w14:textId="77777777" w:rsidR="00642970" w:rsidRPr="00642970" w:rsidRDefault="00642970" w:rsidP="00642970">
      <w:pPr>
        <w:pStyle w:val="Bibliography"/>
      </w:pPr>
      <w:r w:rsidRPr="00642970">
        <w:t>102.</w:t>
      </w:r>
      <w:r w:rsidRPr="00642970">
        <w:tab/>
        <w:t xml:space="preserve">Zahir Z, Wani AS, Gupta A, Agrawal V. Pediatric C3 glomerulopathy: a 12-year single-center experience. Pediatr Nephrol Berl Ger. 2021 Mar;36(3):601–10. </w:t>
      </w:r>
    </w:p>
    <w:p w14:paraId="3B98749E" w14:textId="77777777" w:rsidR="00642970" w:rsidRPr="00642970" w:rsidRDefault="00642970" w:rsidP="00642970">
      <w:pPr>
        <w:pStyle w:val="Bibliography"/>
      </w:pPr>
      <w:r w:rsidRPr="00642970">
        <w:t>103.</w:t>
      </w:r>
      <w:r w:rsidRPr="00642970">
        <w:tab/>
        <w:t xml:space="preserve">Çaltik Yilmaz A, Aydog Ö, Akyüz SG, Bülbül M, Demircin G, Öner A. The relation between treatment and prognosis of childhood membranoproliferative glomerulonephritis. Ren Fail. 2014 Sep;36(8):1221–5. </w:t>
      </w:r>
    </w:p>
    <w:p w14:paraId="62BEB114" w14:textId="77777777" w:rsidR="00642970" w:rsidRPr="00642970" w:rsidRDefault="00642970" w:rsidP="00642970">
      <w:pPr>
        <w:pStyle w:val="Bibliography"/>
      </w:pPr>
      <w:r w:rsidRPr="00642970">
        <w:t>104.</w:t>
      </w:r>
      <w:r w:rsidRPr="00642970">
        <w:tab/>
        <w:t xml:space="preserve">Pınarbaşı AS, Dursun I, Gokce I, Çomak E, Saygılı S, Bayram MT, et al. Predictors of poor kidney outcome in children with C3 glomerulopathy. Pediatr Nephrol Berl Ger. 2021 May;36(5):1195–205. </w:t>
      </w:r>
    </w:p>
    <w:p w14:paraId="489C4ABF" w14:textId="77777777" w:rsidR="00642970" w:rsidRPr="00642970" w:rsidRDefault="00642970" w:rsidP="00642970">
      <w:pPr>
        <w:pStyle w:val="Bibliography"/>
      </w:pPr>
      <w:r w:rsidRPr="00642970">
        <w:t>105.</w:t>
      </w:r>
      <w:r w:rsidRPr="00642970">
        <w:tab/>
        <w:t xml:space="preserve">Nicolas C, Vuiblet V, Baudouin V, Macher MA, Vrillon I, Biebuyck-Gouge N, et al. C3 nephritic factor associated with C3 glomerulopathy in children. Pediatr Nephrol Berl Ger. 2014 Jan;29(1):85–94. </w:t>
      </w:r>
    </w:p>
    <w:p w14:paraId="2EEC4C3E" w14:textId="77777777" w:rsidR="00642970" w:rsidRPr="00642970" w:rsidRDefault="00642970" w:rsidP="00642970">
      <w:pPr>
        <w:pStyle w:val="Bibliography"/>
      </w:pPr>
      <w:r w:rsidRPr="00642970">
        <w:lastRenderedPageBreak/>
        <w:t>106.</w:t>
      </w:r>
      <w:r w:rsidRPr="00642970">
        <w:tab/>
        <w:t xml:space="preserve">Holle J, Berenberg-Goßler L, Wu K, Beringer O, Kropp F, Müller D, et al. Outcome of membranoproliferative glomerulonephritis and C3-glomerulopathy in children and adolescents. Pediatr Nephrol Berl Ger. 2018 Dec;33(12):2289–98. </w:t>
      </w:r>
    </w:p>
    <w:p w14:paraId="3A35AB9C" w14:textId="77777777" w:rsidR="00642970" w:rsidRPr="00642970" w:rsidRDefault="00642970" w:rsidP="00642970">
      <w:pPr>
        <w:pStyle w:val="Bibliography"/>
      </w:pPr>
      <w:r w:rsidRPr="00642970">
        <w:t>107.</w:t>
      </w:r>
      <w:r w:rsidRPr="00642970">
        <w:tab/>
        <w:t xml:space="preserve">Zahir Z, Wani AS, Gupta A, Agrawal V. Pediatric C3 glomerulopathy: a 12-year single-center experience. Pediatr Nephrol Berl Ger. 2021 Mar;36(3):601–10. </w:t>
      </w:r>
    </w:p>
    <w:p w14:paraId="38054548" w14:textId="77777777" w:rsidR="00642970" w:rsidRPr="00642970" w:rsidRDefault="00642970" w:rsidP="00642970">
      <w:pPr>
        <w:pStyle w:val="Bibliography"/>
      </w:pPr>
      <w:r w:rsidRPr="00642970">
        <w:t>108.</w:t>
      </w:r>
      <w:r w:rsidRPr="00642970">
        <w:tab/>
        <w:t xml:space="preserve">Okuda Y, Ishikura K, Hamada R, Harada R, Sakai T, Hamasaki Y, et al. Membranoproliferative glomerulonephritis and C3 glomerulonephritis: frequency, clinical features, and outcome in children. Nephrol Carlton Vic. 2015 Apr;20(4):286–92. </w:t>
      </w:r>
    </w:p>
    <w:p w14:paraId="3D3FAB2E" w14:textId="77777777" w:rsidR="00642970" w:rsidRPr="00642970" w:rsidRDefault="00642970" w:rsidP="00642970">
      <w:pPr>
        <w:pStyle w:val="Bibliography"/>
      </w:pPr>
      <w:r w:rsidRPr="00642970">
        <w:t>109.</w:t>
      </w:r>
      <w:r w:rsidRPr="00642970">
        <w:tab/>
        <w:t xml:space="preserve">Kirpalani A, Jawa N, Smoyer WE, Licht C, Midwest Pediatric Nephrology Consortium. Long-Term Outcomes of C3 Glomerulopathy and Immune-Complex Membranoproliferative Glomerulonephritis in Children. Kidney Int Rep. 2020 Dec;5(12):2313–24. </w:t>
      </w:r>
    </w:p>
    <w:p w14:paraId="4E96DD40" w14:textId="77777777" w:rsidR="00642970" w:rsidRPr="00642970" w:rsidRDefault="00642970" w:rsidP="00642970">
      <w:pPr>
        <w:pStyle w:val="Bibliography"/>
      </w:pPr>
      <w:r w:rsidRPr="00642970">
        <w:t>110.</w:t>
      </w:r>
      <w:r w:rsidRPr="00642970">
        <w:tab/>
        <w:t xml:space="preserve">Yazılıtaş F, Kargın Çakıcı E, Kurt Şükür ED, Can G, Güngör T, Orhan D, et al. C3 glomerulopathy: experience of a pediatric nephrology center. Acta Clin Belg. 2021 Aug;76(4):253–7. </w:t>
      </w:r>
    </w:p>
    <w:p w14:paraId="0CB2BC6A" w14:textId="77777777" w:rsidR="00642970" w:rsidRPr="00642970" w:rsidRDefault="00642970" w:rsidP="00642970">
      <w:pPr>
        <w:pStyle w:val="Bibliography"/>
      </w:pPr>
      <w:r w:rsidRPr="00642970">
        <w:t>111.</w:t>
      </w:r>
      <w:r w:rsidRPr="00642970">
        <w:tab/>
        <w:t xml:space="preserve">Spartà G, Gaspert A, Neuhaus TJ, Weitz M, Mohebbi N, Odermatt U, et al. Membranoproliferative glomerulonephritis and C3 glomerulopathy in children: change in treatment modality? A report of a case series. Clin Kidney J. 2018 Aug;11(4):479–90. </w:t>
      </w:r>
    </w:p>
    <w:p w14:paraId="3FF2F205" w14:textId="77777777" w:rsidR="00642970" w:rsidRPr="00642970" w:rsidRDefault="00642970" w:rsidP="00642970">
      <w:pPr>
        <w:pStyle w:val="Bibliography"/>
      </w:pPr>
      <w:r w:rsidRPr="00642970">
        <w:t>112.</w:t>
      </w:r>
      <w:r w:rsidRPr="00642970">
        <w:tab/>
        <w:t xml:space="preserve">Ueda C, Horinouchi T, Inoki Y, Ichikawa Y, Tanaka Y, Kitakado H, et al. Clinical characteristics and outcomes of immune-complex membranoproliferative glomerulonephritis and C3 glomerulopathy in Japanese children. Pediatr Nephrol Berl Ger. 2024 Sep;39(9):2679–89. </w:t>
      </w:r>
    </w:p>
    <w:p w14:paraId="663B768A" w14:textId="77777777" w:rsidR="00642970" w:rsidRPr="00642970" w:rsidRDefault="00642970" w:rsidP="00642970">
      <w:pPr>
        <w:pStyle w:val="Bibliography"/>
      </w:pPr>
      <w:r w:rsidRPr="00642970">
        <w:t>113.</w:t>
      </w:r>
      <w:r w:rsidRPr="00642970">
        <w:tab/>
        <w:t xml:space="preserve">Bajracharya P, Khadgi A, Shrestha S, Silwal R, Tandukar A. Acute Post-streptococcal Glomerulonephritis in a Pediatric Population: A Five-Year Retrospective Study. Cureus. 2024 Mar;16(3):e56082. </w:t>
      </w:r>
    </w:p>
    <w:p w14:paraId="123F8C57" w14:textId="77777777" w:rsidR="00642970" w:rsidRPr="00642970" w:rsidRDefault="00642970" w:rsidP="00642970">
      <w:pPr>
        <w:pStyle w:val="Bibliography"/>
      </w:pPr>
      <w:r w:rsidRPr="00642970">
        <w:t>114.</w:t>
      </w:r>
      <w:r w:rsidRPr="00642970">
        <w:tab/>
        <w:t xml:space="preserve">Roy S, Awogbemi T, Holt RCL. Acute tubulointerstitial nephritis in children- a retrospective case series in a UK tertiary paediatric centre. BMC Nephrol. 2020 Jan 14;21(1):17. </w:t>
      </w:r>
    </w:p>
    <w:p w14:paraId="2AF790EA" w14:textId="77777777" w:rsidR="00642970" w:rsidRPr="00642970" w:rsidRDefault="00642970" w:rsidP="00642970">
      <w:pPr>
        <w:pStyle w:val="Bibliography"/>
      </w:pPr>
      <w:r w:rsidRPr="00642970">
        <w:t>115.</w:t>
      </w:r>
      <w:r w:rsidRPr="00642970">
        <w:tab/>
        <w:t xml:space="preserve">Gebreyesus LG, Aregay AF, Gebrekidan KG, Alemayehu YH. Factors associated with treatment outcome of acute post streptococcal glomerulonephritis among patients less than 18 years in Mekelle City, Public Hospitals, North Ethiopia. BMC Res Notes. 2018 Oct 1;11(1):693. </w:t>
      </w:r>
    </w:p>
    <w:p w14:paraId="767F3A65" w14:textId="77777777" w:rsidR="00642970" w:rsidRPr="00642970" w:rsidRDefault="00642970" w:rsidP="00642970">
      <w:pPr>
        <w:pStyle w:val="Bibliography"/>
      </w:pPr>
      <w:r w:rsidRPr="00642970">
        <w:t>116.</w:t>
      </w:r>
      <w:r w:rsidRPr="00642970">
        <w:tab/>
        <w:t xml:space="preserve">Mayer U, Schmitz J, Bräsen JH, Pape L. Crescentic glomerulonephritis in children. Pediatr Nephrol Berl Ger. 2020 May;35(5):829–42. </w:t>
      </w:r>
    </w:p>
    <w:p w14:paraId="09F02949" w14:textId="77777777" w:rsidR="00642970" w:rsidRPr="00642970" w:rsidRDefault="00642970" w:rsidP="00642970">
      <w:pPr>
        <w:pStyle w:val="Bibliography"/>
      </w:pPr>
      <w:r w:rsidRPr="00642970">
        <w:t>117.</w:t>
      </w:r>
      <w:r w:rsidRPr="00642970">
        <w:tab/>
        <w:t xml:space="preserve">Rianthavorn P, Chacranon M. Long-term renal outcome in pediatric glomerulonephritis associated with crescent formation. Clin Exp Nephrol. 2018 Jun;22(3):661–7. </w:t>
      </w:r>
    </w:p>
    <w:p w14:paraId="5D6C7AE8" w14:textId="77777777" w:rsidR="00642970" w:rsidRPr="00642970" w:rsidRDefault="00642970" w:rsidP="00642970">
      <w:pPr>
        <w:pStyle w:val="Bibliography"/>
      </w:pPr>
      <w:r w:rsidRPr="00642970">
        <w:t>118.</w:t>
      </w:r>
      <w:r w:rsidRPr="00642970">
        <w:tab/>
        <w:t xml:space="preserve">Thompson A, Carroll K, A. Inker L, Floege J, Perkovic V, Boyer-Suavet S, et al. Proteinuria Reduction as a Surrogate End Point in Trials of IgA Nephropathy. Clin J Am Soc Nephrol CJASN. 2019 Mar 7;14(3):469–81. </w:t>
      </w:r>
    </w:p>
    <w:p w14:paraId="25B408A0" w14:textId="77777777" w:rsidR="00642970" w:rsidRPr="00642970" w:rsidRDefault="00642970" w:rsidP="00642970">
      <w:pPr>
        <w:pStyle w:val="Bibliography"/>
      </w:pPr>
      <w:r w:rsidRPr="00642970">
        <w:t>119.</w:t>
      </w:r>
      <w:r w:rsidRPr="00642970">
        <w:tab/>
        <w:t xml:space="preserve">Trautmann A, Schnaidt S, Lipska-Ziętkiewicz BS, Bodria M, Ozaltin F, Emma F, et al. Long-Term Outcome of Steroid-Resistant Nephrotic Syndrome in Children. J Am Soc Nephrol JASN. 2017 Oct;28(10):3055–65. </w:t>
      </w:r>
    </w:p>
    <w:p w14:paraId="06BB9CA6" w14:textId="77777777" w:rsidR="00642970" w:rsidRPr="00642970" w:rsidRDefault="00642970" w:rsidP="00642970">
      <w:pPr>
        <w:pStyle w:val="Bibliography"/>
      </w:pPr>
      <w:r w:rsidRPr="00642970">
        <w:lastRenderedPageBreak/>
        <w:t>120.</w:t>
      </w:r>
      <w:r w:rsidRPr="00642970">
        <w:tab/>
        <w:t xml:space="preserve">Arneil GC. The nephrotic syndrome. Pediatr Clin North Am. 1971 May;18(2):547–59. </w:t>
      </w:r>
    </w:p>
    <w:p w14:paraId="66753A75" w14:textId="77777777" w:rsidR="00642970" w:rsidRPr="00642970" w:rsidRDefault="00642970" w:rsidP="00642970">
      <w:pPr>
        <w:pStyle w:val="Bibliography"/>
      </w:pPr>
      <w:r w:rsidRPr="00642970">
        <w:t>121.</w:t>
      </w:r>
      <w:r w:rsidRPr="00642970">
        <w:tab/>
        <w:t xml:space="preserve">Hahn D, Samuel SM, Willis NS, Craig JC, Hodson EM. Corticosteroid therapy for nephrotic syndrome in children. Cochrane Database Syst Rev. 2024 Aug 22;8(8):CD001533. </w:t>
      </w:r>
    </w:p>
    <w:p w14:paraId="3A509683" w14:textId="77777777" w:rsidR="00642970" w:rsidRPr="00642970" w:rsidRDefault="00642970" w:rsidP="00642970">
      <w:pPr>
        <w:pStyle w:val="Bibliography"/>
      </w:pPr>
      <w:r w:rsidRPr="00642970">
        <w:t>122.</w:t>
      </w:r>
      <w:r w:rsidRPr="00642970">
        <w:tab/>
        <w:t xml:space="preserve">Schijvens AM, Teeninga N, Dorresteijn EM, Teerenstra S, Webb NJ, Schreuder MF. Steroid treatment for the first episode of childhood nephrotic syndrome: comparison of the 8 and 12 weeks regimen using an individual patient data meta-analysis. Eur J Pediatr. 2021;180(9):2849–59. </w:t>
      </w:r>
    </w:p>
    <w:p w14:paraId="40AAEAAB" w14:textId="77777777" w:rsidR="00642970" w:rsidRPr="00642970" w:rsidRDefault="00642970" w:rsidP="00642970">
      <w:pPr>
        <w:pStyle w:val="Bibliography"/>
      </w:pPr>
      <w:r w:rsidRPr="00642970">
        <w:t>123.</w:t>
      </w:r>
      <w:r w:rsidRPr="00642970">
        <w:tab/>
        <w:t xml:space="preserve">Basu B, Bhattacharyya S, Barua S, Naskar A, Roy B. Efficacy of body weight vs body surface area-based prednisolone regimen in nephrotic syndrome. Clin Exp Nephrol. 2020 Jul;24(7):622–9. </w:t>
      </w:r>
    </w:p>
    <w:p w14:paraId="77F97C1B" w14:textId="77777777" w:rsidR="00642970" w:rsidRPr="00642970" w:rsidRDefault="00642970" w:rsidP="00642970">
      <w:pPr>
        <w:pStyle w:val="Bibliography"/>
      </w:pPr>
      <w:r w:rsidRPr="00642970">
        <w:t>124.</w:t>
      </w:r>
      <w:r w:rsidRPr="00642970">
        <w:tab/>
        <w:t xml:space="preserve">Filler G, Robinson LA. Should we stop dosing steroids per body surface area for nephrotics? Pediatr Nephrol Berl Ger. 2016 Apr;31(4):519–22. </w:t>
      </w:r>
    </w:p>
    <w:p w14:paraId="391B1DC8" w14:textId="77777777" w:rsidR="00642970" w:rsidRPr="00642970" w:rsidRDefault="00642970" w:rsidP="00642970">
      <w:pPr>
        <w:pStyle w:val="Bibliography"/>
      </w:pPr>
      <w:r w:rsidRPr="00642970">
        <w:t>125.</w:t>
      </w:r>
      <w:r w:rsidRPr="00642970">
        <w:tab/>
        <w:t xml:space="preserve">Saadeh SA, Baracco R, Jain A, Kapur G, Mattoo TK, Valentini RP. Weight or body surface area dosing of steroids in nephrotic syndrome: is there an outcome difference? Pediatr Nephrol Berl Ger. 2011 Dec;26(12):2167–71. </w:t>
      </w:r>
    </w:p>
    <w:p w14:paraId="605252CD" w14:textId="77777777" w:rsidR="00642970" w:rsidRPr="00642970" w:rsidRDefault="00642970" w:rsidP="00642970">
      <w:pPr>
        <w:pStyle w:val="Bibliography"/>
      </w:pPr>
      <w:r w:rsidRPr="00642970">
        <w:t>126.</w:t>
      </w:r>
      <w:r w:rsidRPr="00642970">
        <w:tab/>
        <w:t xml:space="preserve">Christian MT, Maxted AP. Optimizing the corticosteroid dose in steroid-sensitive nephrotic syndrome. Pediatr Nephrol Berl Ger. 2022 Jan;37(1):37–47. </w:t>
      </w:r>
    </w:p>
    <w:p w14:paraId="513F77CF" w14:textId="77777777" w:rsidR="00642970" w:rsidRPr="00642970" w:rsidRDefault="00642970" w:rsidP="00642970">
      <w:pPr>
        <w:pStyle w:val="Bibliography"/>
      </w:pPr>
      <w:r w:rsidRPr="00642970">
        <w:t>127.</w:t>
      </w:r>
      <w:r w:rsidRPr="00642970">
        <w:tab/>
        <w:t xml:space="preserve">Simpson H, Tomlinson J, Wass J, Dean J, Arlt W. Guidance for the prevention and emergency management of adult patients with adrenal insufficiency. Clin Med Lond Engl. 2020 Jul;20(4):371–8. </w:t>
      </w:r>
    </w:p>
    <w:p w14:paraId="0AE42B46" w14:textId="77777777" w:rsidR="00642970" w:rsidRPr="00642970" w:rsidRDefault="00642970" w:rsidP="00642970">
      <w:pPr>
        <w:pStyle w:val="Bibliography"/>
      </w:pPr>
      <w:r w:rsidRPr="00642970">
        <w:t>128.</w:t>
      </w:r>
      <w:r w:rsidRPr="00642970">
        <w:tab/>
        <w:t xml:space="preserve">Webb NJA, Woolley RL, Lambe T, Frew E, Brettell EA, Barsoum EN, et al. Long term tapering versus standard prednisolone treatment for first episode of childhood nephrotic syndrome: phase III randomised controlled trial and economic evaluation. BMJ. 2019 May 23;365:l1800. </w:t>
      </w:r>
    </w:p>
    <w:p w14:paraId="6E5CE58F" w14:textId="77777777" w:rsidR="00642970" w:rsidRPr="00642970" w:rsidRDefault="00642970" w:rsidP="00642970">
      <w:pPr>
        <w:pStyle w:val="Bibliography"/>
      </w:pPr>
      <w:r w:rsidRPr="00642970">
        <w:t>129.</w:t>
      </w:r>
      <w:r w:rsidRPr="00642970">
        <w:tab/>
        <w:t xml:space="preserve">Khan T, Akhtar S, Mukherjee D, Basu S, Tse Y, Sinha R. Single- versus Divided-Dose Prednisolone for the First Episode of Nephrotic Syndrome in Children: An Open-Label RCT. Clin J Am Soc Nephrol CJASN. 2023 Oct 1;18(10):1294–9. </w:t>
      </w:r>
    </w:p>
    <w:p w14:paraId="7CDF8393" w14:textId="77777777" w:rsidR="00642970" w:rsidRPr="00642970" w:rsidRDefault="00642970" w:rsidP="00642970">
      <w:pPr>
        <w:pStyle w:val="Bibliography"/>
      </w:pPr>
      <w:r w:rsidRPr="00642970">
        <w:t>130.</w:t>
      </w:r>
      <w:r w:rsidRPr="00642970">
        <w:tab/>
        <w:t xml:space="preserve">Veltkamp F, Khan DH, Reefman C, Veissi S, van Oers HA, Levtchenko E, et al. Prevention of relapses with levamisole as adjuvant therapy in children with a first episode of idiopathic nephrotic syndrome: study protocol for a double blind, randomised placebo-controlled trial (the LEARNS study). BMJ Open. 2019 Aug 1;9(8):e027011. </w:t>
      </w:r>
    </w:p>
    <w:p w14:paraId="25C79C82" w14:textId="77777777" w:rsidR="00642970" w:rsidRPr="00642970" w:rsidRDefault="00642970" w:rsidP="00642970">
      <w:pPr>
        <w:pStyle w:val="Bibliography"/>
      </w:pPr>
      <w:r w:rsidRPr="00642970">
        <w:t>131.</w:t>
      </w:r>
      <w:r w:rsidRPr="00642970">
        <w:tab/>
        <w:t xml:space="preserve">Ehren R, Benz MR, Doetsch J, Fichtner A, Gellermann J, Haffner D, et al. Initial treatment of steroid-sensitive idiopathic nephrotic syndrome in children with mycophenolate mofetil versus prednisone: protocol for a randomised, controlled, multicentre trial (INTENT study). BMJ Open. 2018 Oct 10;8(10):e024882. </w:t>
      </w:r>
    </w:p>
    <w:p w14:paraId="75CBF5AC" w14:textId="77777777" w:rsidR="00642970" w:rsidRPr="00642970" w:rsidRDefault="00642970" w:rsidP="00642970">
      <w:pPr>
        <w:pStyle w:val="Bibliography"/>
      </w:pPr>
      <w:r w:rsidRPr="00642970">
        <w:t>132.</w:t>
      </w:r>
      <w:r w:rsidRPr="00642970">
        <w:tab/>
        <w:t xml:space="preserve">Shenoy M, Plant ND, Lewis MA, Bradbury MG, Lennon R, Webb NJA. Intravenous methylprednisolone in idiopathic childhood nephrotic syndrome. Pediatr Nephrol Berl Ger. 2010 May;25(5):899–903. </w:t>
      </w:r>
    </w:p>
    <w:p w14:paraId="2C9CCE82" w14:textId="77777777" w:rsidR="00642970" w:rsidRPr="00642970" w:rsidRDefault="00642970" w:rsidP="00642970">
      <w:pPr>
        <w:pStyle w:val="Bibliography"/>
      </w:pPr>
      <w:r w:rsidRPr="00642970">
        <w:t>133.</w:t>
      </w:r>
      <w:r w:rsidRPr="00642970">
        <w:tab/>
        <w:t xml:space="preserve">Kainth D, Hari P, Sinha A, Pandey S, Bagga A. Short-Duration Prednisolone in Children with Nephrotic Syndrome Relapse: A Noninferiority Randomized Controlled Trial. Clin J Am Soc Nephrol CJASN. 2021 Feb 8;16(2):225–32. </w:t>
      </w:r>
    </w:p>
    <w:p w14:paraId="16AB10D8" w14:textId="77777777" w:rsidR="00642970" w:rsidRPr="00642970" w:rsidRDefault="00642970" w:rsidP="00642970">
      <w:pPr>
        <w:pStyle w:val="Bibliography"/>
      </w:pPr>
      <w:r w:rsidRPr="00642970">
        <w:lastRenderedPageBreak/>
        <w:t>134.</w:t>
      </w:r>
      <w:r w:rsidRPr="00642970">
        <w:tab/>
        <w:t xml:space="preserve">Gargiulo A, Massella L, Ruggiero B, Ravà L, Ciofi Degli Atti M, Materassi M, et al. Results of the PROPINE randomized controlled study suggest tapering of prednisone treatment for relapses of steroid sensitive nephrotic syndrome is not necessary in children. Kidney Int. 2021 Feb;99(2):475–83. </w:t>
      </w:r>
    </w:p>
    <w:p w14:paraId="3BB1EA1D" w14:textId="77777777" w:rsidR="00642970" w:rsidRPr="00642970" w:rsidRDefault="00642970" w:rsidP="00642970">
      <w:pPr>
        <w:pStyle w:val="Bibliography"/>
      </w:pPr>
      <w:r w:rsidRPr="00642970">
        <w:t>135.</w:t>
      </w:r>
      <w:r w:rsidRPr="00642970">
        <w:tab/>
        <w:t xml:space="preserve">Sinha A, Puraswani M, Kalaivani M, Goyal P, Hari P, Bagga A. Efficacy and safety of mycophenolate mofetil versus levamisole in frequently relapsing nephrotic syndrome: an open-label randomized controlled trial. Kidney Int. 2019 Jan;95(1):210–8. </w:t>
      </w:r>
    </w:p>
    <w:p w14:paraId="336F247E" w14:textId="77777777" w:rsidR="00642970" w:rsidRPr="00642970" w:rsidRDefault="00642970" w:rsidP="00642970">
      <w:pPr>
        <w:pStyle w:val="Bibliography"/>
      </w:pPr>
      <w:r w:rsidRPr="00642970">
        <w:t>136.</w:t>
      </w:r>
      <w:r w:rsidRPr="00642970">
        <w:tab/>
        <w:t xml:space="preserve">Gulati A, Sinha A, Jordan SC, Hari P, Dinda AK, Sharma S, et al. Efficacy and Safety of Treatment with Rituximab for Difficult Steroid-Resistant and -Dependent Nephrotic Syndrome: Multicentric Report. Clin J Am Soc Nephrol CJASN. 2010 Dec;5(12):2207–12. </w:t>
      </w:r>
    </w:p>
    <w:p w14:paraId="49D7B3F7" w14:textId="77777777" w:rsidR="00642970" w:rsidRPr="00642970" w:rsidRDefault="00642970" w:rsidP="00642970">
      <w:pPr>
        <w:pStyle w:val="Bibliography"/>
      </w:pPr>
      <w:r w:rsidRPr="00642970">
        <w:t>137.</w:t>
      </w:r>
      <w:r w:rsidRPr="00642970">
        <w:tab/>
        <w:t xml:space="preserve">Chan EYH, Sinha A, Yu ELM, Akhtar N, Angeletti A, Bagga A, et al. An international, multi-center study evaluated rituximab therapy in childhood steroid-resistant nephrotic syndrome. Kidney Int. 2024 Dec;106(6):1146–57. </w:t>
      </w:r>
    </w:p>
    <w:p w14:paraId="731FDB6D" w14:textId="77777777" w:rsidR="00642970" w:rsidRPr="00642970" w:rsidRDefault="00642970" w:rsidP="00642970">
      <w:pPr>
        <w:pStyle w:val="Bibliography"/>
      </w:pPr>
      <w:r w:rsidRPr="00642970">
        <w:t>138.</w:t>
      </w:r>
      <w:r w:rsidRPr="00642970">
        <w:tab/>
        <w:t xml:space="preserve">Hengel FE, Dehde S, Lassé M, Zahner G, Seifert L, Schnarre A, et al. Autoantibodies Targeting Nephrin in Podocytopathies. N Engl J Med. 2024 Jul 31;391(5):422–33. </w:t>
      </w:r>
    </w:p>
    <w:p w14:paraId="2831D67E" w14:textId="77777777" w:rsidR="00642970" w:rsidRPr="00642970" w:rsidRDefault="00642970" w:rsidP="00642970">
      <w:pPr>
        <w:pStyle w:val="Bibliography"/>
      </w:pPr>
      <w:r w:rsidRPr="00642970">
        <w:t>139.</w:t>
      </w:r>
      <w:r w:rsidRPr="00642970">
        <w:tab/>
        <w:t xml:space="preserve">Barbour SJ, Coppo R, Er L, Russo ML, Liu ZH, Ding J, et al. Updating the International IgA Nephropathy Prediction Tool for use in children. Kidney Int. 2021 Jun;99(6):1439–50. </w:t>
      </w:r>
    </w:p>
    <w:p w14:paraId="1AFE56D9" w14:textId="77777777" w:rsidR="00642970" w:rsidRPr="00642970" w:rsidRDefault="00642970" w:rsidP="00642970">
      <w:pPr>
        <w:pStyle w:val="Bibliography"/>
      </w:pPr>
      <w:r w:rsidRPr="00642970">
        <w:t>140.</w:t>
      </w:r>
      <w:r w:rsidRPr="00642970">
        <w:tab/>
        <w:t xml:space="preserve">Barbour SJ, Coppo R, Er L, Russo ML, Liu ZH, Ding J, et al. Application of the updated International IgA Nephropathy Prediction Tool in children one or two years post-biopsy. Kidney Int. 2024 Nov 1;106(5):913–27. </w:t>
      </w:r>
    </w:p>
    <w:p w14:paraId="2A5689B7" w14:textId="77777777" w:rsidR="00642970" w:rsidRPr="00642970" w:rsidRDefault="00642970" w:rsidP="00642970">
      <w:pPr>
        <w:pStyle w:val="Bibliography"/>
      </w:pPr>
      <w:r w:rsidRPr="00642970">
        <w:t>141.</w:t>
      </w:r>
      <w:r w:rsidRPr="00642970">
        <w:tab/>
        <w:t xml:space="preserve">Lafayette RA, Canetta PA, Rovin BH, Appel GB, Novak J, Nath KA, et al. A Randomized, Controlled Trial of Rituximab in IgA Nephropathy with Proteinuria and Renal Dysfunction. J Am Soc Nephrol JASN. 2017 Apr;28(4):1306–13. </w:t>
      </w:r>
    </w:p>
    <w:p w14:paraId="54EE04E0" w14:textId="77777777" w:rsidR="00642970" w:rsidRPr="00642970" w:rsidRDefault="00642970" w:rsidP="00642970">
      <w:pPr>
        <w:pStyle w:val="Bibliography"/>
      </w:pPr>
      <w:r w:rsidRPr="00642970">
        <w:t>142.</w:t>
      </w:r>
      <w:r w:rsidRPr="00642970">
        <w:tab/>
        <w:t xml:space="preserve">Ozen S, Pistorio A, Iusan SM, Bakkaloglu A, Herlin T, Brik R, et al. EULAR/PRINTO/PRES criteria for Henoch-Schönlein purpura, childhood polyarteritis nodosa, childhood Wegener granulomatosis and childhood Takayasu arteritis: Ankara 2008. Part II: Final classification criteria. Ann Rheum Dis. 2010 May;69(5):798–806. </w:t>
      </w:r>
    </w:p>
    <w:p w14:paraId="4A3DE595" w14:textId="77777777" w:rsidR="00642970" w:rsidRPr="00642970" w:rsidRDefault="00642970" w:rsidP="00642970">
      <w:pPr>
        <w:pStyle w:val="Bibliography"/>
      </w:pPr>
      <w:r w:rsidRPr="00642970">
        <w:t>143.</w:t>
      </w:r>
      <w:r w:rsidRPr="00642970">
        <w:tab/>
        <w:t xml:space="preserve">Oni L, Platt C, Marlais M, McCann L, Barakat F, Hesseling M, et al. National recommendations for the management of children and young people with IgA vasculitis: a best available evidence, group agreement-based approach. Arch Dis Child. 2024 Dec 13;110(1):67–76. </w:t>
      </w:r>
    </w:p>
    <w:p w14:paraId="439D67A9" w14:textId="77777777" w:rsidR="00642970" w:rsidRPr="00642970" w:rsidRDefault="00642970" w:rsidP="00642970">
      <w:pPr>
        <w:pStyle w:val="Bibliography"/>
      </w:pPr>
      <w:r w:rsidRPr="00642970">
        <w:t>144.</w:t>
      </w:r>
      <w:r w:rsidRPr="00642970">
        <w:tab/>
        <w:t xml:space="preserve">Wang M, Wang R, He X, Zhang P, Kuang Q, Yao J, et al. Using MEST-C Scores and the International Study of Kidney Disease in Children Classification to Predict Outcomes of Henoch-Schönlein Purpura Nephritis in Children. Front Pediatr. 2021;9:658845. </w:t>
      </w:r>
    </w:p>
    <w:p w14:paraId="089E92C4" w14:textId="77777777" w:rsidR="00642970" w:rsidRPr="00642970" w:rsidRDefault="00642970" w:rsidP="00642970">
      <w:pPr>
        <w:pStyle w:val="Bibliography"/>
      </w:pPr>
      <w:r w:rsidRPr="00642970">
        <w:t>145.</w:t>
      </w:r>
      <w:r w:rsidRPr="00642970">
        <w:tab/>
        <w:t xml:space="preserve">Barbour SJ, Coppo R, Er L, Pillebout E, Russo ML, Alpers CE, et al. Histologic and Clinical Factors Associated with Kidney Outcomes in IgA Vasculitis Nephritis. Clin J Am Soc Nephrol. 2024 Apr;19(4):438. </w:t>
      </w:r>
    </w:p>
    <w:p w14:paraId="467130E9" w14:textId="77777777" w:rsidR="00642970" w:rsidRPr="00642970" w:rsidRDefault="00642970" w:rsidP="00642970">
      <w:pPr>
        <w:pStyle w:val="Bibliography"/>
      </w:pPr>
      <w:r w:rsidRPr="00642970">
        <w:t>146.</w:t>
      </w:r>
      <w:r w:rsidRPr="00642970">
        <w:tab/>
        <w:t xml:space="preserve">Hahn D, Hodson EM, Craig JC. Interventions for preventing and treating kidney disease in IgA vasculitis. Cochrane Database Syst Rev. 2023 Feb 28;2(2):CD005128. </w:t>
      </w:r>
    </w:p>
    <w:p w14:paraId="7F6E2DF6" w14:textId="77777777" w:rsidR="00642970" w:rsidRPr="00642970" w:rsidRDefault="00642970" w:rsidP="00642970">
      <w:pPr>
        <w:pStyle w:val="Bibliography"/>
      </w:pPr>
      <w:r w:rsidRPr="00642970">
        <w:lastRenderedPageBreak/>
        <w:t>147.</w:t>
      </w:r>
      <w:r w:rsidRPr="00642970">
        <w:tab/>
        <w:t xml:space="preserve">Rohner K, Marlais M, Ahn YH, Ali A, Alsharief A, Novak AB, et al. Outcome of immunosuppression in children with IgA vasculitis-related nephritis. Nephrol Dial Transplant Off Publ Eur Dial Transpl Assoc - Eur Ren Assoc. 2024 Jul 31;39(8):1299–309. </w:t>
      </w:r>
    </w:p>
    <w:p w14:paraId="40E635F8" w14:textId="77777777" w:rsidR="00642970" w:rsidRPr="00642970" w:rsidRDefault="00642970" w:rsidP="00642970">
      <w:pPr>
        <w:pStyle w:val="Bibliography"/>
      </w:pPr>
      <w:r w:rsidRPr="00642970">
        <w:t>148.</w:t>
      </w:r>
      <w:r w:rsidRPr="00642970">
        <w:tab/>
        <w:t xml:space="preserve">Petri M, Orbai AM, Alarcón GS, Gordon C, Merrill JT, Fortin PR, et al. Derivation and validation of the Systemic Lupus International Collaborating Clinics classification criteria for systemic lupus erythematosus. Arthritis Rheum. 2012 Aug;64(8):2677–86. </w:t>
      </w:r>
    </w:p>
    <w:p w14:paraId="5AB151D2" w14:textId="77777777" w:rsidR="00642970" w:rsidRPr="00642970" w:rsidRDefault="00642970" w:rsidP="00642970">
      <w:pPr>
        <w:pStyle w:val="Bibliography"/>
      </w:pPr>
      <w:r w:rsidRPr="00642970">
        <w:t>149.</w:t>
      </w:r>
      <w:r w:rsidRPr="00642970">
        <w:tab/>
        <w:t xml:space="preserve">Stohl W, Kwok A. Belimumab for the treatment of pediatric patients with lupus nephritis. Expert Opin Biol Ther. 2023 Mar;23(3):243–51. </w:t>
      </w:r>
    </w:p>
    <w:p w14:paraId="5F9CC040" w14:textId="77777777" w:rsidR="00642970" w:rsidRPr="00642970" w:rsidRDefault="00642970" w:rsidP="00642970">
      <w:pPr>
        <w:pStyle w:val="Bibliography"/>
      </w:pPr>
      <w:r w:rsidRPr="00642970">
        <w:t>150.</w:t>
      </w:r>
      <w:r w:rsidRPr="00642970">
        <w:tab/>
        <w:t xml:space="preserve">Walsh M, Merkel PA, Peh CA, Szpirt WM, Puéchal X, Fujimoto S, et al. Plasma Exchange and Glucocorticoids in Severe ANCA-Associated Vasculitis. N Engl J Med. 2020 Feb 13;382(7):622–31. </w:t>
      </w:r>
    </w:p>
    <w:p w14:paraId="1B8844B9" w14:textId="77777777" w:rsidR="00642970" w:rsidRPr="00642970" w:rsidRDefault="00642970" w:rsidP="00642970">
      <w:pPr>
        <w:pStyle w:val="Bibliography"/>
      </w:pPr>
      <w:r w:rsidRPr="00642970">
        <w:t>151.</w:t>
      </w:r>
      <w:r w:rsidRPr="00642970">
        <w:tab/>
        <w:t xml:space="preserve">Emmi G, Bettiol A, Gelain E, Bajema IM, Berti A, Burns S, et al. Evidence-Based Guideline for the diagnosis and management of eosinophilic granulomatosis with polyangiitis. Nat Rev Rheumatol. 2023 Jun;19(6):378–93. </w:t>
      </w:r>
    </w:p>
    <w:p w14:paraId="55C12F25" w14:textId="77777777" w:rsidR="00642970" w:rsidRPr="00642970" w:rsidRDefault="00642970" w:rsidP="00642970">
      <w:pPr>
        <w:pStyle w:val="Bibliography"/>
      </w:pPr>
      <w:r w:rsidRPr="00642970">
        <w:t>152.</w:t>
      </w:r>
      <w:r w:rsidRPr="00642970">
        <w:tab/>
        <w:t xml:space="preserve">Vivarelli M, Bomback AS, Meier M, Wang Y, Webb NJA, Veldandi UK, et al. Iptacopan in Idiopathic Immune Complex-Mediated Membranoproliferative Glomerulonephritis: Protocol of the APPARENT Multicenter, Randomized Phase 3 Study. Kidney Int Rep. 2024 Jan;9(1):64–72. </w:t>
      </w:r>
    </w:p>
    <w:p w14:paraId="6F3A7249" w14:textId="77777777" w:rsidR="00642970" w:rsidRPr="00642970" w:rsidRDefault="00642970" w:rsidP="00642970">
      <w:pPr>
        <w:pStyle w:val="Bibliography"/>
      </w:pPr>
      <w:r w:rsidRPr="00642970">
        <w:t>153.</w:t>
      </w:r>
      <w:r w:rsidRPr="00642970">
        <w:tab/>
        <w:t xml:space="preserve">Durand A, Winkler CA, Vince N, Douillard V, Geffard E, Binns-Roemer E, et al. Identification of Novel Genetic Risk Factors for Focal Segmental Glomerulosclerosis in Children: Results From the Chronic Kidney Disease in Children (CKiD) Cohort. Am J Kidney Dis Off J Natl Kidney Found. 2023 Jun;81(6):635-646.e1. </w:t>
      </w:r>
    </w:p>
    <w:p w14:paraId="303F3E2D" w14:textId="77777777" w:rsidR="00642970" w:rsidRPr="00642970" w:rsidRDefault="00642970" w:rsidP="00642970">
      <w:pPr>
        <w:pStyle w:val="Bibliography"/>
      </w:pPr>
      <w:r w:rsidRPr="00642970">
        <w:t>154.</w:t>
      </w:r>
      <w:r w:rsidRPr="00642970">
        <w:tab/>
        <w:t xml:space="preserve">Barry A, McNulty MT, Jia X, Gupta Y, Debiec H, Luo Y, et al. Multi-population genome-wide association study implicates immune and non-immune factors in pediatric steroid-sensitive nephrotic syndrome. Nat Commun. 2023 Apr 29;14(1):2481. </w:t>
      </w:r>
    </w:p>
    <w:p w14:paraId="05410E28" w14:textId="77777777" w:rsidR="00642970" w:rsidRPr="00642970" w:rsidRDefault="00642970" w:rsidP="00642970">
      <w:pPr>
        <w:pStyle w:val="Bibliography"/>
      </w:pPr>
      <w:r w:rsidRPr="00642970">
        <w:t>155.</w:t>
      </w:r>
      <w:r w:rsidRPr="00642970">
        <w:tab/>
        <w:t xml:space="preserve">Kiryluk K, Sanchez-Rodriguez E, Zhou XJ, Zanoni F, Liu L, Mladkova N, et al. Genome-wide association analyses define pathogenic signaling pathways and prioritize drug targets for IgA nephropathy. Nat Genet. 2023 Jul;55(7):1091–105. </w:t>
      </w:r>
    </w:p>
    <w:p w14:paraId="2BC8C4C9" w14:textId="77777777" w:rsidR="00642970" w:rsidRPr="00642970" w:rsidRDefault="00642970" w:rsidP="00642970">
      <w:pPr>
        <w:pStyle w:val="Bibliography"/>
      </w:pPr>
      <w:r w:rsidRPr="00642970">
        <w:t>156.</w:t>
      </w:r>
      <w:r w:rsidRPr="00642970">
        <w:tab/>
        <w:t xml:space="preserve">Al-Aubodah TA, Aoudjit L, Pascale G, Perinpanayagam MA, Langlais D, Bitzan M, et al. The extrafollicular B cell response is a hallmark of childhood idiopathic nephrotic syndrome. Nat Commun. 2023 Nov 24;14(1):7682. </w:t>
      </w:r>
    </w:p>
    <w:p w14:paraId="50322BF5" w14:textId="77777777" w:rsidR="00642970" w:rsidRPr="00642970" w:rsidRDefault="00642970" w:rsidP="00642970">
      <w:pPr>
        <w:pStyle w:val="Bibliography"/>
      </w:pPr>
      <w:r w:rsidRPr="00642970">
        <w:t>157.</w:t>
      </w:r>
      <w:r w:rsidRPr="00642970">
        <w:tab/>
        <w:t xml:space="preserve">Bashford-Rogers RJM, Bergamaschi L, McKinney EF, Pombal DC, Mescia F, Lee JC, et al. Analysis of the B cell receptor repertoire in six immune-mediated diseases. Nature. 2019 Oct;574(7776):122–6. </w:t>
      </w:r>
    </w:p>
    <w:p w14:paraId="2FCD4726" w14:textId="77777777" w:rsidR="00642970" w:rsidRPr="00642970" w:rsidRDefault="00642970" w:rsidP="00642970">
      <w:pPr>
        <w:pStyle w:val="Bibliography"/>
      </w:pPr>
      <w:r w:rsidRPr="00642970">
        <w:t>158.</w:t>
      </w:r>
      <w:r w:rsidRPr="00642970">
        <w:tab/>
        <w:t xml:space="preserve">Davies E, Chetwynd A, McDowell G, Rao A, Oni L. The current use of proteomics and metabolomics in glomerulonephritis: a systematic literature review. J Nephrol. 2024 Jun;37(5):1209–25. </w:t>
      </w:r>
    </w:p>
    <w:p w14:paraId="712F3AEB" w14:textId="77777777" w:rsidR="00642970" w:rsidRPr="00642970" w:rsidRDefault="00642970" w:rsidP="00642970">
      <w:pPr>
        <w:pStyle w:val="Bibliography"/>
      </w:pPr>
      <w:r w:rsidRPr="00642970">
        <w:t>159.</w:t>
      </w:r>
      <w:r w:rsidRPr="00642970">
        <w:tab/>
        <w:t xml:space="preserve">Marro J, Chetwynd AJ, Hawkes J, Northey SJ, Oni L. Urinary markers of the alternative and lectin complement pathway are increased in IgA vasculitis nephritis. Clin Kidney J. 2023 Sep 14;16(12):2703–11. </w:t>
      </w:r>
    </w:p>
    <w:p w14:paraId="3BF43977" w14:textId="77777777" w:rsidR="00642970" w:rsidRPr="00642970" w:rsidRDefault="00642970" w:rsidP="00642970">
      <w:pPr>
        <w:pStyle w:val="Bibliography"/>
      </w:pPr>
      <w:r w:rsidRPr="00642970">
        <w:lastRenderedPageBreak/>
        <w:t>160.</w:t>
      </w:r>
      <w:r w:rsidRPr="00642970">
        <w:tab/>
        <w:t xml:space="preserve">Chen X, Wang T, Chen L, Zhao Y, Deng Y, Shen W, et al. Cross-species single-cell analysis uncovers the immunopathological mechanisms associated with IgA nephropathy progression. JCI Insight. 2024 May 8;9(9):e173651. </w:t>
      </w:r>
    </w:p>
    <w:p w14:paraId="234D59E2" w14:textId="77777777" w:rsidR="00642970" w:rsidRPr="00642970" w:rsidRDefault="00642970" w:rsidP="00642970">
      <w:pPr>
        <w:pStyle w:val="Bibliography"/>
      </w:pPr>
      <w:r w:rsidRPr="00642970">
        <w:t>161.</w:t>
      </w:r>
      <w:r w:rsidRPr="00642970">
        <w:tab/>
        <w:t xml:space="preserve">Zheng Y, Lu P, Deng Y, Wen L, Wang Y, Ma X, et al. Single-Cell Transcriptomics Reveal Immune Mechanisms of the Onset and Progression of IgA Nephropathy. Cell Rep. 2020 Dec 22;33(12):108525. </w:t>
      </w:r>
    </w:p>
    <w:p w14:paraId="697DE9CC" w14:textId="77777777" w:rsidR="00642970" w:rsidRPr="00642970" w:rsidRDefault="00642970" w:rsidP="00642970">
      <w:pPr>
        <w:pStyle w:val="Bibliography"/>
      </w:pPr>
      <w:r w:rsidRPr="00642970">
        <w:t>162.</w:t>
      </w:r>
      <w:r w:rsidRPr="00642970">
        <w:tab/>
        <w:t xml:space="preserve">Gleeson PJ, Benech N, Chemouny J, Metallinou E, Berthelot L, da Silva J, et al. The gut microbiota posttranslationally modifies IgA1 in autoimmune glomerulonephritis. Sci Transl Med. 2024 Mar 27;16(740):eadl6149. </w:t>
      </w:r>
    </w:p>
    <w:p w14:paraId="1E7F27E1" w14:textId="77777777" w:rsidR="00642970" w:rsidRPr="00642970" w:rsidRDefault="00642970" w:rsidP="00642970">
      <w:pPr>
        <w:pStyle w:val="Bibliography"/>
      </w:pPr>
      <w:r w:rsidRPr="00642970">
        <w:t>163.</w:t>
      </w:r>
      <w:r w:rsidRPr="00642970">
        <w:tab/>
        <w:t xml:space="preserve">Danaher P, Hasle N, Nguyen ED, Roberts JE, Rosenwasser N, Rickert C, et al. Childhood-onset lupus nephritis is characterized by complex interactions between kidney stroma and infiltrating immune cells. Sci Transl Med. 2024 Nov 27;16(775):eadl1666. </w:t>
      </w:r>
    </w:p>
    <w:p w14:paraId="0F29A461" w14:textId="77777777" w:rsidR="00642970" w:rsidRPr="00642970" w:rsidRDefault="00642970" w:rsidP="00642970">
      <w:pPr>
        <w:pStyle w:val="Bibliography"/>
      </w:pPr>
      <w:r w:rsidRPr="00642970">
        <w:t>164.</w:t>
      </w:r>
      <w:r w:rsidRPr="00642970">
        <w:tab/>
        <w:t xml:space="preserve">Benjamin K, Bhandari A, Kepple JD, Qi R, Shang Z, Xing Y, et al. Multiscale topology classifies cells in subcellular spatial transcriptomics. Nature. 2024 Jun;630(8018):943–9. </w:t>
      </w:r>
    </w:p>
    <w:p w14:paraId="4B93D536" w14:textId="77777777" w:rsidR="00642970" w:rsidRPr="00642970" w:rsidRDefault="00642970" w:rsidP="00642970">
      <w:pPr>
        <w:pStyle w:val="Bibliography"/>
      </w:pPr>
      <w:r w:rsidRPr="00642970">
        <w:t>165.</w:t>
      </w:r>
      <w:r w:rsidRPr="00642970">
        <w:tab/>
        <w:t xml:space="preserve">Aivazidis A, Memi F, Kleshchevnikov V, Er S, Clarke B, Stegle O, et al. Cell2fate infers RNA velocity modules to improve cell fate prediction. Nat Methods. 2025 Apr;22(4):698–707. </w:t>
      </w:r>
    </w:p>
    <w:p w14:paraId="01674666" w14:textId="77777777" w:rsidR="00642970" w:rsidRPr="00642970" w:rsidRDefault="00642970" w:rsidP="00642970">
      <w:pPr>
        <w:pStyle w:val="Bibliography"/>
      </w:pPr>
      <w:r w:rsidRPr="00642970">
        <w:t>166.</w:t>
      </w:r>
      <w:r w:rsidRPr="00642970">
        <w:tab/>
        <w:t xml:space="preserve">Birk S, Bonafonte-Pardàs I, Feriz AM, Boxall A, Agirre E, Memi F, et al. Quantitative characterization of cell niches in spatially resolved omics data. Nat Genet. 2025 Apr;57(4):897–909. </w:t>
      </w:r>
    </w:p>
    <w:p w14:paraId="720458FF" w14:textId="77777777" w:rsidR="00642970" w:rsidRPr="00642970" w:rsidRDefault="00642970" w:rsidP="00642970">
      <w:pPr>
        <w:pStyle w:val="Bibliography"/>
      </w:pPr>
      <w:r w:rsidRPr="00642970">
        <w:t>167.</w:t>
      </w:r>
      <w:r w:rsidRPr="00642970">
        <w:tab/>
        <w:t xml:space="preserve">De Donno C, Hediyeh-Zadeh S, Moinfar AA, Wagenstetter M, Zappia L, Lotfollahi M, et al. Population-level integration of single-cell datasets enables multi-scale analysis across samples. Nat Methods. 2023 Nov;20(11):1683–92. </w:t>
      </w:r>
    </w:p>
    <w:p w14:paraId="2BD71358" w14:textId="77777777" w:rsidR="00642970" w:rsidRPr="00642970" w:rsidRDefault="00642970" w:rsidP="00642970">
      <w:pPr>
        <w:pStyle w:val="Bibliography"/>
      </w:pPr>
      <w:r w:rsidRPr="00642970">
        <w:t>168.</w:t>
      </w:r>
      <w:r w:rsidRPr="00642970">
        <w:tab/>
        <w:t xml:space="preserve">Li T, Horsfall D, Basurto-Lozada D, Roberts K, Prete M, Lawrence JEG, et al. WebAtlas pipeline for integrated single-cell and spatial transcriptomic data. Nat Methods. 2025 Jan;22(1):3–5. </w:t>
      </w:r>
    </w:p>
    <w:p w14:paraId="750DDAC7" w14:textId="77777777" w:rsidR="00642970" w:rsidRPr="00642970" w:rsidRDefault="00642970" w:rsidP="00642970">
      <w:pPr>
        <w:pStyle w:val="Bibliography"/>
      </w:pPr>
      <w:r w:rsidRPr="00642970">
        <w:t>169.</w:t>
      </w:r>
      <w:r w:rsidRPr="00642970">
        <w:tab/>
        <w:t xml:space="preserve">Neumann EK, Patterson NH, Rivera ES, Allen JL, Brewer M, deCaestecker MP, et al. Highly multiplexed immunofluorescence of the human kidney using co-detection by indexing. Kidney Int. 2022 Jan;101(1):137–43. </w:t>
      </w:r>
    </w:p>
    <w:p w14:paraId="2F8EECE5" w14:textId="77777777" w:rsidR="00642970" w:rsidRPr="00642970" w:rsidRDefault="00642970" w:rsidP="00642970">
      <w:pPr>
        <w:pStyle w:val="Bibliography"/>
      </w:pPr>
      <w:r w:rsidRPr="00642970">
        <w:t>170.</w:t>
      </w:r>
      <w:r w:rsidRPr="00642970">
        <w:tab/>
        <w:t xml:space="preserve">Naylor RW, Lemarie E, Jackson-Crawford A, Davenport JB, Mironov A, Lowe M, et al. A novel nanoluciferase transgenic reporter measures proteinuria in zebrafish. Kidney Int. 2022 Oct;102(4):815–27. </w:t>
      </w:r>
    </w:p>
    <w:p w14:paraId="1922D68D" w14:textId="77777777" w:rsidR="00642970" w:rsidRPr="00642970" w:rsidRDefault="00642970" w:rsidP="00642970">
      <w:pPr>
        <w:pStyle w:val="Bibliography"/>
      </w:pPr>
      <w:r w:rsidRPr="00642970">
        <w:t>171.</w:t>
      </w:r>
      <w:r w:rsidRPr="00642970">
        <w:tab/>
        <w:t xml:space="preserve">Chandler JC, Jafree DJ, Malik S, Pomeranz G, Ball M, Kolatsi-Joannou M, et al. Single-cell transcriptomics identifies aberrant glomerular angiogenic signalling in the early stages of WT1 kidney disease. J Pathol. 2024 Oct;264(2):212–27. </w:t>
      </w:r>
    </w:p>
    <w:p w14:paraId="688D8C07" w14:textId="77777777" w:rsidR="00642970" w:rsidRPr="00642970" w:rsidRDefault="00642970" w:rsidP="00642970">
      <w:pPr>
        <w:pStyle w:val="Bibliography"/>
      </w:pPr>
      <w:r w:rsidRPr="00642970">
        <w:t>172.</w:t>
      </w:r>
      <w:r w:rsidRPr="00642970">
        <w:tab/>
        <w:t xml:space="preserve">Richoz N, Tuong ZK, Loudon KW, Patiño-Martínez E, Ferdinand JR, Portet A, et al. Distinct pathogenic roles for resident and monocyte-derived macrophages in lupus nephritis. JCI Insight. 2022 Nov 8;7(21):e159751. </w:t>
      </w:r>
    </w:p>
    <w:p w14:paraId="1941DA36" w14:textId="77777777" w:rsidR="00642970" w:rsidRPr="00642970" w:rsidRDefault="00642970" w:rsidP="00642970">
      <w:pPr>
        <w:pStyle w:val="Bibliography"/>
      </w:pPr>
      <w:r w:rsidRPr="00642970">
        <w:t>173.</w:t>
      </w:r>
      <w:r w:rsidRPr="00642970">
        <w:tab/>
        <w:t xml:space="preserve">Prakash S, Steers NJ, Li Y, Sanchez-Rodriguez E, Verbitsky M, Robbins I, et al. Loss of GalNAc-T14 links O-glycosylation defects to alterations in B cell homing in IgA nephropathy. J Clin Invest. 2025 May 15;135(10):e181164. </w:t>
      </w:r>
    </w:p>
    <w:p w14:paraId="0E5D1227" w14:textId="77777777" w:rsidR="00642970" w:rsidRPr="00642970" w:rsidRDefault="00642970" w:rsidP="00642970">
      <w:pPr>
        <w:pStyle w:val="Bibliography"/>
      </w:pPr>
      <w:r w:rsidRPr="00642970">
        <w:lastRenderedPageBreak/>
        <w:t>174.</w:t>
      </w:r>
      <w:r w:rsidRPr="00642970">
        <w:tab/>
        <w:t xml:space="preserve">Mason WJ, Jafree DJ, Pomeranz G, Kolatsi-Joannou M, Rottner AK, Pacheco S, et al. Systemic gene therapy with thymosin β4 alleviates glomerular injury in mice. Sci Rep. 2022 Jul 16;12(1):12172. </w:t>
      </w:r>
    </w:p>
    <w:p w14:paraId="238E0F0D" w14:textId="77777777" w:rsidR="00642970" w:rsidRPr="00642970" w:rsidRDefault="00642970" w:rsidP="00642970">
      <w:pPr>
        <w:pStyle w:val="Bibliography"/>
      </w:pPr>
      <w:r w:rsidRPr="00642970">
        <w:t>175.</w:t>
      </w:r>
      <w:r w:rsidRPr="00642970">
        <w:tab/>
        <w:t xml:space="preserve">Ding WY, Kuzmuk V, Hunter S, Lay A, Hayes B, Beesley M, et al. Adeno-associated virus gene therapy prevents progression of kidney disease in genetic models of nephrotic syndrome. Sci Transl Med. 2023 Aug 9;15(708):eabc8226. </w:t>
      </w:r>
    </w:p>
    <w:p w14:paraId="1BE437FF" w14:textId="77777777" w:rsidR="00642970" w:rsidRPr="00642970" w:rsidRDefault="00642970" w:rsidP="00642970">
      <w:pPr>
        <w:pStyle w:val="Bibliography"/>
      </w:pPr>
      <w:r w:rsidRPr="00642970">
        <w:t>176.</w:t>
      </w:r>
      <w:r w:rsidRPr="00642970">
        <w:tab/>
        <w:t xml:space="preserve">Tuffin J, Chesor M, Kuzmuk V, Johnson T, Satchell SC, Welsh GI, et al. GlomSpheres as a 3D co-culture spheroid model of the kidney glomerulus for rapid drug-screening. Commun Biol. 2021 Dec 2;4(1):1351. </w:t>
      </w:r>
    </w:p>
    <w:p w14:paraId="1D44F60C" w14:textId="77777777" w:rsidR="00642970" w:rsidRPr="00642970" w:rsidRDefault="00642970" w:rsidP="00642970">
      <w:pPr>
        <w:pStyle w:val="Bibliography"/>
      </w:pPr>
      <w:r w:rsidRPr="00642970">
        <w:t>177.</w:t>
      </w:r>
      <w:r w:rsidRPr="00642970">
        <w:tab/>
        <w:t xml:space="preserve">Bantounas I, Rooney KM, Lopes FM, Tengku F, Woods S, Zeef LAH, et al. Human pluripotent stem cell-derived kidney organoids reveal tubular epithelial pathobiology of heterozygous HNF1B-associated dysplastic kidney malformations. Stem Cell Rep. 2024 Jun 11;19(6):859–76. </w:t>
      </w:r>
    </w:p>
    <w:p w14:paraId="799FFDFA" w14:textId="77777777" w:rsidR="00642970" w:rsidRPr="00642970" w:rsidRDefault="00642970" w:rsidP="00642970">
      <w:pPr>
        <w:pStyle w:val="Bibliography"/>
      </w:pPr>
      <w:r w:rsidRPr="00642970">
        <w:t>178.</w:t>
      </w:r>
      <w:r w:rsidRPr="00642970">
        <w:tab/>
        <w:t xml:space="preserve">Hale LJ, Howden SE, Phipson B, Lonsdale A, Er PX, Ghobrial I, et al. 3D organoid-derived human glomeruli for personalised podocyte disease modelling and drug screening. Nat Commun. 2018 Dec 4;9(1):5167. </w:t>
      </w:r>
    </w:p>
    <w:p w14:paraId="09DF54F0" w14:textId="77777777" w:rsidR="00642970" w:rsidRPr="00642970" w:rsidRDefault="00642970" w:rsidP="00642970">
      <w:pPr>
        <w:pStyle w:val="Bibliography"/>
      </w:pPr>
      <w:r w:rsidRPr="00642970">
        <w:t>179.</w:t>
      </w:r>
      <w:r w:rsidRPr="00642970">
        <w:tab/>
        <w:t xml:space="preserve">Tian P, Koudis NM, Morais MRPT, Pickard A, Fresquet M, Adamson A, et al. Collagen IV assembly is influenced by fluid flow in kidney cell-derived matrices. Cells Dev. 2024 Sep 1;179:203923. </w:t>
      </w:r>
    </w:p>
    <w:p w14:paraId="57CA2B11" w14:textId="77777777" w:rsidR="00642970" w:rsidRPr="00642970" w:rsidRDefault="00642970" w:rsidP="00642970">
      <w:pPr>
        <w:pStyle w:val="Bibliography"/>
      </w:pPr>
      <w:r w:rsidRPr="00642970">
        <w:t>180.</w:t>
      </w:r>
      <w:r w:rsidRPr="00642970">
        <w:tab/>
        <w:t>Mason WJ, Chandler JC, Pomeranz G, Price KL, Antonelou M, Henderson SR, et al. Vincristine treatment reverses podocyte damage in focal segmental glomerulosclerosis [Internet]. bioRxiv; 2024 [cited 2025 Jul 9]. p. 2024.11.13.623397. Available from: https://www.biorxiv.org/content/10.1101/2024.11.13.623397v1</w:t>
      </w:r>
    </w:p>
    <w:p w14:paraId="01E307A4" w14:textId="77777777" w:rsidR="00642970" w:rsidRPr="00642970" w:rsidRDefault="00642970" w:rsidP="00642970">
      <w:pPr>
        <w:pStyle w:val="Bibliography"/>
      </w:pPr>
      <w:r w:rsidRPr="00642970">
        <w:t>181.</w:t>
      </w:r>
      <w:r w:rsidRPr="00642970">
        <w:tab/>
        <w:t xml:space="preserve">Nazmutdinova K, Man CY, Carter M, Beales PL, Winyard PJD, Walsh SB, et al. Cell Catcher: A New Method to Extract and Preserve Live Renal Cells from Urine. Kidney360. 2024 Sep 1;5(9):1359–63. </w:t>
      </w:r>
    </w:p>
    <w:p w14:paraId="7DA8D798" w14:textId="77777777" w:rsidR="00642970" w:rsidRPr="00642970" w:rsidRDefault="00642970" w:rsidP="00642970">
      <w:pPr>
        <w:pStyle w:val="Bibliography"/>
      </w:pPr>
      <w:r w:rsidRPr="00642970">
        <w:t>182.</w:t>
      </w:r>
      <w:r w:rsidRPr="00642970">
        <w:tab/>
        <w:t xml:space="preserve">Molinari E, Decker E, Mabillard H, Tellez J, Srivastava S, Raman S, et al. Human urine-derived renal epithelial cells provide insights into kidney-specific alternate splicing variants. Eur J Hum Genet EJHG. 2018 Dec;26(12):1791–6. </w:t>
      </w:r>
    </w:p>
    <w:p w14:paraId="5163EB30" w14:textId="77777777" w:rsidR="00642970" w:rsidRPr="00642970" w:rsidRDefault="00642970" w:rsidP="00642970">
      <w:pPr>
        <w:pStyle w:val="Bibliography"/>
      </w:pPr>
      <w:r w:rsidRPr="00642970">
        <w:t>183.</w:t>
      </w:r>
      <w:r w:rsidRPr="00642970">
        <w:tab/>
        <w:t xml:space="preserve">Mulder J, Sharmin S, Chow T, Rodrigues DC, Hildebrandt MR, D’Cruz R, et al. Generation of infant- and pediatric-derived urinary induced pluripotent stem cells competent to form kidney organoids. Pediatr Res. 2020 Mar;87(4):647–55. </w:t>
      </w:r>
    </w:p>
    <w:p w14:paraId="014282B5" w14:textId="77777777" w:rsidR="00642970" w:rsidRPr="00642970" w:rsidRDefault="00642970" w:rsidP="00642970">
      <w:pPr>
        <w:pStyle w:val="Bibliography"/>
      </w:pPr>
      <w:r w:rsidRPr="00642970">
        <w:t>184.</w:t>
      </w:r>
      <w:r w:rsidRPr="00642970">
        <w:tab/>
        <w:t xml:space="preserve">Palma A, Theis FJ, Lotfollahi M. Predicting cell morphological responses to perturbations using generative modeling. Nat Commun. 2025 Jan 8;16(1):505. </w:t>
      </w:r>
    </w:p>
    <w:p w14:paraId="6F9D0D4D" w14:textId="77777777" w:rsidR="00642970" w:rsidRPr="00642970" w:rsidRDefault="00642970" w:rsidP="00642970">
      <w:pPr>
        <w:pStyle w:val="Bibliography"/>
      </w:pPr>
      <w:r w:rsidRPr="00642970">
        <w:t>185.</w:t>
      </w:r>
      <w:r w:rsidRPr="00642970">
        <w:tab/>
        <w:t xml:space="preserve">Cui H, Wang C, Maan H, Pang K, Luo F, Duan N, et al. scGPT: toward building a foundation model for single-cell multi-omics using generative AI. Nat Methods. 2024 Aug;21(8):1470–80. </w:t>
      </w:r>
    </w:p>
    <w:p w14:paraId="771441F9" w14:textId="77777777" w:rsidR="00642970" w:rsidRPr="00642970" w:rsidRDefault="00642970" w:rsidP="00642970">
      <w:pPr>
        <w:pStyle w:val="Bibliography"/>
      </w:pPr>
      <w:r w:rsidRPr="00642970">
        <w:t>186.</w:t>
      </w:r>
      <w:r w:rsidRPr="00642970">
        <w:tab/>
        <w:t>Akbarnejad A, Steele L, Jafree DJ, Birk S, Sallese MR, Rademaker K, et al. Mapping and reprogramming microenvironment-induced cell states in human disease using generative AI [Internet]. bioRxiv; 2025 [cited 2025 Jul 9]. p. 2025.06.24.661094. Available from: https://www.biorxiv.org/content/10.1101/2025.06.24.661094v1</w:t>
      </w:r>
    </w:p>
    <w:p w14:paraId="5F33F48D" w14:textId="77777777" w:rsidR="00642970" w:rsidRPr="00642970" w:rsidRDefault="00642970" w:rsidP="00642970">
      <w:pPr>
        <w:pStyle w:val="Bibliography"/>
      </w:pPr>
      <w:r w:rsidRPr="00642970">
        <w:lastRenderedPageBreak/>
        <w:t>187.</w:t>
      </w:r>
      <w:r w:rsidRPr="00642970">
        <w:tab/>
        <w:t xml:space="preserve">Stewart BJ, Ferdinand JR, Young MD, Mitchell TJ, Loudon KW, Riding AM, et al. Spatiotemporal immune zonation of the human kidney. Science. 2019 Sep 27;365(6460):1461–6. </w:t>
      </w:r>
    </w:p>
    <w:p w14:paraId="6739B23E" w14:textId="77777777" w:rsidR="00642970" w:rsidRPr="00642970" w:rsidRDefault="00642970" w:rsidP="00642970">
      <w:pPr>
        <w:pStyle w:val="Bibliography"/>
      </w:pPr>
      <w:r w:rsidRPr="00642970">
        <w:t>188.</w:t>
      </w:r>
      <w:r w:rsidRPr="00642970">
        <w:tab/>
        <w:t xml:space="preserve">Chan EYH, Yap DYH, Colucci M, Ma ALT, Parekh RS, Tullus K. Use of Rituximab in Childhood Idiopathic Nephrotic Syndrome. Clin J Am Soc Nephrol CJASN. 2023 Apr 1;18(4):533–48. </w:t>
      </w:r>
    </w:p>
    <w:p w14:paraId="2B77D961" w14:textId="77777777" w:rsidR="00642970" w:rsidRPr="00642970" w:rsidRDefault="00642970" w:rsidP="00642970">
      <w:pPr>
        <w:pStyle w:val="Bibliography"/>
      </w:pPr>
      <w:r w:rsidRPr="00642970">
        <w:t>189.</w:t>
      </w:r>
      <w:r w:rsidRPr="00642970">
        <w:tab/>
        <w:t xml:space="preserve">de Groot K, Harper L, Jayne DRW, Flores Suarez LF, Gregorini G, Gross WL, et al. Pulse versus daily oral cyclophosphamide for induction of remission in antineutrophil cytoplasmic antibody-associated vasculitis: a randomized trial. Ann Intern Med. 2009 May 19;150(10):670–80. </w:t>
      </w:r>
    </w:p>
    <w:p w14:paraId="2FDB2473" w14:textId="77777777" w:rsidR="00642970" w:rsidRPr="00642970" w:rsidRDefault="00642970" w:rsidP="00642970">
      <w:pPr>
        <w:pStyle w:val="Bibliography"/>
      </w:pPr>
      <w:r w:rsidRPr="00642970">
        <w:t>190.</w:t>
      </w:r>
      <w:r w:rsidRPr="00642970">
        <w:tab/>
        <w:t xml:space="preserve">Austin HA, Klippel JH, Balow JE, le Riche NG, Steinberg AD, Plotz PH, et al. Therapy of lupus nephritis. Controlled trial of prednisone and cytotoxic drugs. N Engl J Med. 1986 Mar 6;314(10):614–9. </w:t>
      </w:r>
    </w:p>
    <w:p w14:paraId="05120AD3" w14:textId="77777777" w:rsidR="00642970" w:rsidRPr="00642970" w:rsidRDefault="00642970" w:rsidP="00642970">
      <w:pPr>
        <w:pStyle w:val="Bibliography"/>
      </w:pPr>
      <w:r w:rsidRPr="00642970">
        <w:t>191.</w:t>
      </w:r>
      <w:r w:rsidRPr="00642970">
        <w:tab/>
        <w:t xml:space="preserve">Houssiau FA, Vasconcelos C, D’Cruz D, Sebastiani GD, Garrido Ed E de R, Danieli MG, et al. Immunosuppressive therapy in lupus nephritis: the Euro-Lupus Nephritis Trial, a randomized trial of low-dose versus high-dose intravenous cyclophosphamide. Arthritis Rheum. 2002 Aug;46(8):2121–31. </w:t>
      </w:r>
    </w:p>
    <w:p w14:paraId="255E5C74" w14:textId="2035F93A" w:rsidR="00D17944" w:rsidRPr="00117750" w:rsidRDefault="001630D4" w:rsidP="00642970">
      <w:pPr>
        <w:pStyle w:val="Bibliography"/>
        <w:rPr>
          <w:rFonts w:cstheme="minorHAnsi"/>
          <w:sz w:val="22"/>
          <w:szCs w:val="22"/>
        </w:rPr>
      </w:pPr>
      <w:r>
        <w:rPr>
          <w:rFonts w:cstheme="minorHAnsi"/>
          <w:sz w:val="22"/>
          <w:szCs w:val="22"/>
        </w:rPr>
        <w:fldChar w:fldCharType="end"/>
      </w:r>
    </w:p>
    <w:sectPr w:rsidR="00D17944" w:rsidRPr="00117750" w:rsidSect="00F16259">
      <w:headerReference w:type="even" r:id="rId8"/>
      <w:headerReference w:type="default" r:id="rId9"/>
      <w:footerReference w:type="even" r:id="rId10"/>
      <w:footerReference w:type="default" r:id="rId11"/>
      <w:headerReference w:type="first" r:id="rId12"/>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19324" w14:textId="77777777" w:rsidR="00A23DBA" w:rsidRDefault="00A23DBA">
      <w:r>
        <w:separator/>
      </w:r>
    </w:p>
  </w:endnote>
  <w:endnote w:type="continuationSeparator" w:id="0">
    <w:p w14:paraId="388E67D3" w14:textId="77777777" w:rsidR="00A23DBA" w:rsidRDefault="00A23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FrutigerLTPro-Condensed">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6936767"/>
      <w:docPartObj>
        <w:docPartGallery w:val="Page Numbers (Bottom of Page)"/>
        <w:docPartUnique/>
      </w:docPartObj>
    </w:sdtPr>
    <w:sdtEndPr>
      <w:rPr>
        <w:rStyle w:val="PageNumber"/>
      </w:rPr>
    </w:sdtEndPr>
    <w:sdtContent>
      <w:p w14:paraId="1B971CCE" w14:textId="103FE559" w:rsidR="006B76E3" w:rsidRDefault="006B76E3" w:rsidP="00B77C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B10845" w14:textId="77777777" w:rsidR="006B76E3" w:rsidRDefault="006B76E3" w:rsidP="007F57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68164708"/>
      <w:docPartObj>
        <w:docPartGallery w:val="Page Numbers (Bottom of Page)"/>
        <w:docPartUnique/>
      </w:docPartObj>
    </w:sdtPr>
    <w:sdtEndPr>
      <w:rPr>
        <w:rStyle w:val="PageNumber"/>
      </w:rPr>
    </w:sdtEndPr>
    <w:sdtContent>
      <w:p w14:paraId="077A5A55" w14:textId="4F08D8CD" w:rsidR="006B76E3" w:rsidRDefault="006B76E3" w:rsidP="00B77C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C24FC">
          <w:rPr>
            <w:rStyle w:val="PageNumber"/>
            <w:noProof/>
          </w:rPr>
          <w:t>23</w:t>
        </w:r>
        <w:r>
          <w:rPr>
            <w:rStyle w:val="PageNumber"/>
          </w:rPr>
          <w:fldChar w:fldCharType="end"/>
        </w:r>
      </w:p>
    </w:sdtContent>
  </w:sdt>
  <w:p w14:paraId="112406B9" w14:textId="2E22A938" w:rsidR="000407F3" w:rsidRPr="000407F3" w:rsidRDefault="000407F3" w:rsidP="000407F3">
    <w:pPr>
      <w:pStyle w:val="Header"/>
      <w:rPr>
        <w:sz w:val="20"/>
        <w:szCs w:val="20"/>
      </w:rPr>
    </w:pPr>
    <w:r w:rsidRPr="000407F3">
      <w:rPr>
        <w:rFonts w:cstheme="minorHAnsi"/>
        <w:sz w:val="20"/>
        <w:szCs w:val="20"/>
      </w:rPr>
      <w:t xml:space="preserve">Treatment of immune mediated glomerular diseases in children </w:t>
    </w:r>
  </w:p>
  <w:p w14:paraId="7292DECD" w14:textId="77777777" w:rsidR="006B76E3" w:rsidRDefault="006B76E3" w:rsidP="007F57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F4254" w14:textId="77777777" w:rsidR="00A23DBA" w:rsidRDefault="00A23DBA">
      <w:r>
        <w:separator/>
      </w:r>
    </w:p>
  </w:footnote>
  <w:footnote w:type="continuationSeparator" w:id="0">
    <w:p w14:paraId="3D53AF3B" w14:textId="77777777" w:rsidR="00A23DBA" w:rsidRDefault="00A23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8A6BF" w14:textId="78F385BD" w:rsidR="00822870" w:rsidRDefault="00C12F21">
    <w:pPr>
      <w:pStyle w:val="Header"/>
    </w:pPr>
    <w:r>
      <w:rPr>
        <w:noProof/>
      </w:rPr>
      <w:pict w14:anchorId="30B3B3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04079" o:spid="_x0000_s2050" type="#_x0000_t136" style="position:absolute;margin-left:0;margin-top:0;width:460.85pt;height:276.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186C7" w14:textId="150F2CF0" w:rsidR="00294DCD" w:rsidRDefault="00C12F21" w:rsidP="00181BAF">
    <w:pPr>
      <w:pStyle w:val="Header"/>
      <w:jc w:val="center"/>
      <w:rPr>
        <w:rFonts w:cstheme="minorHAnsi"/>
        <w:sz w:val="22"/>
        <w:szCs w:val="22"/>
      </w:rPr>
    </w:pPr>
    <w:r>
      <w:rPr>
        <w:noProof/>
      </w:rPr>
      <w:pict w14:anchorId="2EFF59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04080" o:spid="_x0000_s2051" type="#_x0000_t136" style="position:absolute;left:0;text-align:left;margin-left:0;margin-top:0;width:460.85pt;height:276.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294DCD">
      <w:rPr>
        <w:noProof/>
      </w:rPr>
      <w:drawing>
        <wp:anchor distT="0" distB="0" distL="114300" distR="114300" simplePos="0" relativeHeight="251658240" behindDoc="1" locked="0" layoutInCell="1" allowOverlap="1" wp14:anchorId="2DCB2229" wp14:editId="0796371A">
          <wp:simplePos x="0" y="0"/>
          <wp:positionH relativeFrom="column">
            <wp:posOffset>5412776</wp:posOffset>
          </wp:positionH>
          <wp:positionV relativeFrom="paragraph">
            <wp:posOffset>-215900</wp:posOffset>
          </wp:positionV>
          <wp:extent cx="1438873" cy="673100"/>
          <wp:effectExtent l="0" t="0" r="9525" b="0"/>
          <wp:wrapNone/>
          <wp:docPr id="1515957076" name="Picture 1" descr="A blue and pink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957076" name="Picture 1" descr="A blue and pink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41554" cy="674354"/>
                  </a:xfrm>
                  <a:prstGeom prst="rect">
                    <a:avLst/>
                  </a:prstGeom>
                </pic:spPr>
              </pic:pic>
            </a:graphicData>
          </a:graphic>
          <wp14:sizeRelH relativeFrom="margin">
            <wp14:pctWidth>0</wp14:pctWidth>
          </wp14:sizeRelH>
          <wp14:sizeRelV relativeFrom="margin">
            <wp14:pctHeight>0</wp14:pctHeight>
          </wp14:sizeRelV>
        </wp:anchor>
      </w:drawing>
    </w:r>
  </w:p>
  <w:p w14:paraId="607ADE3D" w14:textId="77777777" w:rsidR="00294DCD" w:rsidRDefault="00294DCD" w:rsidP="00181BAF">
    <w:pPr>
      <w:pStyle w:val="Header"/>
      <w:jc w:val="center"/>
      <w:rPr>
        <w:rFonts w:cstheme="minorHAnsi"/>
        <w:sz w:val="22"/>
        <w:szCs w:val="22"/>
      </w:rPr>
    </w:pPr>
  </w:p>
  <w:p w14:paraId="7EFEA95A" w14:textId="77777777" w:rsidR="00294DCD" w:rsidRDefault="00294DCD" w:rsidP="00181BAF">
    <w:pPr>
      <w:pStyle w:val="Header"/>
      <w:jc w:val="center"/>
      <w:rPr>
        <w:rFonts w:cstheme="minorHAns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0E0E" w14:textId="7872B2B3" w:rsidR="00822870" w:rsidRDefault="00C12F21">
    <w:pPr>
      <w:pStyle w:val="Header"/>
    </w:pPr>
    <w:r>
      <w:rPr>
        <w:noProof/>
      </w:rPr>
      <w:pict w14:anchorId="12A253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04078" o:spid="_x0000_s2049" type="#_x0000_t136" style="position:absolute;margin-left:0;margin-top:0;width:460.85pt;height:276.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F62"/>
    <w:multiLevelType w:val="hybridMultilevel"/>
    <w:tmpl w:val="4A028FEA"/>
    <w:lvl w:ilvl="0" w:tplc="2E7EFCAE">
      <w:start w:val="1"/>
      <w:numFmt w:val="bullet"/>
      <w:lvlText w:val=""/>
      <w:lvlJc w:val="left"/>
      <w:pPr>
        <w:ind w:left="720" w:hanging="360"/>
      </w:pPr>
      <w:rPr>
        <w:rFonts w:ascii="Symbol" w:hAnsi="Symbol" w:hint="default"/>
      </w:rPr>
    </w:lvl>
    <w:lvl w:ilvl="1" w:tplc="61BAAA36" w:tentative="1">
      <w:start w:val="1"/>
      <w:numFmt w:val="bullet"/>
      <w:lvlText w:val="o"/>
      <w:lvlJc w:val="left"/>
      <w:pPr>
        <w:ind w:left="1440" w:hanging="360"/>
      </w:pPr>
      <w:rPr>
        <w:rFonts w:ascii="Courier New" w:hAnsi="Courier New" w:cs="Courier New" w:hint="default"/>
      </w:rPr>
    </w:lvl>
    <w:lvl w:ilvl="2" w:tplc="88EE8A6E" w:tentative="1">
      <w:start w:val="1"/>
      <w:numFmt w:val="bullet"/>
      <w:lvlText w:val=""/>
      <w:lvlJc w:val="left"/>
      <w:pPr>
        <w:ind w:left="2160" w:hanging="360"/>
      </w:pPr>
      <w:rPr>
        <w:rFonts w:ascii="Wingdings" w:hAnsi="Wingdings" w:hint="default"/>
      </w:rPr>
    </w:lvl>
    <w:lvl w:ilvl="3" w:tplc="08E8E6CC" w:tentative="1">
      <w:start w:val="1"/>
      <w:numFmt w:val="bullet"/>
      <w:lvlText w:val=""/>
      <w:lvlJc w:val="left"/>
      <w:pPr>
        <w:ind w:left="2880" w:hanging="360"/>
      </w:pPr>
      <w:rPr>
        <w:rFonts w:ascii="Symbol" w:hAnsi="Symbol" w:hint="default"/>
      </w:rPr>
    </w:lvl>
    <w:lvl w:ilvl="4" w:tplc="A366FE32" w:tentative="1">
      <w:start w:val="1"/>
      <w:numFmt w:val="bullet"/>
      <w:lvlText w:val="o"/>
      <w:lvlJc w:val="left"/>
      <w:pPr>
        <w:ind w:left="3600" w:hanging="360"/>
      </w:pPr>
      <w:rPr>
        <w:rFonts w:ascii="Courier New" w:hAnsi="Courier New" w:cs="Courier New" w:hint="default"/>
      </w:rPr>
    </w:lvl>
    <w:lvl w:ilvl="5" w:tplc="498E2366" w:tentative="1">
      <w:start w:val="1"/>
      <w:numFmt w:val="bullet"/>
      <w:lvlText w:val=""/>
      <w:lvlJc w:val="left"/>
      <w:pPr>
        <w:ind w:left="4320" w:hanging="360"/>
      </w:pPr>
      <w:rPr>
        <w:rFonts w:ascii="Wingdings" w:hAnsi="Wingdings" w:hint="default"/>
      </w:rPr>
    </w:lvl>
    <w:lvl w:ilvl="6" w:tplc="5302E12A" w:tentative="1">
      <w:start w:val="1"/>
      <w:numFmt w:val="bullet"/>
      <w:lvlText w:val=""/>
      <w:lvlJc w:val="left"/>
      <w:pPr>
        <w:ind w:left="5040" w:hanging="360"/>
      </w:pPr>
      <w:rPr>
        <w:rFonts w:ascii="Symbol" w:hAnsi="Symbol" w:hint="default"/>
      </w:rPr>
    </w:lvl>
    <w:lvl w:ilvl="7" w:tplc="A92A4522" w:tentative="1">
      <w:start w:val="1"/>
      <w:numFmt w:val="bullet"/>
      <w:lvlText w:val="o"/>
      <w:lvlJc w:val="left"/>
      <w:pPr>
        <w:ind w:left="5760" w:hanging="360"/>
      </w:pPr>
      <w:rPr>
        <w:rFonts w:ascii="Courier New" w:hAnsi="Courier New" w:cs="Courier New" w:hint="default"/>
      </w:rPr>
    </w:lvl>
    <w:lvl w:ilvl="8" w:tplc="74765CAA" w:tentative="1">
      <w:start w:val="1"/>
      <w:numFmt w:val="bullet"/>
      <w:lvlText w:val=""/>
      <w:lvlJc w:val="left"/>
      <w:pPr>
        <w:ind w:left="6480" w:hanging="360"/>
      </w:pPr>
      <w:rPr>
        <w:rFonts w:ascii="Wingdings" w:hAnsi="Wingdings" w:hint="default"/>
      </w:rPr>
    </w:lvl>
  </w:abstractNum>
  <w:abstractNum w:abstractNumId="1" w15:restartNumberingAfterBreak="0">
    <w:nsid w:val="0A46440A"/>
    <w:multiLevelType w:val="hybridMultilevel"/>
    <w:tmpl w:val="CA26BAAA"/>
    <w:lvl w:ilvl="0" w:tplc="42ECD300">
      <w:start w:val="1"/>
      <w:numFmt w:val="lowerRoman"/>
      <w:lvlText w:val="%1."/>
      <w:lvlJc w:val="right"/>
      <w:pPr>
        <w:ind w:left="720" w:hanging="360"/>
      </w:pPr>
    </w:lvl>
    <w:lvl w:ilvl="1" w:tplc="68CCBEE8" w:tentative="1">
      <w:start w:val="1"/>
      <w:numFmt w:val="lowerLetter"/>
      <w:lvlText w:val="%2."/>
      <w:lvlJc w:val="left"/>
      <w:pPr>
        <w:ind w:left="1440" w:hanging="360"/>
      </w:pPr>
    </w:lvl>
    <w:lvl w:ilvl="2" w:tplc="7688B356" w:tentative="1">
      <w:start w:val="1"/>
      <w:numFmt w:val="lowerRoman"/>
      <w:lvlText w:val="%3."/>
      <w:lvlJc w:val="right"/>
      <w:pPr>
        <w:ind w:left="2160" w:hanging="180"/>
      </w:pPr>
    </w:lvl>
    <w:lvl w:ilvl="3" w:tplc="7FD6A930" w:tentative="1">
      <w:start w:val="1"/>
      <w:numFmt w:val="decimal"/>
      <w:lvlText w:val="%4."/>
      <w:lvlJc w:val="left"/>
      <w:pPr>
        <w:ind w:left="2880" w:hanging="360"/>
      </w:pPr>
    </w:lvl>
    <w:lvl w:ilvl="4" w:tplc="359CF8E0" w:tentative="1">
      <w:start w:val="1"/>
      <w:numFmt w:val="lowerLetter"/>
      <w:lvlText w:val="%5."/>
      <w:lvlJc w:val="left"/>
      <w:pPr>
        <w:ind w:left="3600" w:hanging="360"/>
      </w:pPr>
    </w:lvl>
    <w:lvl w:ilvl="5" w:tplc="6270E578" w:tentative="1">
      <w:start w:val="1"/>
      <w:numFmt w:val="lowerRoman"/>
      <w:lvlText w:val="%6."/>
      <w:lvlJc w:val="right"/>
      <w:pPr>
        <w:ind w:left="4320" w:hanging="180"/>
      </w:pPr>
    </w:lvl>
    <w:lvl w:ilvl="6" w:tplc="D7F69490" w:tentative="1">
      <w:start w:val="1"/>
      <w:numFmt w:val="decimal"/>
      <w:lvlText w:val="%7."/>
      <w:lvlJc w:val="left"/>
      <w:pPr>
        <w:ind w:left="5040" w:hanging="360"/>
      </w:pPr>
    </w:lvl>
    <w:lvl w:ilvl="7" w:tplc="C81A3748" w:tentative="1">
      <w:start w:val="1"/>
      <w:numFmt w:val="lowerLetter"/>
      <w:lvlText w:val="%8."/>
      <w:lvlJc w:val="left"/>
      <w:pPr>
        <w:ind w:left="5760" w:hanging="360"/>
      </w:pPr>
    </w:lvl>
    <w:lvl w:ilvl="8" w:tplc="0F326BE6" w:tentative="1">
      <w:start w:val="1"/>
      <w:numFmt w:val="lowerRoman"/>
      <w:lvlText w:val="%9."/>
      <w:lvlJc w:val="right"/>
      <w:pPr>
        <w:ind w:left="6480" w:hanging="180"/>
      </w:pPr>
    </w:lvl>
  </w:abstractNum>
  <w:abstractNum w:abstractNumId="2" w15:restartNumberingAfterBreak="0">
    <w:nsid w:val="11BE5B27"/>
    <w:multiLevelType w:val="hybridMultilevel"/>
    <w:tmpl w:val="7F3EE540"/>
    <w:lvl w:ilvl="0" w:tplc="16FAB75C">
      <w:start w:val="1"/>
      <w:numFmt w:val="bullet"/>
      <w:lvlText w:val=""/>
      <w:lvlJc w:val="left"/>
      <w:pPr>
        <w:ind w:left="720" w:hanging="360"/>
      </w:pPr>
      <w:rPr>
        <w:rFonts w:ascii="Symbol" w:hAnsi="Symbol" w:hint="default"/>
      </w:rPr>
    </w:lvl>
    <w:lvl w:ilvl="1" w:tplc="DD989116" w:tentative="1">
      <w:start w:val="1"/>
      <w:numFmt w:val="bullet"/>
      <w:lvlText w:val="o"/>
      <w:lvlJc w:val="left"/>
      <w:pPr>
        <w:ind w:left="1440" w:hanging="360"/>
      </w:pPr>
      <w:rPr>
        <w:rFonts w:ascii="Courier New" w:hAnsi="Courier New" w:cs="Courier New" w:hint="default"/>
      </w:rPr>
    </w:lvl>
    <w:lvl w:ilvl="2" w:tplc="8246414E" w:tentative="1">
      <w:start w:val="1"/>
      <w:numFmt w:val="bullet"/>
      <w:lvlText w:val=""/>
      <w:lvlJc w:val="left"/>
      <w:pPr>
        <w:ind w:left="2160" w:hanging="360"/>
      </w:pPr>
      <w:rPr>
        <w:rFonts w:ascii="Wingdings" w:hAnsi="Wingdings" w:hint="default"/>
      </w:rPr>
    </w:lvl>
    <w:lvl w:ilvl="3" w:tplc="D4741480" w:tentative="1">
      <w:start w:val="1"/>
      <w:numFmt w:val="bullet"/>
      <w:lvlText w:val=""/>
      <w:lvlJc w:val="left"/>
      <w:pPr>
        <w:ind w:left="2880" w:hanging="360"/>
      </w:pPr>
      <w:rPr>
        <w:rFonts w:ascii="Symbol" w:hAnsi="Symbol" w:hint="default"/>
      </w:rPr>
    </w:lvl>
    <w:lvl w:ilvl="4" w:tplc="AF340E3A" w:tentative="1">
      <w:start w:val="1"/>
      <w:numFmt w:val="bullet"/>
      <w:lvlText w:val="o"/>
      <w:lvlJc w:val="left"/>
      <w:pPr>
        <w:ind w:left="3600" w:hanging="360"/>
      </w:pPr>
      <w:rPr>
        <w:rFonts w:ascii="Courier New" w:hAnsi="Courier New" w:cs="Courier New" w:hint="default"/>
      </w:rPr>
    </w:lvl>
    <w:lvl w:ilvl="5" w:tplc="41FEF7DA" w:tentative="1">
      <w:start w:val="1"/>
      <w:numFmt w:val="bullet"/>
      <w:lvlText w:val=""/>
      <w:lvlJc w:val="left"/>
      <w:pPr>
        <w:ind w:left="4320" w:hanging="360"/>
      </w:pPr>
      <w:rPr>
        <w:rFonts w:ascii="Wingdings" w:hAnsi="Wingdings" w:hint="default"/>
      </w:rPr>
    </w:lvl>
    <w:lvl w:ilvl="6" w:tplc="F166919C" w:tentative="1">
      <w:start w:val="1"/>
      <w:numFmt w:val="bullet"/>
      <w:lvlText w:val=""/>
      <w:lvlJc w:val="left"/>
      <w:pPr>
        <w:ind w:left="5040" w:hanging="360"/>
      </w:pPr>
      <w:rPr>
        <w:rFonts w:ascii="Symbol" w:hAnsi="Symbol" w:hint="default"/>
      </w:rPr>
    </w:lvl>
    <w:lvl w:ilvl="7" w:tplc="AAE0F068" w:tentative="1">
      <w:start w:val="1"/>
      <w:numFmt w:val="bullet"/>
      <w:lvlText w:val="o"/>
      <w:lvlJc w:val="left"/>
      <w:pPr>
        <w:ind w:left="5760" w:hanging="360"/>
      </w:pPr>
      <w:rPr>
        <w:rFonts w:ascii="Courier New" w:hAnsi="Courier New" w:cs="Courier New" w:hint="default"/>
      </w:rPr>
    </w:lvl>
    <w:lvl w:ilvl="8" w:tplc="6276C73A" w:tentative="1">
      <w:start w:val="1"/>
      <w:numFmt w:val="bullet"/>
      <w:lvlText w:val=""/>
      <w:lvlJc w:val="left"/>
      <w:pPr>
        <w:ind w:left="6480" w:hanging="360"/>
      </w:pPr>
      <w:rPr>
        <w:rFonts w:ascii="Wingdings" w:hAnsi="Wingdings" w:hint="default"/>
      </w:rPr>
    </w:lvl>
  </w:abstractNum>
  <w:abstractNum w:abstractNumId="3" w15:restartNumberingAfterBreak="0">
    <w:nsid w:val="14106DEF"/>
    <w:multiLevelType w:val="hybridMultilevel"/>
    <w:tmpl w:val="7F66D370"/>
    <w:lvl w:ilvl="0" w:tplc="4D16D512">
      <w:start w:val="1"/>
      <w:numFmt w:val="bullet"/>
      <w:lvlText w:val=""/>
      <w:lvlJc w:val="left"/>
      <w:pPr>
        <w:ind w:left="720" w:hanging="360"/>
      </w:pPr>
      <w:rPr>
        <w:rFonts w:ascii="Symbol" w:hAnsi="Symbol" w:hint="default"/>
      </w:rPr>
    </w:lvl>
    <w:lvl w:ilvl="1" w:tplc="C4CC4D18" w:tentative="1">
      <w:start w:val="1"/>
      <w:numFmt w:val="bullet"/>
      <w:lvlText w:val="o"/>
      <w:lvlJc w:val="left"/>
      <w:pPr>
        <w:ind w:left="1440" w:hanging="360"/>
      </w:pPr>
      <w:rPr>
        <w:rFonts w:ascii="Courier New" w:hAnsi="Courier New" w:cs="Courier New" w:hint="default"/>
      </w:rPr>
    </w:lvl>
    <w:lvl w:ilvl="2" w:tplc="E0FEF83A" w:tentative="1">
      <w:start w:val="1"/>
      <w:numFmt w:val="bullet"/>
      <w:lvlText w:val=""/>
      <w:lvlJc w:val="left"/>
      <w:pPr>
        <w:ind w:left="2160" w:hanging="360"/>
      </w:pPr>
      <w:rPr>
        <w:rFonts w:ascii="Wingdings" w:hAnsi="Wingdings" w:hint="default"/>
      </w:rPr>
    </w:lvl>
    <w:lvl w:ilvl="3" w:tplc="71729516" w:tentative="1">
      <w:start w:val="1"/>
      <w:numFmt w:val="bullet"/>
      <w:lvlText w:val=""/>
      <w:lvlJc w:val="left"/>
      <w:pPr>
        <w:ind w:left="2880" w:hanging="360"/>
      </w:pPr>
      <w:rPr>
        <w:rFonts w:ascii="Symbol" w:hAnsi="Symbol" w:hint="default"/>
      </w:rPr>
    </w:lvl>
    <w:lvl w:ilvl="4" w:tplc="D26E4196" w:tentative="1">
      <w:start w:val="1"/>
      <w:numFmt w:val="bullet"/>
      <w:lvlText w:val="o"/>
      <w:lvlJc w:val="left"/>
      <w:pPr>
        <w:ind w:left="3600" w:hanging="360"/>
      </w:pPr>
      <w:rPr>
        <w:rFonts w:ascii="Courier New" w:hAnsi="Courier New" w:cs="Courier New" w:hint="default"/>
      </w:rPr>
    </w:lvl>
    <w:lvl w:ilvl="5" w:tplc="903262CC" w:tentative="1">
      <w:start w:val="1"/>
      <w:numFmt w:val="bullet"/>
      <w:lvlText w:val=""/>
      <w:lvlJc w:val="left"/>
      <w:pPr>
        <w:ind w:left="4320" w:hanging="360"/>
      </w:pPr>
      <w:rPr>
        <w:rFonts w:ascii="Wingdings" w:hAnsi="Wingdings" w:hint="default"/>
      </w:rPr>
    </w:lvl>
    <w:lvl w:ilvl="6" w:tplc="9BD6F882" w:tentative="1">
      <w:start w:val="1"/>
      <w:numFmt w:val="bullet"/>
      <w:lvlText w:val=""/>
      <w:lvlJc w:val="left"/>
      <w:pPr>
        <w:ind w:left="5040" w:hanging="360"/>
      </w:pPr>
      <w:rPr>
        <w:rFonts w:ascii="Symbol" w:hAnsi="Symbol" w:hint="default"/>
      </w:rPr>
    </w:lvl>
    <w:lvl w:ilvl="7" w:tplc="4406F1AC" w:tentative="1">
      <w:start w:val="1"/>
      <w:numFmt w:val="bullet"/>
      <w:lvlText w:val="o"/>
      <w:lvlJc w:val="left"/>
      <w:pPr>
        <w:ind w:left="5760" w:hanging="360"/>
      </w:pPr>
      <w:rPr>
        <w:rFonts w:ascii="Courier New" w:hAnsi="Courier New" w:cs="Courier New" w:hint="default"/>
      </w:rPr>
    </w:lvl>
    <w:lvl w:ilvl="8" w:tplc="D4C880CC" w:tentative="1">
      <w:start w:val="1"/>
      <w:numFmt w:val="bullet"/>
      <w:lvlText w:val=""/>
      <w:lvlJc w:val="left"/>
      <w:pPr>
        <w:ind w:left="6480" w:hanging="360"/>
      </w:pPr>
      <w:rPr>
        <w:rFonts w:ascii="Wingdings" w:hAnsi="Wingdings" w:hint="default"/>
      </w:rPr>
    </w:lvl>
  </w:abstractNum>
  <w:abstractNum w:abstractNumId="4" w15:restartNumberingAfterBreak="0">
    <w:nsid w:val="19161832"/>
    <w:multiLevelType w:val="hybridMultilevel"/>
    <w:tmpl w:val="F6800D46"/>
    <w:lvl w:ilvl="0" w:tplc="5216A33A">
      <w:start w:val="1"/>
      <w:numFmt w:val="bullet"/>
      <w:lvlText w:val="o"/>
      <w:lvlJc w:val="left"/>
      <w:pPr>
        <w:ind w:left="720" w:hanging="360"/>
      </w:pPr>
      <w:rPr>
        <w:rFonts w:ascii="Courier New" w:hAnsi="Courier New" w:cs="Courier New" w:hint="default"/>
      </w:rPr>
    </w:lvl>
    <w:lvl w:ilvl="1" w:tplc="7BBEA978" w:tentative="1">
      <w:start w:val="1"/>
      <w:numFmt w:val="bullet"/>
      <w:lvlText w:val="o"/>
      <w:lvlJc w:val="left"/>
      <w:pPr>
        <w:ind w:left="1440" w:hanging="360"/>
      </w:pPr>
      <w:rPr>
        <w:rFonts w:ascii="Courier New" w:hAnsi="Courier New" w:cs="Courier New" w:hint="default"/>
      </w:rPr>
    </w:lvl>
    <w:lvl w:ilvl="2" w:tplc="D3D63AAE" w:tentative="1">
      <w:start w:val="1"/>
      <w:numFmt w:val="bullet"/>
      <w:lvlText w:val=""/>
      <w:lvlJc w:val="left"/>
      <w:pPr>
        <w:ind w:left="2160" w:hanging="360"/>
      </w:pPr>
      <w:rPr>
        <w:rFonts w:ascii="Wingdings" w:hAnsi="Wingdings" w:hint="default"/>
      </w:rPr>
    </w:lvl>
    <w:lvl w:ilvl="3" w:tplc="B2F4DC80" w:tentative="1">
      <w:start w:val="1"/>
      <w:numFmt w:val="bullet"/>
      <w:lvlText w:val=""/>
      <w:lvlJc w:val="left"/>
      <w:pPr>
        <w:ind w:left="2880" w:hanging="360"/>
      </w:pPr>
      <w:rPr>
        <w:rFonts w:ascii="Symbol" w:hAnsi="Symbol" w:hint="default"/>
      </w:rPr>
    </w:lvl>
    <w:lvl w:ilvl="4" w:tplc="CB3655B2" w:tentative="1">
      <w:start w:val="1"/>
      <w:numFmt w:val="bullet"/>
      <w:lvlText w:val="o"/>
      <w:lvlJc w:val="left"/>
      <w:pPr>
        <w:ind w:left="3600" w:hanging="360"/>
      </w:pPr>
      <w:rPr>
        <w:rFonts w:ascii="Courier New" w:hAnsi="Courier New" w:cs="Courier New" w:hint="default"/>
      </w:rPr>
    </w:lvl>
    <w:lvl w:ilvl="5" w:tplc="EFECE15C" w:tentative="1">
      <w:start w:val="1"/>
      <w:numFmt w:val="bullet"/>
      <w:lvlText w:val=""/>
      <w:lvlJc w:val="left"/>
      <w:pPr>
        <w:ind w:left="4320" w:hanging="360"/>
      </w:pPr>
      <w:rPr>
        <w:rFonts w:ascii="Wingdings" w:hAnsi="Wingdings" w:hint="default"/>
      </w:rPr>
    </w:lvl>
    <w:lvl w:ilvl="6" w:tplc="3B909710" w:tentative="1">
      <w:start w:val="1"/>
      <w:numFmt w:val="bullet"/>
      <w:lvlText w:val=""/>
      <w:lvlJc w:val="left"/>
      <w:pPr>
        <w:ind w:left="5040" w:hanging="360"/>
      </w:pPr>
      <w:rPr>
        <w:rFonts w:ascii="Symbol" w:hAnsi="Symbol" w:hint="default"/>
      </w:rPr>
    </w:lvl>
    <w:lvl w:ilvl="7" w:tplc="B7DCEDC0" w:tentative="1">
      <w:start w:val="1"/>
      <w:numFmt w:val="bullet"/>
      <w:lvlText w:val="o"/>
      <w:lvlJc w:val="left"/>
      <w:pPr>
        <w:ind w:left="5760" w:hanging="360"/>
      </w:pPr>
      <w:rPr>
        <w:rFonts w:ascii="Courier New" w:hAnsi="Courier New" w:cs="Courier New" w:hint="default"/>
      </w:rPr>
    </w:lvl>
    <w:lvl w:ilvl="8" w:tplc="9A8A24D8" w:tentative="1">
      <w:start w:val="1"/>
      <w:numFmt w:val="bullet"/>
      <w:lvlText w:val=""/>
      <w:lvlJc w:val="left"/>
      <w:pPr>
        <w:ind w:left="6480" w:hanging="360"/>
      </w:pPr>
      <w:rPr>
        <w:rFonts w:ascii="Wingdings" w:hAnsi="Wingdings" w:hint="default"/>
      </w:rPr>
    </w:lvl>
  </w:abstractNum>
  <w:abstractNum w:abstractNumId="5" w15:restartNumberingAfterBreak="0">
    <w:nsid w:val="1F91479A"/>
    <w:multiLevelType w:val="hybridMultilevel"/>
    <w:tmpl w:val="94B800BC"/>
    <w:lvl w:ilvl="0" w:tplc="958C93FA">
      <w:start w:val="1"/>
      <w:numFmt w:val="decimal"/>
      <w:lvlText w:val="%1."/>
      <w:lvlJc w:val="left"/>
      <w:pPr>
        <w:ind w:left="720" w:hanging="360"/>
      </w:pPr>
      <w:rPr>
        <w:rFonts w:eastAsia="Arial" w:hint="default"/>
        <w:color w:val="auto"/>
      </w:rPr>
    </w:lvl>
    <w:lvl w:ilvl="1" w:tplc="590C8BC8" w:tentative="1">
      <w:start w:val="1"/>
      <w:numFmt w:val="lowerLetter"/>
      <w:lvlText w:val="%2."/>
      <w:lvlJc w:val="left"/>
      <w:pPr>
        <w:ind w:left="1440" w:hanging="360"/>
      </w:pPr>
    </w:lvl>
    <w:lvl w:ilvl="2" w:tplc="E402AF30" w:tentative="1">
      <w:start w:val="1"/>
      <w:numFmt w:val="lowerRoman"/>
      <w:lvlText w:val="%3."/>
      <w:lvlJc w:val="right"/>
      <w:pPr>
        <w:ind w:left="2160" w:hanging="180"/>
      </w:pPr>
    </w:lvl>
    <w:lvl w:ilvl="3" w:tplc="2F5EA5A6" w:tentative="1">
      <w:start w:val="1"/>
      <w:numFmt w:val="decimal"/>
      <w:lvlText w:val="%4."/>
      <w:lvlJc w:val="left"/>
      <w:pPr>
        <w:ind w:left="2880" w:hanging="360"/>
      </w:pPr>
    </w:lvl>
    <w:lvl w:ilvl="4" w:tplc="4886B264" w:tentative="1">
      <w:start w:val="1"/>
      <w:numFmt w:val="lowerLetter"/>
      <w:lvlText w:val="%5."/>
      <w:lvlJc w:val="left"/>
      <w:pPr>
        <w:ind w:left="3600" w:hanging="360"/>
      </w:pPr>
    </w:lvl>
    <w:lvl w:ilvl="5" w:tplc="16CE4290" w:tentative="1">
      <w:start w:val="1"/>
      <w:numFmt w:val="lowerRoman"/>
      <w:lvlText w:val="%6."/>
      <w:lvlJc w:val="right"/>
      <w:pPr>
        <w:ind w:left="4320" w:hanging="180"/>
      </w:pPr>
    </w:lvl>
    <w:lvl w:ilvl="6" w:tplc="E370DF12" w:tentative="1">
      <w:start w:val="1"/>
      <w:numFmt w:val="decimal"/>
      <w:lvlText w:val="%7."/>
      <w:lvlJc w:val="left"/>
      <w:pPr>
        <w:ind w:left="5040" w:hanging="360"/>
      </w:pPr>
    </w:lvl>
    <w:lvl w:ilvl="7" w:tplc="63DA39C8" w:tentative="1">
      <w:start w:val="1"/>
      <w:numFmt w:val="lowerLetter"/>
      <w:lvlText w:val="%8."/>
      <w:lvlJc w:val="left"/>
      <w:pPr>
        <w:ind w:left="5760" w:hanging="360"/>
      </w:pPr>
    </w:lvl>
    <w:lvl w:ilvl="8" w:tplc="0C706C4A" w:tentative="1">
      <w:start w:val="1"/>
      <w:numFmt w:val="lowerRoman"/>
      <w:lvlText w:val="%9."/>
      <w:lvlJc w:val="right"/>
      <w:pPr>
        <w:ind w:left="6480" w:hanging="180"/>
      </w:pPr>
    </w:lvl>
  </w:abstractNum>
  <w:abstractNum w:abstractNumId="6" w15:restartNumberingAfterBreak="0">
    <w:nsid w:val="1FE713D4"/>
    <w:multiLevelType w:val="hybridMultilevel"/>
    <w:tmpl w:val="D47AF0B8"/>
    <w:lvl w:ilvl="0" w:tplc="F0AED0B8">
      <w:start w:val="1"/>
      <w:numFmt w:val="bullet"/>
      <w:lvlText w:val=""/>
      <w:lvlJc w:val="left"/>
      <w:pPr>
        <w:ind w:left="720" w:hanging="360"/>
      </w:pPr>
      <w:rPr>
        <w:rFonts w:ascii="Symbol" w:hAnsi="Symbol" w:hint="default"/>
      </w:rPr>
    </w:lvl>
    <w:lvl w:ilvl="1" w:tplc="9D00B3CE" w:tentative="1">
      <w:start w:val="1"/>
      <w:numFmt w:val="bullet"/>
      <w:lvlText w:val="o"/>
      <w:lvlJc w:val="left"/>
      <w:pPr>
        <w:ind w:left="1440" w:hanging="360"/>
      </w:pPr>
      <w:rPr>
        <w:rFonts w:ascii="Courier New" w:hAnsi="Courier New" w:hint="default"/>
      </w:rPr>
    </w:lvl>
    <w:lvl w:ilvl="2" w:tplc="5C8E2C22" w:tentative="1">
      <w:start w:val="1"/>
      <w:numFmt w:val="bullet"/>
      <w:lvlText w:val=""/>
      <w:lvlJc w:val="left"/>
      <w:pPr>
        <w:ind w:left="2160" w:hanging="360"/>
      </w:pPr>
      <w:rPr>
        <w:rFonts w:ascii="Wingdings" w:hAnsi="Wingdings" w:hint="default"/>
      </w:rPr>
    </w:lvl>
    <w:lvl w:ilvl="3" w:tplc="A3800694" w:tentative="1">
      <w:start w:val="1"/>
      <w:numFmt w:val="bullet"/>
      <w:lvlText w:val=""/>
      <w:lvlJc w:val="left"/>
      <w:pPr>
        <w:ind w:left="2880" w:hanging="360"/>
      </w:pPr>
      <w:rPr>
        <w:rFonts w:ascii="Symbol" w:hAnsi="Symbol" w:hint="default"/>
      </w:rPr>
    </w:lvl>
    <w:lvl w:ilvl="4" w:tplc="D02240E6" w:tentative="1">
      <w:start w:val="1"/>
      <w:numFmt w:val="bullet"/>
      <w:lvlText w:val="o"/>
      <w:lvlJc w:val="left"/>
      <w:pPr>
        <w:ind w:left="3600" w:hanging="360"/>
      </w:pPr>
      <w:rPr>
        <w:rFonts w:ascii="Courier New" w:hAnsi="Courier New" w:hint="default"/>
      </w:rPr>
    </w:lvl>
    <w:lvl w:ilvl="5" w:tplc="1160ECE2" w:tentative="1">
      <w:start w:val="1"/>
      <w:numFmt w:val="bullet"/>
      <w:lvlText w:val=""/>
      <w:lvlJc w:val="left"/>
      <w:pPr>
        <w:ind w:left="4320" w:hanging="360"/>
      </w:pPr>
      <w:rPr>
        <w:rFonts w:ascii="Wingdings" w:hAnsi="Wingdings" w:hint="default"/>
      </w:rPr>
    </w:lvl>
    <w:lvl w:ilvl="6" w:tplc="25826E0E" w:tentative="1">
      <w:start w:val="1"/>
      <w:numFmt w:val="bullet"/>
      <w:lvlText w:val=""/>
      <w:lvlJc w:val="left"/>
      <w:pPr>
        <w:ind w:left="5040" w:hanging="360"/>
      </w:pPr>
      <w:rPr>
        <w:rFonts w:ascii="Symbol" w:hAnsi="Symbol" w:hint="default"/>
      </w:rPr>
    </w:lvl>
    <w:lvl w:ilvl="7" w:tplc="9CC0F9F6" w:tentative="1">
      <w:start w:val="1"/>
      <w:numFmt w:val="bullet"/>
      <w:lvlText w:val="o"/>
      <w:lvlJc w:val="left"/>
      <w:pPr>
        <w:ind w:left="5760" w:hanging="360"/>
      </w:pPr>
      <w:rPr>
        <w:rFonts w:ascii="Courier New" w:hAnsi="Courier New" w:hint="default"/>
      </w:rPr>
    </w:lvl>
    <w:lvl w:ilvl="8" w:tplc="1CEE2486" w:tentative="1">
      <w:start w:val="1"/>
      <w:numFmt w:val="bullet"/>
      <w:lvlText w:val=""/>
      <w:lvlJc w:val="left"/>
      <w:pPr>
        <w:ind w:left="6480" w:hanging="360"/>
      </w:pPr>
      <w:rPr>
        <w:rFonts w:ascii="Wingdings" w:hAnsi="Wingdings" w:hint="default"/>
      </w:rPr>
    </w:lvl>
  </w:abstractNum>
  <w:abstractNum w:abstractNumId="7" w15:restartNumberingAfterBreak="0">
    <w:nsid w:val="21125BE0"/>
    <w:multiLevelType w:val="hybridMultilevel"/>
    <w:tmpl w:val="1F7A0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7837CB"/>
    <w:multiLevelType w:val="hybridMultilevel"/>
    <w:tmpl w:val="62107AC4"/>
    <w:lvl w:ilvl="0" w:tplc="97ECDEE6">
      <w:start w:val="1"/>
      <w:numFmt w:val="decimal"/>
      <w:lvlText w:val="%1."/>
      <w:lvlJc w:val="left"/>
      <w:pPr>
        <w:ind w:left="720" w:hanging="360"/>
      </w:pPr>
      <w:rPr>
        <w:rFonts w:hint="default"/>
        <w:b/>
        <w:i w:val="0"/>
      </w:rPr>
    </w:lvl>
    <w:lvl w:ilvl="1" w:tplc="B42C9CB4" w:tentative="1">
      <w:start w:val="1"/>
      <w:numFmt w:val="lowerLetter"/>
      <w:lvlText w:val="%2."/>
      <w:lvlJc w:val="left"/>
      <w:pPr>
        <w:ind w:left="1440" w:hanging="360"/>
      </w:pPr>
    </w:lvl>
    <w:lvl w:ilvl="2" w:tplc="29A2843C" w:tentative="1">
      <w:start w:val="1"/>
      <w:numFmt w:val="lowerRoman"/>
      <w:lvlText w:val="%3."/>
      <w:lvlJc w:val="right"/>
      <w:pPr>
        <w:ind w:left="2160" w:hanging="180"/>
      </w:pPr>
    </w:lvl>
    <w:lvl w:ilvl="3" w:tplc="8C82C1A6" w:tentative="1">
      <w:start w:val="1"/>
      <w:numFmt w:val="decimal"/>
      <w:lvlText w:val="%4."/>
      <w:lvlJc w:val="left"/>
      <w:pPr>
        <w:ind w:left="2880" w:hanging="360"/>
      </w:pPr>
    </w:lvl>
    <w:lvl w:ilvl="4" w:tplc="B54A7D40" w:tentative="1">
      <w:start w:val="1"/>
      <w:numFmt w:val="lowerLetter"/>
      <w:lvlText w:val="%5."/>
      <w:lvlJc w:val="left"/>
      <w:pPr>
        <w:ind w:left="3600" w:hanging="360"/>
      </w:pPr>
    </w:lvl>
    <w:lvl w:ilvl="5" w:tplc="74B25A02" w:tentative="1">
      <w:start w:val="1"/>
      <w:numFmt w:val="lowerRoman"/>
      <w:lvlText w:val="%6."/>
      <w:lvlJc w:val="right"/>
      <w:pPr>
        <w:ind w:left="4320" w:hanging="180"/>
      </w:pPr>
    </w:lvl>
    <w:lvl w:ilvl="6" w:tplc="5540E078" w:tentative="1">
      <w:start w:val="1"/>
      <w:numFmt w:val="decimal"/>
      <w:lvlText w:val="%7."/>
      <w:lvlJc w:val="left"/>
      <w:pPr>
        <w:ind w:left="5040" w:hanging="360"/>
      </w:pPr>
    </w:lvl>
    <w:lvl w:ilvl="7" w:tplc="0338EEBE" w:tentative="1">
      <w:start w:val="1"/>
      <w:numFmt w:val="lowerLetter"/>
      <w:lvlText w:val="%8."/>
      <w:lvlJc w:val="left"/>
      <w:pPr>
        <w:ind w:left="5760" w:hanging="360"/>
      </w:pPr>
    </w:lvl>
    <w:lvl w:ilvl="8" w:tplc="922C4B32" w:tentative="1">
      <w:start w:val="1"/>
      <w:numFmt w:val="lowerRoman"/>
      <w:lvlText w:val="%9."/>
      <w:lvlJc w:val="right"/>
      <w:pPr>
        <w:ind w:left="6480" w:hanging="180"/>
      </w:pPr>
    </w:lvl>
  </w:abstractNum>
  <w:abstractNum w:abstractNumId="9" w15:restartNumberingAfterBreak="0">
    <w:nsid w:val="24CD12FF"/>
    <w:multiLevelType w:val="hybridMultilevel"/>
    <w:tmpl w:val="0B0E74D0"/>
    <w:lvl w:ilvl="0" w:tplc="B5889D82">
      <w:start w:val="1"/>
      <w:numFmt w:val="bullet"/>
      <w:lvlText w:val=""/>
      <w:lvlJc w:val="left"/>
      <w:pPr>
        <w:ind w:left="720" w:hanging="360"/>
      </w:pPr>
      <w:rPr>
        <w:rFonts w:ascii="Symbol" w:hAnsi="Symbol" w:hint="default"/>
      </w:rPr>
    </w:lvl>
    <w:lvl w:ilvl="1" w:tplc="2D8A52C0" w:tentative="1">
      <w:start w:val="1"/>
      <w:numFmt w:val="bullet"/>
      <w:lvlText w:val="o"/>
      <w:lvlJc w:val="left"/>
      <w:pPr>
        <w:ind w:left="1440" w:hanging="360"/>
      </w:pPr>
      <w:rPr>
        <w:rFonts w:ascii="Courier New" w:hAnsi="Courier New" w:cs="Courier New" w:hint="default"/>
      </w:rPr>
    </w:lvl>
    <w:lvl w:ilvl="2" w:tplc="FF728246" w:tentative="1">
      <w:start w:val="1"/>
      <w:numFmt w:val="bullet"/>
      <w:lvlText w:val=""/>
      <w:lvlJc w:val="left"/>
      <w:pPr>
        <w:ind w:left="2160" w:hanging="360"/>
      </w:pPr>
      <w:rPr>
        <w:rFonts w:ascii="Wingdings" w:hAnsi="Wingdings" w:hint="default"/>
      </w:rPr>
    </w:lvl>
    <w:lvl w:ilvl="3" w:tplc="30C459C8" w:tentative="1">
      <w:start w:val="1"/>
      <w:numFmt w:val="bullet"/>
      <w:lvlText w:val=""/>
      <w:lvlJc w:val="left"/>
      <w:pPr>
        <w:ind w:left="2880" w:hanging="360"/>
      </w:pPr>
      <w:rPr>
        <w:rFonts w:ascii="Symbol" w:hAnsi="Symbol" w:hint="default"/>
      </w:rPr>
    </w:lvl>
    <w:lvl w:ilvl="4" w:tplc="D40EC5CE" w:tentative="1">
      <w:start w:val="1"/>
      <w:numFmt w:val="bullet"/>
      <w:lvlText w:val="o"/>
      <w:lvlJc w:val="left"/>
      <w:pPr>
        <w:ind w:left="3600" w:hanging="360"/>
      </w:pPr>
      <w:rPr>
        <w:rFonts w:ascii="Courier New" w:hAnsi="Courier New" w:cs="Courier New" w:hint="default"/>
      </w:rPr>
    </w:lvl>
    <w:lvl w:ilvl="5" w:tplc="062E952E" w:tentative="1">
      <w:start w:val="1"/>
      <w:numFmt w:val="bullet"/>
      <w:lvlText w:val=""/>
      <w:lvlJc w:val="left"/>
      <w:pPr>
        <w:ind w:left="4320" w:hanging="360"/>
      </w:pPr>
      <w:rPr>
        <w:rFonts w:ascii="Wingdings" w:hAnsi="Wingdings" w:hint="default"/>
      </w:rPr>
    </w:lvl>
    <w:lvl w:ilvl="6" w:tplc="90DAA21C" w:tentative="1">
      <w:start w:val="1"/>
      <w:numFmt w:val="bullet"/>
      <w:lvlText w:val=""/>
      <w:lvlJc w:val="left"/>
      <w:pPr>
        <w:ind w:left="5040" w:hanging="360"/>
      </w:pPr>
      <w:rPr>
        <w:rFonts w:ascii="Symbol" w:hAnsi="Symbol" w:hint="default"/>
      </w:rPr>
    </w:lvl>
    <w:lvl w:ilvl="7" w:tplc="9EC8DA86" w:tentative="1">
      <w:start w:val="1"/>
      <w:numFmt w:val="bullet"/>
      <w:lvlText w:val="o"/>
      <w:lvlJc w:val="left"/>
      <w:pPr>
        <w:ind w:left="5760" w:hanging="360"/>
      </w:pPr>
      <w:rPr>
        <w:rFonts w:ascii="Courier New" w:hAnsi="Courier New" w:cs="Courier New" w:hint="default"/>
      </w:rPr>
    </w:lvl>
    <w:lvl w:ilvl="8" w:tplc="C26C4B5A" w:tentative="1">
      <w:start w:val="1"/>
      <w:numFmt w:val="bullet"/>
      <w:lvlText w:val=""/>
      <w:lvlJc w:val="left"/>
      <w:pPr>
        <w:ind w:left="6480" w:hanging="360"/>
      </w:pPr>
      <w:rPr>
        <w:rFonts w:ascii="Wingdings" w:hAnsi="Wingdings" w:hint="default"/>
      </w:rPr>
    </w:lvl>
  </w:abstractNum>
  <w:abstractNum w:abstractNumId="10" w15:restartNumberingAfterBreak="0">
    <w:nsid w:val="2792522D"/>
    <w:multiLevelType w:val="hybridMultilevel"/>
    <w:tmpl w:val="8BF48EE8"/>
    <w:lvl w:ilvl="0" w:tplc="D25CAC38">
      <w:start w:val="310"/>
      <w:numFmt w:val="bullet"/>
      <w:lvlText w:val="•"/>
      <w:lvlJc w:val="left"/>
      <w:pPr>
        <w:tabs>
          <w:tab w:val="num" w:pos="1440"/>
        </w:tabs>
        <w:ind w:left="1440" w:hanging="360"/>
      </w:pPr>
      <w:rPr>
        <w:rFonts w:ascii="Arial" w:hAnsi="Arial" w:hint="default"/>
      </w:rPr>
    </w:lvl>
    <w:lvl w:ilvl="1" w:tplc="55B0BF40" w:tentative="1">
      <w:start w:val="1"/>
      <w:numFmt w:val="bullet"/>
      <w:lvlText w:val="o"/>
      <w:lvlJc w:val="left"/>
      <w:pPr>
        <w:ind w:left="1440" w:hanging="360"/>
      </w:pPr>
      <w:rPr>
        <w:rFonts w:ascii="Courier New" w:hAnsi="Courier New" w:cs="Courier New" w:hint="default"/>
      </w:rPr>
    </w:lvl>
    <w:lvl w:ilvl="2" w:tplc="77CC339C" w:tentative="1">
      <w:start w:val="1"/>
      <w:numFmt w:val="bullet"/>
      <w:lvlText w:val=""/>
      <w:lvlJc w:val="left"/>
      <w:pPr>
        <w:ind w:left="2160" w:hanging="360"/>
      </w:pPr>
      <w:rPr>
        <w:rFonts w:ascii="Wingdings" w:hAnsi="Wingdings" w:hint="default"/>
      </w:rPr>
    </w:lvl>
    <w:lvl w:ilvl="3" w:tplc="647ECA4E" w:tentative="1">
      <w:start w:val="1"/>
      <w:numFmt w:val="bullet"/>
      <w:lvlText w:val=""/>
      <w:lvlJc w:val="left"/>
      <w:pPr>
        <w:ind w:left="2880" w:hanging="360"/>
      </w:pPr>
      <w:rPr>
        <w:rFonts w:ascii="Symbol" w:hAnsi="Symbol" w:hint="default"/>
      </w:rPr>
    </w:lvl>
    <w:lvl w:ilvl="4" w:tplc="A0F6816A" w:tentative="1">
      <w:start w:val="1"/>
      <w:numFmt w:val="bullet"/>
      <w:lvlText w:val="o"/>
      <w:lvlJc w:val="left"/>
      <w:pPr>
        <w:ind w:left="3600" w:hanging="360"/>
      </w:pPr>
      <w:rPr>
        <w:rFonts w:ascii="Courier New" w:hAnsi="Courier New" w:cs="Courier New" w:hint="default"/>
      </w:rPr>
    </w:lvl>
    <w:lvl w:ilvl="5" w:tplc="2DBA8926" w:tentative="1">
      <w:start w:val="1"/>
      <w:numFmt w:val="bullet"/>
      <w:lvlText w:val=""/>
      <w:lvlJc w:val="left"/>
      <w:pPr>
        <w:ind w:left="4320" w:hanging="360"/>
      </w:pPr>
      <w:rPr>
        <w:rFonts w:ascii="Wingdings" w:hAnsi="Wingdings" w:hint="default"/>
      </w:rPr>
    </w:lvl>
    <w:lvl w:ilvl="6" w:tplc="FED25DA4" w:tentative="1">
      <w:start w:val="1"/>
      <w:numFmt w:val="bullet"/>
      <w:lvlText w:val=""/>
      <w:lvlJc w:val="left"/>
      <w:pPr>
        <w:ind w:left="5040" w:hanging="360"/>
      </w:pPr>
      <w:rPr>
        <w:rFonts w:ascii="Symbol" w:hAnsi="Symbol" w:hint="default"/>
      </w:rPr>
    </w:lvl>
    <w:lvl w:ilvl="7" w:tplc="D0C240BC" w:tentative="1">
      <w:start w:val="1"/>
      <w:numFmt w:val="bullet"/>
      <w:lvlText w:val="o"/>
      <w:lvlJc w:val="left"/>
      <w:pPr>
        <w:ind w:left="5760" w:hanging="360"/>
      </w:pPr>
      <w:rPr>
        <w:rFonts w:ascii="Courier New" w:hAnsi="Courier New" w:cs="Courier New" w:hint="default"/>
      </w:rPr>
    </w:lvl>
    <w:lvl w:ilvl="8" w:tplc="DCC62A7A" w:tentative="1">
      <w:start w:val="1"/>
      <w:numFmt w:val="bullet"/>
      <w:lvlText w:val=""/>
      <w:lvlJc w:val="left"/>
      <w:pPr>
        <w:ind w:left="6480" w:hanging="360"/>
      </w:pPr>
      <w:rPr>
        <w:rFonts w:ascii="Wingdings" w:hAnsi="Wingdings" w:hint="default"/>
      </w:rPr>
    </w:lvl>
  </w:abstractNum>
  <w:abstractNum w:abstractNumId="11" w15:restartNumberingAfterBreak="0">
    <w:nsid w:val="2A8F6AB8"/>
    <w:multiLevelType w:val="hybridMultilevel"/>
    <w:tmpl w:val="AF748A46"/>
    <w:lvl w:ilvl="0" w:tplc="4E9E7006">
      <w:start w:val="1"/>
      <w:numFmt w:val="bullet"/>
      <w:lvlText w:val=""/>
      <w:lvlJc w:val="left"/>
      <w:pPr>
        <w:ind w:left="720" w:hanging="360"/>
      </w:pPr>
      <w:rPr>
        <w:rFonts w:ascii="Symbol" w:hAnsi="Symbol" w:hint="default"/>
      </w:rPr>
    </w:lvl>
    <w:lvl w:ilvl="1" w:tplc="313E6072" w:tentative="1">
      <w:start w:val="1"/>
      <w:numFmt w:val="bullet"/>
      <w:lvlText w:val="o"/>
      <w:lvlJc w:val="left"/>
      <w:pPr>
        <w:ind w:left="1440" w:hanging="360"/>
      </w:pPr>
      <w:rPr>
        <w:rFonts w:ascii="Courier New" w:hAnsi="Courier New" w:cs="Courier New" w:hint="default"/>
      </w:rPr>
    </w:lvl>
    <w:lvl w:ilvl="2" w:tplc="70B6533A" w:tentative="1">
      <w:start w:val="1"/>
      <w:numFmt w:val="bullet"/>
      <w:lvlText w:val=""/>
      <w:lvlJc w:val="left"/>
      <w:pPr>
        <w:ind w:left="2160" w:hanging="360"/>
      </w:pPr>
      <w:rPr>
        <w:rFonts w:ascii="Wingdings" w:hAnsi="Wingdings" w:hint="default"/>
      </w:rPr>
    </w:lvl>
    <w:lvl w:ilvl="3" w:tplc="622817D0" w:tentative="1">
      <w:start w:val="1"/>
      <w:numFmt w:val="bullet"/>
      <w:lvlText w:val=""/>
      <w:lvlJc w:val="left"/>
      <w:pPr>
        <w:ind w:left="2880" w:hanging="360"/>
      </w:pPr>
      <w:rPr>
        <w:rFonts w:ascii="Symbol" w:hAnsi="Symbol" w:hint="default"/>
      </w:rPr>
    </w:lvl>
    <w:lvl w:ilvl="4" w:tplc="F77E5A60" w:tentative="1">
      <w:start w:val="1"/>
      <w:numFmt w:val="bullet"/>
      <w:lvlText w:val="o"/>
      <w:lvlJc w:val="left"/>
      <w:pPr>
        <w:ind w:left="3600" w:hanging="360"/>
      </w:pPr>
      <w:rPr>
        <w:rFonts w:ascii="Courier New" w:hAnsi="Courier New" w:cs="Courier New" w:hint="default"/>
      </w:rPr>
    </w:lvl>
    <w:lvl w:ilvl="5" w:tplc="89E0E584" w:tentative="1">
      <w:start w:val="1"/>
      <w:numFmt w:val="bullet"/>
      <w:lvlText w:val=""/>
      <w:lvlJc w:val="left"/>
      <w:pPr>
        <w:ind w:left="4320" w:hanging="360"/>
      </w:pPr>
      <w:rPr>
        <w:rFonts w:ascii="Wingdings" w:hAnsi="Wingdings" w:hint="default"/>
      </w:rPr>
    </w:lvl>
    <w:lvl w:ilvl="6" w:tplc="85185070" w:tentative="1">
      <w:start w:val="1"/>
      <w:numFmt w:val="bullet"/>
      <w:lvlText w:val=""/>
      <w:lvlJc w:val="left"/>
      <w:pPr>
        <w:ind w:left="5040" w:hanging="360"/>
      </w:pPr>
      <w:rPr>
        <w:rFonts w:ascii="Symbol" w:hAnsi="Symbol" w:hint="default"/>
      </w:rPr>
    </w:lvl>
    <w:lvl w:ilvl="7" w:tplc="2C2C09FE" w:tentative="1">
      <w:start w:val="1"/>
      <w:numFmt w:val="bullet"/>
      <w:lvlText w:val="o"/>
      <w:lvlJc w:val="left"/>
      <w:pPr>
        <w:ind w:left="5760" w:hanging="360"/>
      </w:pPr>
      <w:rPr>
        <w:rFonts w:ascii="Courier New" w:hAnsi="Courier New" w:cs="Courier New" w:hint="default"/>
      </w:rPr>
    </w:lvl>
    <w:lvl w:ilvl="8" w:tplc="91A62970" w:tentative="1">
      <w:start w:val="1"/>
      <w:numFmt w:val="bullet"/>
      <w:lvlText w:val=""/>
      <w:lvlJc w:val="left"/>
      <w:pPr>
        <w:ind w:left="6480" w:hanging="360"/>
      </w:pPr>
      <w:rPr>
        <w:rFonts w:ascii="Wingdings" w:hAnsi="Wingdings" w:hint="default"/>
      </w:rPr>
    </w:lvl>
  </w:abstractNum>
  <w:abstractNum w:abstractNumId="12" w15:restartNumberingAfterBreak="0">
    <w:nsid w:val="32110082"/>
    <w:multiLevelType w:val="hybridMultilevel"/>
    <w:tmpl w:val="062C0338"/>
    <w:lvl w:ilvl="0" w:tplc="C166168C">
      <w:start w:val="1"/>
      <w:numFmt w:val="bullet"/>
      <w:lvlText w:val=""/>
      <w:lvlJc w:val="left"/>
      <w:pPr>
        <w:ind w:left="720" w:hanging="360"/>
      </w:pPr>
      <w:rPr>
        <w:rFonts w:ascii="Symbol" w:hAnsi="Symbol" w:hint="default"/>
      </w:rPr>
    </w:lvl>
    <w:lvl w:ilvl="1" w:tplc="5FDCDCC2" w:tentative="1">
      <w:start w:val="1"/>
      <w:numFmt w:val="bullet"/>
      <w:lvlText w:val="o"/>
      <w:lvlJc w:val="left"/>
      <w:pPr>
        <w:ind w:left="1440" w:hanging="360"/>
      </w:pPr>
      <w:rPr>
        <w:rFonts w:ascii="Courier New" w:hAnsi="Courier New" w:cs="Courier New" w:hint="default"/>
      </w:rPr>
    </w:lvl>
    <w:lvl w:ilvl="2" w:tplc="BAC4AB70" w:tentative="1">
      <w:start w:val="1"/>
      <w:numFmt w:val="bullet"/>
      <w:lvlText w:val=""/>
      <w:lvlJc w:val="left"/>
      <w:pPr>
        <w:ind w:left="2160" w:hanging="360"/>
      </w:pPr>
      <w:rPr>
        <w:rFonts w:ascii="Wingdings" w:hAnsi="Wingdings" w:hint="default"/>
      </w:rPr>
    </w:lvl>
    <w:lvl w:ilvl="3" w:tplc="5CB023BA" w:tentative="1">
      <w:start w:val="1"/>
      <w:numFmt w:val="bullet"/>
      <w:lvlText w:val=""/>
      <w:lvlJc w:val="left"/>
      <w:pPr>
        <w:ind w:left="2880" w:hanging="360"/>
      </w:pPr>
      <w:rPr>
        <w:rFonts w:ascii="Symbol" w:hAnsi="Symbol" w:hint="default"/>
      </w:rPr>
    </w:lvl>
    <w:lvl w:ilvl="4" w:tplc="F2646ADE" w:tentative="1">
      <w:start w:val="1"/>
      <w:numFmt w:val="bullet"/>
      <w:lvlText w:val="o"/>
      <w:lvlJc w:val="left"/>
      <w:pPr>
        <w:ind w:left="3600" w:hanging="360"/>
      </w:pPr>
      <w:rPr>
        <w:rFonts w:ascii="Courier New" w:hAnsi="Courier New" w:cs="Courier New" w:hint="default"/>
      </w:rPr>
    </w:lvl>
    <w:lvl w:ilvl="5" w:tplc="5282D6B0" w:tentative="1">
      <w:start w:val="1"/>
      <w:numFmt w:val="bullet"/>
      <w:lvlText w:val=""/>
      <w:lvlJc w:val="left"/>
      <w:pPr>
        <w:ind w:left="4320" w:hanging="360"/>
      </w:pPr>
      <w:rPr>
        <w:rFonts w:ascii="Wingdings" w:hAnsi="Wingdings" w:hint="default"/>
      </w:rPr>
    </w:lvl>
    <w:lvl w:ilvl="6" w:tplc="B84E19F6" w:tentative="1">
      <w:start w:val="1"/>
      <w:numFmt w:val="bullet"/>
      <w:lvlText w:val=""/>
      <w:lvlJc w:val="left"/>
      <w:pPr>
        <w:ind w:left="5040" w:hanging="360"/>
      </w:pPr>
      <w:rPr>
        <w:rFonts w:ascii="Symbol" w:hAnsi="Symbol" w:hint="default"/>
      </w:rPr>
    </w:lvl>
    <w:lvl w:ilvl="7" w:tplc="6C00D67A" w:tentative="1">
      <w:start w:val="1"/>
      <w:numFmt w:val="bullet"/>
      <w:lvlText w:val="o"/>
      <w:lvlJc w:val="left"/>
      <w:pPr>
        <w:ind w:left="5760" w:hanging="360"/>
      </w:pPr>
      <w:rPr>
        <w:rFonts w:ascii="Courier New" w:hAnsi="Courier New" w:cs="Courier New" w:hint="default"/>
      </w:rPr>
    </w:lvl>
    <w:lvl w:ilvl="8" w:tplc="C0DAF188" w:tentative="1">
      <w:start w:val="1"/>
      <w:numFmt w:val="bullet"/>
      <w:lvlText w:val=""/>
      <w:lvlJc w:val="left"/>
      <w:pPr>
        <w:ind w:left="6480" w:hanging="360"/>
      </w:pPr>
      <w:rPr>
        <w:rFonts w:ascii="Wingdings" w:hAnsi="Wingdings" w:hint="default"/>
      </w:rPr>
    </w:lvl>
  </w:abstractNum>
  <w:abstractNum w:abstractNumId="13" w15:restartNumberingAfterBreak="0">
    <w:nsid w:val="3A824E7D"/>
    <w:multiLevelType w:val="hybridMultilevel"/>
    <w:tmpl w:val="BA6C55F2"/>
    <w:lvl w:ilvl="0" w:tplc="7BFA8C56">
      <w:start w:val="1"/>
      <w:numFmt w:val="lowerRoman"/>
      <w:lvlText w:val="%1."/>
      <w:lvlJc w:val="right"/>
      <w:pPr>
        <w:ind w:left="720" w:hanging="360"/>
      </w:pPr>
      <w:rPr>
        <w:rFonts w:hint="default"/>
      </w:rPr>
    </w:lvl>
    <w:lvl w:ilvl="1" w:tplc="2870A14A" w:tentative="1">
      <w:start w:val="1"/>
      <w:numFmt w:val="lowerLetter"/>
      <w:lvlText w:val="%2."/>
      <w:lvlJc w:val="left"/>
      <w:pPr>
        <w:ind w:left="1440" w:hanging="360"/>
      </w:pPr>
    </w:lvl>
    <w:lvl w:ilvl="2" w:tplc="1742BBEA" w:tentative="1">
      <w:start w:val="1"/>
      <w:numFmt w:val="lowerRoman"/>
      <w:lvlText w:val="%3."/>
      <w:lvlJc w:val="right"/>
      <w:pPr>
        <w:ind w:left="2160" w:hanging="180"/>
      </w:pPr>
    </w:lvl>
    <w:lvl w:ilvl="3" w:tplc="7EF612F6" w:tentative="1">
      <w:start w:val="1"/>
      <w:numFmt w:val="decimal"/>
      <w:lvlText w:val="%4."/>
      <w:lvlJc w:val="left"/>
      <w:pPr>
        <w:ind w:left="2880" w:hanging="360"/>
      </w:pPr>
    </w:lvl>
    <w:lvl w:ilvl="4" w:tplc="E384ECEA" w:tentative="1">
      <w:start w:val="1"/>
      <w:numFmt w:val="lowerLetter"/>
      <w:lvlText w:val="%5."/>
      <w:lvlJc w:val="left"/>
      <w:pPr>
        <w:ind w:left="3600" w:hanging="360"/>
      </w:pPr>
    </w:lvl>
    <w:lvl w:ilvl="5" w:tplc="944A5DD6" w:tentative="1">
      <w:start w:val="1"/>
      <w:numFmt w:val="lowerRoman"/>
      <w:lvlText w:val="%6."/>
      <w:lvlJc w:val="right"/>
      <w:pPr>
        <w:ind w:left="4320" w:hanging="180"/>
      </w:pPr>
    </w:lvl>
    <w:lvl w:ilvl="6" w:tplc="4790F686" w:tentative="1">
      <w:start w:val="1"/>
      <w:numFmt w:val="decimal"/>
      <w:lvlText w:val="%7."/>
      <w:lvlJc w:val="left"/>
      <w:pPr>
        <w:ind w:left="5040" w:hanging="360"/>
      </w:pPr>
    </w:lvl>
    <w:lvl w:ilvl="7" w:tplc="29D2D3B0" w:tentative="1">
      <w:start w:val="1"/>
      <w:numFmt w:val="lowerLetter"/>
      <w:lvlText w:val="%8."/>
      <w:lvlJc w:val="left"/>
      <w:pPr>
        <w:ind w:left="5760" w:hanging="360"/>
      </w:pPr>
    </w:lvl>
    <w:lvl w:ilvl="8" w:tplc="C556257E" w:tentative="1">
      <w:start w:val="1"/>
      <w:numFmt w:val="lowerRoman"/>
      <w:lvlText w:val="%9."/>
      <w:lvlJc w:val="right"/>
      <w:pPr>
        <w:ind w:left="6480" w:hanging="180"/>
      </w:pPr>
    </w:lvl>
  </w:abstractNum>
  <w:abstractNum w:abstractNumId="14" w15:restartNumberingAfterBreak="0">
    <w:nsid w:val="3D1C097E"/>
    <w:multiLevelType w:val="hybridMultilevel"/>
    <w:tmpl w:val="9A1C8BD4"/>
    <w:lvl w:ilvl="0" w:tplc="1C8478DC">
      <w:start w:val="1"/>
      <w:numFmt w:val="decimal"/>
      <w:lvlText w:val="%1."/>
      <w:lvlJc w:val="left"/>
      <w:pPr>
        <w:ind w:left="1440" w:hanging="360"/>
      </w:pPr>
      <w:rPr>
        <w:rFonts w:hint="default"/>
      </w:rPr>
    </w:lvl>
    <w:lvl w:ilvl="1" w:tplc="17662A22">
      <w:start w:val="1"/>
      <w:numFmt w:val="bullet"/>
      <w:lvlText w:val="o"/>
      <w:lvlJc w:val="left"/>
      <w:pPr>
        <w:ind w:left="1440" w:hanging="360"/>
      </w:pPr>
      <w:rPr>
        <w:rFonts w:ascii="Courier New" w:hAnsi="Courier New" w:cs="Courier New" w:hint="default"/>
      </w:rPr>
    </w:lvl>
    <w:lvl w:ilvl="2" w:tplc="AB08DE60">
      <w:start w:val="1"/>
      <w:numFmt w:val="bullet"/>
      <w:lvlText w:val=""/>
      <w:lvlJc w:val="left"/>
      <w:pPr>
        <w:ind w:left="2160" w:hanging="360"/>
      </w:pPr>
      <w:rPr>
        <w:rFonts w:ascii="Wingdings" w:hAnsi="Wingdings" w:hint="default"/>
      </w:rPr>
    </w:lvl>
    <w:lvl w:ilvl="3" w:tplc="9220446E" w:tentative="1">
      <w:start w:val="1"/>
      <w:numFmt w:val="bullet"/>
      <w:lvlText w:val=""/>
      <w:lvlJc w:val="left"/>
      <w:pPr>
        <w:ind w:left="2880" w:hanging="360"/>
      </w:pPr>
      <w:rPr>
        <w:rFonts w:ascii="Symbol" w:hAnsi="Symbol" w:hint="default"/>
      </w:rPr>
    </w:lvl>
    <w:lvl w:ilvl="4" w:tplc="91BE9DCE" w:tentative="1">
      <w:start w:val="1"/>
      <w:numFmt w:val="bullet"/>
      <w:lvlText w:val="o"/>
      <w:lvlJc w:val="left"/>
      <w:pPr>
        <w:ind w:left="3600" w:hanging="360"/>
      </w:pPr>
      <w:rPr>
        <w:rFonts w:ascii="Courier New" w:hAnsi="Courier New" w:cs="Courier New" w:hint="default"/>
      </w:rPr>
    </w:lvl>
    <w:lvl w:ilvl="5" w:tplc="7B90DE38" w:tentative="1">
      <w:start w:val="1"/>
      <w:numFmt w:val="bullet"/>
      <w:lvlText w:val=""/>
      <w:lvlJc w:val="left"/>
      <w:pPr>
        <w:ind w:left="4320" w:hanging="360"/>
      </w:pPr>
      <w:rPr>
        <w:rFonts w:ascii="Wingdings" w:hAnsi="Wingdings" w:hint="default"/>
      </w:rPr>
    </w:lvl>
    <w:lvl w:ilvl="6" w:tplc="84E6CC42" w:tentative="1">
      <w:start w:val="1"/>
      <w:numFmt w:val="bullet"/>
      <w:lvlText w:val=""/>
      <w:lvlJc w:val="left"/>
      <w:pPr>
        <w:ind w:left="5040" w:hanging="360"/>
      </w:pPr>
      <w:rPr>
        <w:rFonts w:ascii="Symbol" w:hAnsi="Symbol" w:hint="default"/>
      </w:rPr>
    </w:lvl>
    <w:lvl w:ilvl="7" w:tplc="8B281AEE" w:tentative="1">
      <w:start w:val="1"/>
      <w:numFmt w:val="bullet"/>
      <w:lvlText w:val="o"/>
      <w:lvlJc w:val="left"/>
      <w:pPr>
        <w:ind w:left="5760" w:hanging="360"/>
      </w:pPr>
      <w:rPr>
        <w:rFonts w:ascii="Courier New" w:hAnsi="Courier New" w:cs="Courier New" w:hint="default"/>
      </w:rPr>
    </w:lvl>
    <w:lvl w:ilvl="8" w:tplc="6B809F06" w:tentative="1">
      <w:start w:val="1"/>
      <w:numFmt w:val="bullet"/>
      <w:lvlText w:val=""/>
      <w:lvlJc w:val="left"/>
      <w:pPr>
        <w:ind w:left="6480" w:hanging="360"/>
      </w:pPr>
      <w:rPr>
        <w:rFonts w:ascii="Wingdings" w:hAnsi="Wingdings" w:hint="default"/>
      </w:rPr>
    </w:lvl>
  </w:abstractNum>
  <w:abstractNum w:abstractNumId="15" w15:restartNumberingAfterBreak="0">
    <w:nsid w:val="43D16211"/>
    <w:multiLevelType w:val="multilevel"/>
    <w:tmpl w:val="F8D6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9A7629"/>
    <w:multiLevelType w:val="hybridMultilevel"/>
    <w:tmpl w:val="BA3AF56C"/>
    <w:lvl w:ilvl="0" w:tplc="F606D292">
      <w:start w:val="1"/>
      <w:numFmt w:val="bullet"/>
      <w:lvlText w:val=""/>
      <w:lvlJc w:val="left"/>
      <w:pPr>
        <w:ind w:left="1440" w:hanging="360"/>
      </w:pPr>
      <w:rPr>
        <w:rFonts w:ascii="Symbol" w:hAnsi="Symbol"/>
      </w:rPr>
    </w:lvl>
    <w:lvl w:ilvl="1" w:tplc="E71CD008">
      <w:start w:val="1"/>
      <w:numFmt w:val="bullet"/>
      <w:lvlText w:val=""/>
      <w:lvlJc w:val="left"/>
      <w:pPr>
        <w:ind w:left="1440" w:hanging="360"/>
      </w:pPr>
      <w:rPr>
        <w:rFonts w:ascii="Symbol" w:hAnsi="Symbol"/>
      </w:rPr>
    </w:lvl>
    <w:lvl w:ilvl="2" w:tplc="675E1DCA">
      <w:start w:val="1"/>
      <w:numFmt w:val="bullet"/>
      <w:lvlText w:val=""/>
      <w:lvlJc w:val="left"/>
      <w:pPr>
        <w:ind w:left="1440" w:hanging="360"/>
      </w:pPr>
      <w:rPr>
        <w:rFonts w:ascii="Symbol" w:hAnsi="Symbol"/>
      </w:rPr>
    </w:lvl>
    <w:lvl w:ilvl="3" w:tplc="22E4D6F2">
      <w:start w:val="1"/>
      <w:numFmt w:val="bullet"/>
      <w:lvlText w:val=""/>
      <w:lvlJc w:val="left"/>
      <w:pPr>
        <w:ind w:left="1440" w:hanging="360"/>
      </w:pPr>
      <w:rPr>
        <w:rFonts w:ascii="Symbol" w:hAnsi="Symbol"/>
      </w:rPr>
    </w:lvl>
    <w:lvl w:ilvl="4" w:tplc="B7443E54">
      <w:start w:val="1"/>
      <w:numFmt w:val="bullet"/>
      <w:lvlText w:val=""/>
      <w:lvlJc w:val="left"/>
      <w:pPr>
        <w:ind w:left="1440" w:hanging="360"/>
      </w:pPr>
      <w:rPr>
        <w:rFonts w:ascii="Symbol" w:hAnsi="Symbol"/>
      </w:rPr>
    </w:lvl>
    <w:lvl w:ilvl="5" w:tplc="7A826372">
      <w:start w:val="1"/>
      <w:numFmt w:val="bullet"/>
      <w:lvlText w:val=""/>
      <w:lvlJc w:val="left"/>
      <w:pPr>
        <w:ind w:left="1440" w:hanging="360"/>
      </w:pPr>
      <w:rPr>
        <w:rFonts w:ascii="Symbol" w:hAnsi="Symbol"/>
      </w:rPr>
    </w:lvl>
    <w:lvl w:ilvl="6" w:tplc="73E21B06">
      <w:start w:val="1"/>
      <w:numFmt w:val="bullet"/>
      <w:lvlText w:val=""/>
      <w:lvlJc w:val="left"/>
      <w:pPr>
        <w:ind w:left="1440" w:hanging="360"/>
      </w:pPr>
      <w:rPr>
        <w:rFonts w:ascii="Symbol" w:hAnsi="Symbol"/>
      </w:rPr>
    </w:lvl>
    <w:lvl w:ilvl="7" w:tplc="10B40856">
      <w:start w:val="1"/>
      <w:numFmt w:val="bullet"/>
      <w:lvlText w:val=""/>
      <w:lvlJc w:val="left"/>
      <w:pPr>
        <w:ind w:left="1440" w:hanging="360"/>
      </w:pPr>
      <w:rPr>
        <w:rFonts w:ascii="Symbol" w:hAnsi="Symbol"/>
      </w:rPr>
    </w:lvl>
    <w:lvl w:ilvl="8" w:tplc="29562F2C">
      <w:start w:val="1"/>
      <w:numFmt w:val="bullet"/>
      <w:lvlText w:val=""/>
      <w:lvlJc w:val="left"/>
      <w:pPr>
        <w:ind w:left="1440" w:hanging="360"/>
      </w:pPr>
      <w:rPr>
        <w:rFonts w:ascii="Symbol" w:hAnsi="Symbol"/>
      </w:rPr>
    </w:lvl>
  </w:abstractNum>
  <w:abstractNum w:abstractNumId="17" w15:restartNumberingAfterBreak="0">
    <w:nsid w:val="48454D07"/>
    <w:multiLevelType w:val="hybridMultilevel"/>
    <w:tmpl w:val="A7A29438"/>
    <w:lvl w:ilvl="0" w:tplc="991658F0">
      <w:start w:val="1"/>
      <w:numFmt w:val="lowerRoman"/>
      <w:lvlText w:val="%1."/>
      <w:lvlJc w:val="right"/>
      <w:pPr>
        <w:ind w:left="1020" w:hanging="360"/>
      </w:pPr>
    </w:lvl>
    <w:lvl w:ilvl="1" w:tplc="68A2645C" w:tentative="1">
      <w:start w:val="1"/>
      <w:numFmt w:val="lowerLetter"/>
      <w:lvlText w:val="%2."/>
      <w:lvlJc w:val="left"/>
      <w:pPr>
        <w:ind w:left="1740" w:hanging="360"/>
      </w:pPr>
    </w:lvl>
    <w:lvl w:ilvl="2" w:tplc="762CFF1A" w:tentative="1">
      <w:start w:val="1"/>
      <w:numFmt w:val="lowerRoman"/>
      <w:lvlText w:val="%3."/>
      <w:lvlJc w:val="right"/>
      <w:pPr>
        <w:ind w:left="2460" w:hanging="180"/>
      </w:pPr>
    </w:lvl>
    <w:lvl w:ilvl="3" w:tplc="24AAE1BA" w:tentative="1">
      <w:start w:val="1"/>
      <w:numFmt w:val="decimal"/>
      <w:lvlText w:val="%4."/>
      <w:lvlJc w:val="left"/>
      <w:pPr>
        <w:ind w:left="3180" w:hanging="360"/>
      </w:pPr>
    </w:lvl>
    <w:lvl w:ilvl="4" w:tplc="4C048A78" w:tentative="1">
      <w:start w:val="1"/>
      <w:numFmt w:val="lowerLetter"/>
      <w:lvlText w:val="%5."/>
      <w:lvlJc w:val="left"/>
      <w:pPr>
        <w:ind w:left="3900" w:hanging="360"/>
      </w:pPr>
    </w:lvl>
    <w:lvl w:ilvl="5" w:tplc="BDD88754" w:tentative="1">
      <w:start w:val="1"/>
      <w:numFmt w:val="lowerRoman"/>
      <w:lvlText w:val="%6."/>
      <w:lvlJc w:val="right"/>
      <w:pPr>
        <w:ind w:left="4620" w:hanging="180"/>
      </w:pPr>
    </w:lvl>
    <w:lvl w:ilvl="6" w:tplc="22D00C2C" w:tentative="1">
      <w:start w:val="1"/>
      <w:numFmt w:val="decimal"/>
      <w:lvlText w:val="%7."/>
      <w:lvlJc w:val="left"/>
      <w:pPr>
        <w:ind w:left="5340" w:hanging="360"/>
      </w:pPr>
    </w:lvl>
    <w:lvl w:ilvl="7" w:tplc="74A4182E" w:tentative="1">
      <w:start w:val="1"/>
      <w:numFmt w:val="lowerLetter"/>
      <w:lvlText w:val="%8."/>
      <w:lvlJc w:val="left"/>
      <w:pPr>
        <w:ind w:left="6060" w:hanging="360"/>
      </w:pPr>
    </w:lvl>
    <w:lvl w:ilvl="8" w:tplc="DB2017D8" w:tentative="1">
      <w:start w:val="1"/>
      <w:numFmt w:val="lowerRoman"/>
      <w:lvlText w:val="%9."/>
      <w:lvlJc w:val="right"/>
      <w:pPr>
        <w:ind w:left="6780" w:hanging="180"/>
      </w:pPr>
    </w:lvl>
  </w:abstractNum>
  <w:abstractNum w:abstractNumId="18" w15:restartNumberingAfterBreak="0">
    <w:nsid w:val="519F03AD"/>
    <w:multiLevelType w:val="multilevel"/>
    <w:tmpl w:val="E384F828"/>
    <w:styleLink w:val="CurrentList1"/>
    <w:lvl w:ilvl="0">
      <w:start w:val="1"/>
      <w:numFmt w:val="decimal"/>
      <w:lvlText w:val="%1."/>
      <w:lvlJc w:val="left"/>
      <w:pPr>
        <w:ind w:left="720" w:hanging="360"/>
      </w:pPr>
      <w:rPr>
        <w:rFonts w:eastAsia="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40C0D91"/>
    <w:multiLevelType w:val="hybridMultilevel"/>
    <w:tmpl w:val="3D323A06"/>
    <w:lvl w:ilvl="0" w:tplc="D884C474">
      <w:start w:val="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1F2ABA"/>
    <w:multiLevelType w:val="hybridMultilevel"/>
    <w:tmpl w:val="49E89AE6"/>
    <w:lvl w:ilvl="0" w:tplc="8DE041BC">
      <w:start w:val="2"/>
      <w:numFmt w:val="bullet"/>
      <w:lvlText w:val="-"/>
      <w:lvlJc w:val="left"/>
      <w:pPr>
        <w:ind w:left="720" w:hanging="360"/>
      </w:pPr>
      <w:rPr>
        <w:rFonts w:ascii="Calibri" w:eastAsiaTheme="minorEastAsia" w:hAnsi="Calibri" w:cs="Calibri" w:hint="default"/>
        <w:color w:val="000000" w:themeColor="text1"/>
      </w:rPr>
    </w:lvl>
    <w:lvl w:ilvl="1" w:tplc="233639E8" w:tentative="1">
      <w:start w:val="1"/>
      <w:numFmt w:val="bullet"/>
      <w:lvlText w:val="o"/>
      <w:lvlJc w:val="left"/>
      <w:pPr>
        <w:ind w:left="1440" w:hanging="360"/>
      </w:pPr>
      <w:rPr>
        <w:rFonts w:ascii="Courier New" w:hAnsi="Courier New" w:cs="Courier New" w:hint="default"/>
      </w:rPr>
    </w:lvl>
    <w:lvl w:ilvl="2" w:tplc="E55EFF74" w:tentative="1">
      <w:start w:val="1"/>
      <w:numFmt w:val="bullet"/>
      <w:lvlText w:val=""/>
      <w:lvlJc w:val="left"/>
      <w:pPr>
        <w:ind w:left="2160" w:hanging="360"/>
      </w:pPr>
      <w:rPr>
        <w:rFonts w:ascii="Wingdings" w:hAnsi="Wingdings" w:hint="default"/>
      </w:rPr>
    </w:lvl>
    <w:lvl w:ilvl="3" w:tplc="8C448DD0" w:tentative="1">
      <w:start w:val="1"/>
      <w:numFmt w:val="bullet"/>
      <w:lvlText w:val=""/>
      <w:lvlJc w:val="left"/>
      <w:pPr>
        <w:ind w:left="2880" w:hanging="360"/>
      </w:pPr>
      <w:rPr>
        <w:rFonts w:ascii="Symbol" w:hAnsi="Symbol" w:hint="default"/>
      </w:rPr>
    </w:lvl>
    <w:lvl w:ilvl="4" w:tplc="F13891AA" w:tentative="1">
      <w:start w:val="1"/>
      <w:numFmt w:val="bullet"/>
      <w:lvlText w:val="o"/>
      <w:lvlJc w:val="left"/>
      <w:pPr>
        <w:ind w:left="3600" w:hanging="360"/>
      </w:pPr>
      <w:rPr>
        <w:rFonts w:ascii="Courier New" w:hAnsi="Courier New" w:cs="Courier New" w:hint="default"/>
      </w:rPr>
    </w:lvl>
    <w:lvl w:ilvl="5" w:tplc="D37A76EC" w:tentative="1">
      <w:start w:val="1"/>
      <w:numFmt w:val="bullet"/>
      <w:lvlText w:val=""/>
      <w:lvlJc w:val="left"/>
      <w:pPr>
        <w:ind w:left="4320" w:hanging="360"/>
      </w:pPr>
      <w:rPr>
        <w:rFonts w:ascii="Wingdings" w:hAnsi="Wingdings" w:hint="default"/>
      </w:rPr>
    </w:lvl>
    <w:lvl w:ilvl="6" w:tplc="D1265BF8" w:tentative="1">
      <w:start w:val="1"/>
      <w:numFmt w:val="bullet"/>
      <w:lvlText w:val=""/>
      <w:lvlJc w:val="left"/>
      <w:pPr>
        <w:ind w:left="5040" w:hanging="360"/>
      </w:pPr>
      <w:rPr>
        <w:rFonts w:ascii="Symbol" w:hAnsi="Symbol" w:hint="default"/>
      </w:rPr>
    </w:lvl>
    <w:lvl w:ilvl="7" w:tplc="904EA86E" w:tentative="1">
      <w:start w:val="1"/>
      <w:numFmt w:val="bullet"/>
      <w:lvlText w:val="o"/>
      <w:lvlJc w:val="left"/>
      <w:pPr>
        <w:ind w:left="5760" w:hanging="360"/>
      </w:pPr>
      <w:rPr>
        <w:rFonts w:ascii="Courier New" w:hAnsi="Courier New" w:cs="Courier New" w:hint="default"/>
      </w:rPr>
    </w:lvl>
    <w:lvl w:ilvl="8" w:tplc="091CBD88" w:tentative="1">
      <w:start w:val="1"/>
      <w:numFmt w:val="bullet"/>
      <w:lvlText w:val=""/>
      <w:lvlJc w:val="left"/>
      <w:pPr>
        <w:ind w:left="6480" w:hanging="360"/>
      </w:pPr>
      <w:rPr>
        <w:rFonts w:ascii="Wingdings" w:hAnsi="Wingdings" w:hint="default"/>
      </w:rPr>
    </w:lvl>
  </w:abstractNum>
  <w:abstractNum w:abstractNumId="21" w15:restartNumberingAfterBreak="0">
    <w:nsid w:val="5C865149"/>
    <w:multiLevelType w:val="hybridMultilevel"/>
    <w:tmpl w:val="2620EB30"/>
    <w:lvl w:ilvl="0" w:tplc="2ACEA196">
      <w:start w:val="1"/>
      <w:numFmt w:val="decimal"/>
      <w:lvlText w:val="%1."/>
      <w:lvlJc w:val="left"/>
      <w:pPr>
        <w:ind w:left="720" w:hanging="360"/>
      </w:pPr>
      <w:rPr>
        <w:rFonts w:hint="default"/>
      </w:rPr>
    </w:lvl>
    <w:lvl w:ilvl="1" w:tplc="5EFA1F00" w:tentative="1">
      <w:start w:val="1"/>
      <w:numFmt w:val="lowerLetter"/>
      <w:lvlText w:val="%2."/>
      <w:lvlJc w:val="left"/>
      <w:pPr>
        <w:ind w:left="1440" w:hanging="360"/>
      </w:pPr>
    </w:lvl>
    <w:lvl w:ilvl="2" w:tplc="96A26110" w:tentative="1">
      <w:start w:val="1"/>
      <w:numFmt w:val="lowerRoman"/>
      <w:lvlText w:val="%3."/>
      <w:lvlJc w:val="right"/>
      <w:pPr>
        <w:ind w:left="2160" w:hanging="180"/>
      </w:pPr>
    </w:lvl>
    <w:lvl w:ilvl="3" w:tplc="3CEA37E4" w:tentative="1">
      <w:start w:val="1"/>
      <w:numFmt w:val="decimal"/>
      <w:lvlText w:val="%4."/>
      <w:lvlJc w:val="left"/>
      <w:pPr>
        <w:ind w:left="2880" w:hanging="360"/>
      </w:pPr>
    </w:lvl>
    <w:lvl w:ilvl="4" w:tplc="AC1EA014" w:tentative="1">
      <w:start w:val="1"/>
      <w:numFmt w:val="lowerLetter"/>
      <w:lvlText w:val="%5."/>
      <w:lvlJc w:val="left"/>
      <w:pPr>
        <w:ind w:left="3600" w:hanging="360"/>
      </w:pPr>
    </w:lvl>
    <w:lvl w:ilvl="5" w:tplc="B51CA684" w:tentative="1">
      <w:start w:val="1"/>
      <w:numFmt w:val="lowerRoman"/>
      <w:lvlText w:val="%6."/>
      <w:lvlJc w:val="right"/>
      <w:pPr>
        <w:ind w:left="4320" w:hanging="180"/>
      </w:pPr>
    </w:lvl>
    <w:lvl w:ilvl="6" w:tplc="A9DCEED2" w:tentative="1">
      <w:start w:val="1"/>
      <w:numFmt w:val="decimal"/>
      <w:lvlText w:val="%7."/>
      <w:lvlJc w:val="left"/>
      <w:pPr>
        <w:ind w:left="5040" w:hanging="360"/>
      </w:pPr>
    </w:lvl>
    <w:lvl w:ilvl="7" w:tplc="AC54942C" w:tentative="1">
      <w:start w:val="1"/>
      <w:numFmt w:val="lowerLetter"/>
      <w:lvlText w:val="%8."/>
      <w:lvlJc w:val="left"/>
      <w:pPr>
        <w:ind w:left="5760" w:hanging="360"/>
      </w:pPr>
    </w:lvl>
    <w:lvl w:ilvl="8" w:tplc="BFBAC444" w:tentative="1">
      <w:start w:val="1"/>
      <w:numFmt w:val="lowerRoman"/>
      <w:lvlText w:val="%9."/>
      <w:lvlJc w:val="right"/>
      <w:pPr>
        <w:ind w:left="6480" w:hanging="180"/>
      </w:pPr>
    </w:lvl>
  </w:abstractNum>
  <w:abstractNum w:abstractNumId="22" w15:restartNumberingAfterBreak="0">
    <w:nsid w:val="609B6B46"/>
    <w:multiLevelType w:val="hybridMultilevel"/>
    <w:tmpl w:val="58CACD88"/>
    <w:lvl w:ilvl="0" w:tplc="FB6E629A">
      <w:start w:val="1"/>
      <w:numFmt w:val="bullet"/>
      <w:lvlText w:val=""/>
      <w:lvlJc w:val="left"/>
      <w:pPr>
        <w:ind w:left="720" w:hanging="360"/>
      </w:pPr>
      <w:rPr>
        <w:rFonts w:ascii="Symbol" w:hAnsi="Symbol" w:hint="default"/>
      </w:rPr>
    </w:lvl>
    <w:lvl w:ilvl="1" w:tplc="21B2FC5A" w:tentative="1">
      <w:start w:val="1"/>
      <w:numFmt w:val="bullet"/>
      <w:lvlText w:val="o"/>
      <w:lvlJc w:val="left"/>
      <w:pPr>
        <w:ind w:left="1440" w:hanging="360"/>
      </w:pPr>
      <w:rPr>
        <w:rFonts w:ascii="Courier New" w:hAnsi="Courier New" w:cs="Courier New" w:hint="default"/>
      </w:rPr>
    </w:lvl>
    <w:lvl w:ilvl="2" w:tplc="964EA5D4" w:tentative="1">
      <w:start w:val="1"/>
      <w:numFmt w:val="bullet"/>
      <w:lvlText w:val=""/>
      <w:lvlJc w:val="left"/>
      <w:pPr>
        <w:ind w:left="2160" w:hanging="360"/>
      </w:pPr>
      <w:rPr>
        <w:rFonts w:ascii="Wingdings" w:hAnsi="Wingdings" w:hint="default"/>
      </w:rPr>
    </w:lvl>
    <w:lvl w:ilvl="3" w:tplc="3A42544A" w:tentative="1">
      <w:start w:val="1"/>
      <w:numFmt w:val="bullet"/>
      <w:lvlText w:val=""/>
      <w:lvlJc w:val="left"/>
      <w:pPr>
        <w:ind w:left="2880" w:hanging="360"/>
      </w:pPr>
      <w:rPr>
        <w:rFonts w:ascii="Symbol" w:hAnsi="Symbol" w:hint="default"/>
      </w:rPr>
    </w:lvl>
    <w:lvl w:ilvl="4" w:tplc="2B5CE22C" w:tentative="1">
      <w:start w:val="1"/>
      <w:numFmt w:val="bullet"/>
      <w:lvlText w:val="o"/>
      <w:lvlJc w:val="left"/>
      <w:pPr>
        <w:ind w:left="3600" w:hanging="360"/>
      </w:pPr>
      <w:rPr>
        <w:rFonts w:ascii="Courier New" w:hAnsi="Courier New" w:cs="Courier New" w:hint="default"/>
      </w:rPr>
    </w:lvl>
    <w:lvl w:ilvl="5" w:tplc="53A8B44A" w:tentative="1">
      <w:start w:val="1"/>
      <w:numFmt w:val="bullet"/>
      <w:lvlText w:val=""/>
      <w:lvlJc w:val="left"/>
      <w:pPr>
        <w:ind w:left="4320" w:hanging="360"/>
      </w:pPr>
      <w:rPr>
        <w:rFonts w:ascii="Wingdings" w:hAnsi="Wingdings" w:hint="default"/>
      </w:rPr>
    </w:lvl>
    <w:lvl w:ilvl="6" w:tplc="EF1EE774" w:tentative="1">
      <w:start w:val="1"/>
      <w:numFmt w:val="bullet"/>
      <w:lvlText w:val=""/>
      <w:lvlJc w:val="left"/>
      <w:pPr>
        <w:ind w:left="5040" w:hanging="360"/>
      </w:pPr>
      <w:rPr>
        <w:rFonts w:ascii="Symbol" w:hAnsi="Symbol" w:hint="default"/>
      </w:rPr>
    </w:lvl>
    <w:lvl w:ilvl="7" w:tplc="097AF3F4" w:tentative="1">
      <w:start w:val="1"/>
      <w:numFmt w:val="bullet"/>
      <w:lvlText w:val="o"/>
      <w:lvlJc w:val="left"/>
      <w:pPr>
        <w:ind w:left="5760" w:hanging="360"/>
      </w:pPr>
      <w:rPr>
        <w:rFonts w:ascii="Courier New" w:hAnsi="Courier New" w:cs="Courier New" w:hint="default"/>
      </w:rPr>
    </w:lvl>
    <w:lvl w:ilvl="8" w:tplc="6B52A200" w:tentative="1">
      <w:start w:val="1"/>
      <w:numFmt w:val="bullet"/>
      <w:lvlText w:val=""/>
      <w:lvlJc w:val="left"/>
      <w:pPr>
        <w:ind w:left="6480" w:hanging="360"/>
      </w:pPr>
      <w:rPr>
        <w:rFonts w:ascii="Wingdings" w:hAnsi="Wingdings" w:hint="default"/>
      </w:rPr>
    </w:lvl>
  </w:abstractNum>
  <w:abstractNum w:abstractNumId="23" w15:restartNumberingAfterBreak="0">
    <w:nsid w:val="61304669"/>
    <w:multiLevelType w:val="hybridMultilevel"/>
    <w:tmpl w:val="EB58164C"/>
    <w:lvl w:ilvl="0" w:tplc="9AEA9C36">
      <w:start w:val="1"/>
      <w:numFmt w:val="lowerRoman"/>
      <w:lvlText w:val="%1."/>
      <w:lvlJc w:val="right"/>
      <w:pPr>
        <w:ind w:left="776" w:hanging="360"/>
      </w:pPr>
    </w:lvl>
    <w:lvl w:ilvl="1" w:tplc="2CE00A8A" w:tentative="1">
      <w:start w:val="1"/>
      <w:numFmt w:val="lowerLetter"/>
      <w:lvlText w:val="%2."/>
      <w:lvlJc w:val="left"/>
      <w:pPr>
        <w:ind w:left="1496" w:hanging="360"/>
      </w:pPr>
    </w:lvl>
    <w:lvl w:ilvl="2" w:tplc="B21A3684" w:tentative="1">
      <w:start w:val="1"/>
      <w:numFmt w:val="lowerRoman"/>
      <w:lvlText w:val="%3."/>
      <w:lvlJc w:val="right"/>
      <w:pPr>
        <w:ind w:left="2216" w:hanging="180"/>
      </w:pPr>
    </w:lvl>
    <w:lvl w:ilvl="3" w:tplc="D444EDAE" w:tentative="1">
      <w:start w:val="1"/>
      <w:numFmt w:val="decimal"/>
      <w:lvlText w:val="%4."/>
      <w:lvlJc w:val="left"/>
      <w:pPr>
        <w:ind w:left="2936" w:hanging="360"/>
      </w:pPr>
    </w:lvl>
    <w:lvl w:ilvl="4" w:tplc="AF98DD18" w:tentative="1">
      <w:start w:val="1"/>
      <w:numFmt w:val="lowerLetter"/>
      <w:lvlText w:val="%5."/>
      <w:lvlJc w:val="left"/>
      <w:pPr>
        <w:ind w:left="3656" w:hanging="360"/>
      </w:pPr>
    </w:lvl>
    <w:lvl w:ilvl="5" w:tplc="61E63E4E" w:tentative="1">
      <w:start w:val="1"/>
      <w:numFmt w:val="lowerRoman"/>
      <w:lvlText w:val="%6."/>
      <w:lvlJc w:val="right"/>
      <w:pPr>
        <w:ind w:left="4376" w:hanging="180"/>
      </w:pPr>
    </w:lvl>
    <w:lvl w:ilvl="6" w:tplc="B6C6831C" w:tentative="1">
      <w:start w:val="1"/>
      <w:numFmt w:val="decimal"/>
      <w:lvlText w:val="%7."/>
      <w:lvlJc w:val="left"/>
      <w:pPr>
        <w:ind w:left="5096" w:hanging="360"/>
      </w:pPr>
    </w:lvl>
    <w:lvl w:ilvl="7" w:tplc="6E06685A" w:tentative="1">
      <w:start w:val="1"/>
      <w:numFmt w:val="lowerLetter"/>
      <w:lvlText w:val="%8."/>
      <w:lvlJc w:val="left"/>
      <w:pPr>
        <w:ind w:left="5816" w:hanging="360"/>
      </w:pPr>
    </w:lvl>
    <w:lvl w:ilvl="8" w:tplc="E1BEDFB2" w:tentative="1">
      <w:start w:val="1"/>
      <w:numFmt w:val="lowerRoman"/>
      <w:lvlText w:val="%9."/>
      <w:lvlJc w:val="right"/>
      <w:pPr>
        <w:ind w:left="6536" w:hanging="180"/>
      </w:pPr>
    </w:lvl>
  </w:abstractNum>
  <w:abstractNum w:abstractNumId="24" w15:restartNumberingAfterBreak="0">
    <w:nsid w:val="61443C57"/>
    <w:multiLevelType w:val="hybridMultilevel"/>
    <w:tmpl w:val="11C2A7BC"/>
    <w:lvl w:ilvl="0" w:tplc="3BFEF7C6">
      <w:start w:val="1"/>
      <w:numFmt w:val="bullet"/>
      <w:lvlText w:val=""/>
      <w:lvlJc w:val="left"/>
      <w:pPr>
        <w:ind w:left="720" w:hanging="360"/>
      </w:pPr>
      <w:rPr>
        <w:rFonts w:ascii="Symbol" w:hAnsi="Symbol" w:hint="default"/>
      </w:rPr>
    </w:lvl>
    <w:lvl w:ilvl="1" w:tplc="1DCEAFB8" w:tentative="1">
      <w:start w:val="1"/>
      <w:numFmt w:val="bullet"/>
      <w:lvlText w:val="o"/>
      <w:lvlJc w:val="left"/>
      <w:pPr>
        <w:ind w:left="1440" w:hanging="360"/>
      </w:pPr>
      <w:rPr>
        <w:rFonts w:ascii="Courier New" w:hAnsi="Courier New" w:cs="Courier New" w:hint="default"/>
      </w:rPr>
    </w:lvl>
    <w:lvl w:ilvl="2" w:tplc="A93266B8" w:tentative="1">
      <w:start w:val="1"/>
      <w:numFmt w:val="bullet"/>
      <w:lvlText w:val=""/>
      <w:lvlJc w:val="left"/>
      <w:pPr>
        <w:ind w:left="2160" w:hanging="360"/>
      </w:pPr>
      <w:rPr>
        <w:rFonts w:ascii="Wingdings" w:hAnsi="Wingdings" w:hint="default"/>
      </w:rPr>
    </w:lvl>
    <w:lvl w:ilvl="3" w:tplc="3ECC9B9E" w:tentative="1">
      <w:start w:val="1"/>
      <w:numFmt w:val="bullet"/>
      <w:lvlText w:val=""/>
      <w:lvlJc w:val="left"/>
      <w:pPr>
        <w:ind w:left="2880" w:hanging="360"/>
      </w:pPr>
      <w:rPr>
        <w:rFonts w:ascii="Symbol" w:hAnsi="Symbol" w:hint="default"/>
      </w:rPr>
    </w:lvl>
    <w:lvl w:ilvl="4" w:tplc="862EF472" w:tentative="1">
      <w:start w:val="1"/>
      <w:numFmt w:val="bullet"/>
      <w:lvlText w:val="o"/>
      <w:lvlJc w:val="left"/>
      <w:pPr>
        <w:ind w:left="3600" w:hanging="360"/>
      </w:pPr>
      <w:rPr>
        <w:rFonts w:ascii="Courier New" w:hAnsi="Courier New" w:cs="Courier New" w:hint="default"/>
      </w:rPr>
    </w:lvl>
    <w:lvl w:ilvl="5" w:tplc="45787BE0" w:tentative="1">
      <w:start w:val="1"/>
      <w:numFmt w:val="bullet"/>
      <w:lvlText w:val=""/>
      <w:lvlJc w:val="left"/>
      <w:pPr>
        <w:ind w:left="4320" w:hanging="360"/>
      </w:pPr>
      <w:rPr>
        <w:rFonts w:ascii="Wingdings" w:hAnsi="Wingdings" w:hint="default"/>
      </w:rPr>
    </w:lvl>
    <w:lvl w:ilvl="6" w:tplc="DA489698" w:tentative="1">
      <w:start w:val="1"/>
      <w:numFmt w:val="bullet"/>
      <w:lvlText w:val=""/>
      <w:lvlJc w:val="left"/>
      <w:pPr>
        <w:ind w:left="5040" w:hanging="360"/>
      </w:pPr>
      <w:rPr>
        <w:rFonts w:ascii="Symbol" w:hAnsi="Symbol" w:hint="default"/>
      </w:rPr>
    </w:lvl>
    <w:lvl w:ilvl="7" w:tplc="BFA248F0" w:tentative="1">
      <w:start w:val="1"/>
      <w:numFmt w:val="bullet"/>
      <w:lvlText w:val="o"/>
      <w:lvlJc w:val="left"/>
      <w:pPr>
        <w:ind w:left="5760" w:hanging="360"/>
      </w:pPr>
      <w:rPr>
        <w:rFonts w:ascii="Courier New" w:hAnsi="Courier New" w:cs="Courier New" w:hint="default"/>
      </w:rPr>
    </w:lvl>
    <w:lvl w:ilvl="8" w:tplc="9A2E80E2" w:tentative="1">
      <w:start w:val="1"/>
      <w:numFmt w:val="bullet"/>
      <w:lvlText w:val=""/>
      <w:lvlJc w:val="left"/>
      <w:pPr>
        <w:ind w:left="6480" w:hanging="360"/>
      </w:pPr>
      <w:rPr>
        <w:rFonts w:ascii="Wingdings" w:hAnsi="Wingdings" w:hint="default"/>
      </w:rPr>
    </w:lvl>
  </w:abstractNum>
  <w:abstractNum w:abstractNumId="25" w15:restartNumberingAfterBreak="0">
    <w:nsid w:val="62A52369"/>
    <w:multiLevelType w:val="hybridMultilevel"/>
    <w:tmpl w:val="6C8CAA9A"/>
    <w:lvl w:ilvl="0" w:tplc="393642D6">
      <w:start w:val="1"/>
      <w:numFmt w:val="bullet"/>
      <w:lvlText w:val="o"/>
      <w:lvlJc w:val="left"/>
      <w:pPr>
        <w:ind w:left="720" w:hanging="360"/>
      </w:pPr>
      <w:rPr>
        <w:rFonts w:ascii="Courier New" w:hAnsi="Courier New" w:cs="Courier New" w:hint="default"/>
      </w:rPr>
    </w:lvl>
    <w:lvl w:ilvl="1" w:tplc="99E2E3CA">
      <w:start w:val="1"/>
      <w:numFmt w:val="decimal"/>
      <w:lvlText w:val="%2."/>
      <w:lvlJc w:val="left"/>
      <w:pPr>
        <w:ind w:left="1440" w:hanging="360"/>
      </w:pPr>
      <w:rPr>
        <w:rFonts w:hint="default"/>
      </w:rPr>
    </w:lvl>
    <w:lvl w:ilvl="2" w:tplc="69AC6052" w:tentative="1">
      <w:start w:val="1"/>
      <w:numFmt w:val="bullet"/>
      <w:lvlText w:val=""/>
      <w:lvlJc w:val="left"/>
      <w:pPr>
        <w:ind w:left="2160" w:hanging="360"/>
      </w:pPr>
      <w:rPr>
        <w:rFonts w:ascii="Wingdings" w:hAnsi="Wingdings" w:hint="default"/>
      </w:rPr>
    </w:lvl>
    <w:lvl w:ilvl="3" w:tplc="93140D0E" w:tentative="1">
      <w:start w:val="1"/>
      <w:numFmt w:val="bullet"/>
      <w:lvlText w:val=""/>
      <w:lvlJc w:val="left"/>
      <w:pPr>
        <w:ind w:left="2880" w:hanging="360"/>
      </w:pPr>
      <w:rPr>
        <w:rFonts w:ascii="Symbol" w:hAnsi="Symbol" w:hint="default"/>
      </w:rPr>
    </w:lvl>
    <w:lvl w:ilvl="4" w:tplc="404E7A5C" w:tentative="1">
      <w:start w:val="1"/>
      <w:numFmt w:val="bullet"/>
      <w:lvlText w:val="o"/>
      <w:lvlJc w:val="left"/>
      <w:pPr>
        <w:ind w:left="3600" w:hanging="360"/>
      </w:pPr>
      <w:rPr>
        <w:rFonts w:ascii="Courier New" w:hAnsi="Courier New" w:cs="Courier New" w:hint="default"/>
      </w:rPr>
    </w:lvl>
    <w:lvl w:ilvl="5" w:tplc="A032439A" w:tentative="1">
      <w:start w:val="1"/>
      <w:numFmt w:val="bullet"/>
      <w:lvlText w:val=""/>
      <w:lvlJc w:val="left"/>
      <w:pPr>
        <w:ind w:left="4320" w:hanging="360"/>
      </w:pPr>
      <w:rPr>
        <w:rFonts w:ascii="Wingdings" w:hAnsi="Wingdings" w:hint="default"/>
      </w:rPr>
    </w:lvl>
    <w:lvl w:ilvl="6" w:tplc="FDE6FF5A" w:tentative="1">
      <w:start w:val="1"/>
      <w:numFmt w:val="bullet"/>
      <w:lvlText w:val=""/>
      <w:lvlJc w:val="left"/>
      <w:pPr>
        <w:ind w:left="5040" w:hanging="360"/>
      </w:pPr>
      <w:rPr>
        <w:rFonts w:ascii="Symbol" w:hAnsi="Symbol" w:hint="default"/>
      </w:rPr>
    </w:lvl>
    <w:lvl w:ilvl="7" w:tplc="C35E634E" w:tentative="1">
      <w:start w:val="1"/>
      <w:numFmt w:val="bullet"/>
      <w:lvlText w:val="o"/>
      <w:lvlJc w:val="left"/>
      <w:pPr>
        <w:ind w:left="5760" w:hanging="360"/>
      </w:pPr>
      <w:rPr>
        <w:rFonts w:ascii="Courier New" w:hAnsi="Courier New" w:cs="Courier New" w:hint="default"/>
      </w:rPr>
    </w:lvl>
    <w:lvl w:ilvl="8" w:tplc="4412CC14" w:tentative="1">
      <w:start w:val="1"/>
      <w:numFmt w:val="bullet"/>
      <w:lvlText w:val=""/>
      <w:lvlJc w:val="left"/>
      <w:pPr>
        <w:ind w:left="6480" w:hanging="360"/>
      </w:pPr>
      <w:rPr>
        <w:rFonts w:ascii="Wingdings" w:hAnsi="Wingdings" w:hint="default"/>
      </w:rPr>
    </w:lvl>
  </w:abstractNum>
  <w:abstractNum w:abstractNumId="26" w15:restartNumberingAfterBreak="0">
    <w:nsid w:val="63644C44"/>
    <w:multiLevelType w:val="hybridMultilevel"/>
    <w:tmpl w:val="5D06454E"/>
    <w:lvl w:ilvl="0" w:tplc="8724ED1A">
      <w:start w:val="1"/>
      <w:numFmt w:val="bullet"/>
      <w:lvlText w:val="o"/>
      <w:lvlJc w:val="left"/>
      <w:pPr>
        <w:ind w:left="720" w:hanging="360"/>
      </w:pPr>
      <w:rPr>
        <w:rFonts w:ascii="Courier New" w:hAnsi="Courier New" w:cs="Courier New" w:hint="default"/>
      </w:rPr>
    </w:lvl>
    <w:lvl w:ilvl="1" w:tplc="945CF33C">
      <w:start w:val="1"/>
      <w:numFmt w:val="bullet"/>
      <w:lvlText w:val="o"/>
      <w:lvlJc w:val="left"/>
      <w:pPr>
        <w:ind w:left="1440" w:hanging="360"/>
      </w:pPr>
      <w:rPr>
        <w:rFonts w:ascii="Courier New" w:hAnsi="Courier New" w:cs="Courier New" w:hint="default"/>
      </w:rPr>
    </w:lvl>
    <w:lvl w:ilvl="2" w:tplc="DF3C9322" w:tentative="1">
      <w:start w:val="1"/>
      <w:numFmt w:val="bullet"/>
      <w:lvlText w:val=""/>
      <w:lvlJc w:val="left"/>
      <w:pPr>
        <w:ind w:left="2160" w:hanging="360"/>
      </w:pPr>
      <w:rPr>
        <w:rFonts w:ascii="Wingdings" w:hAnsi="Wingdings" w:hint="default"/>
      </w:rPr>
    </w:lvl>
    <w:lvl w:ilvl="3" w:tplc="EB9672EA" w:tentative="1">
      <w:start w:val="1"/>
      <w:numFmt w:val="bullet"/>
      <w:lvlText w:val=""/>
      <w:lvlJc w:val="left"/>
      <w:pPr>
        <w:ind w:left="2880" w:hanging="360"/>
      </w:pPr>
      <w:rPr>
        <w:rFonts w:ascii="Symbol" w:hAnsi="Symbol" w:hint="default"/>
      </w:rPr>
    </w:lvl>
    <w:lvl w:ilvl="4" w:tplc="D42AEE8E" w:tentative="1">
      <w:start w:val="1"/>
      <w:numFmt w:val="bullet"/>
      <w:lvlText w:val="o"/>
      <w:lvlJc w:val="left"/>
      <w:pPr>
        <w:ind w:left="3600" w:hanging="360"/>
      </w:pPr>
      <w:rPr>
        <w:rFonts w:ascii="Courier New" w:hAnsi="Courier New" w:cs="Courier New" w:hint="default"/>
      </w:rPr>
    </w:lvl>
    <w:lvl w:ilvl="5" w:tplc="768416F6" w:tentative="1">
      <w:start w:val="1"/>
      <w:numFmt w:val="bullet"/>
      <w:lvlText w:val=""/>
      <w:lvlJc w:val="left"/>
      <w:pPr>
        <w:ind w:left="4320" w:hanging="360"/>
      </w:pPr>
      <w:rPr>
        <w:rFonts w:ascii="Wingdings" w:hAnsi="Wingdings" w:hint="default"/>
      </w:rPr>
    </w:lvl>
    <w:lvl w:ilvl="6" w:tplc="39643114" w:tentative="1">
      <w:start w:val="1"/>
      <w:numFmt w:val="bullet"/>
      <w:lvlText w:val=""/>
      <w:lvlJc w:val="left"/>
      <w:pPr>
        <w:ind w:left="5040" w:hanging="360"/>
      </w:pPr>
      <w:rPr>
        <w:rFonts w:ascii="Symbol" w:hAnsi="Symbol" w:hint="default"/>
      </w:rPr>
    </w:lvl>
    <w:lvl w:ilvl="7" w:tplc="4EB280B8" w:tentative="1">
      <w:start w:val="1"/>
      <w:numFmt w:val="bullet"/>
      <w:lvlText w:val="o"/>
      <w:lvlJc w:val="left"/>
      <w:pPr>
        <w:ind w:left="5760" w:hanging="360"/>
      </w:pPr>
      <w:rPr>
        <w:rFonts w:ascii="Courier New" w:hAnsi="Courier New" w:cs="Courier New" w:hint="default"/>
      </w:rPr>
    </w:lvl>
    <w:lvl w:ilvl="8" w:tplc="7A6CF73A" w:tentative="1">
      <w:start w:val="1"/>
      <w:numFmt w:val="bullet"/>
      <w:lvlText w:val=""/>
      <w:lvlJc w:val="left"/>
      <w:pPr>
        <w:ind w:left="6480" w:hanging="360"/>
      </w:pPr>
      <w:rPr>
        <w:rFonts w:ascii="Wingdings" w:hAnsi="Wingdings" w:hint="default"/>
      </w:rPr>
    </w:lvl>
  </w:abstractNum>
  <w:abstractNum w:abstractNumId="27" w15:restartNumberingAfterBreak="0">
    <w:nsid w:val="65FB08B3"/>
    <w:multiLevelType w:val="hybridMultilevel"/>
    <w:tmpl w:val="E774DA6E"/>
    <w:lvl w:ilvl="0" w:tplc="C9C05F88">
      <w:start w:val="1"/>
      <w:numFmt w:val="bullet"/>
      <w:lvlText w:val=""/>
      <w:lvlJc w:val="left"/>
      <w:pPr>
        <w:ind w:left="720" w:hanging="360"/>
      </w:pPr>
      <w:rPr>
        <w:rFonts w:ascii="Symbol" w:hAnsi="Symbol" w:hint="default"/>
      </w:rPr>
    </w:lvl>
    <w:lvl w:ilvl="1" w:tplc="5C8033A4" w:tentative="1">
      <w:start w:val="1"/>
      <w:numFmt w:val="bullet"/>
      <w:lvlText w:val="o"/>
      <w:lvlJc w:val="left"/>
      <w:pPr>
        <w:ind w:left="1440" w:hanging="360"/>
      </w:pPr>
      <w:rPr>
        <w:rFonts w:ascii="Courier New" w:hAnsi="Courier New" w:cs="Courier New" w:hint="default"/>
      </w:rPr>
    </w:lvl>
    <w:lvl w:ilvl="2" w:tplc="9F80593E" w:tentative="1">
      <w:start w:val="1"/>
      <w:numFmt w:val="bullet"/>
      <w:lvlText w:val=""/>
      <w:lvlJc w:val="left"/>
      <w:pPr>
        <w:ind w:left="2160" w:hanging="360"/>
      </w:pPr>
      <w:rPr>
        <w:rFonts w:ascii="Wingdings" w:hAnsi="Wingdings" w:hint="default"/>
      </w:rPr>
    </w:lvl>
    <w:lvl w:ilvl="3" w:tplc="1356138E" w:tentative="1">
      <w:start w:val="1"/>
      <w:numFmt w:val="bullet"/>
      <w:lvlText w:val=""/>
      <w:lvlJc w:val="left"/>
      <w:pPr>
        <w:ind w:left="2880" w:hanging="360"/>
      </w:pPr>
      <w:rPr>
        <w:rFonts w:ascii="Symbol" w:hAnsi="Symbol" w:hint="default"/>
      </w:rPr>
    </w:lvl>
    <w:lvl w:ilvl="4" w:tplc="71A07E60" w:tentative="1">
      <w:start w:val="1"/>
      <w:numFmt w:val="bullet"/>
      <w:lvlText w:val="o"/>
      <w:lvlJc w:val="left"/>
      <w:pPr>
        <w:ind w:left="3600" w:hanging="360"/>
      </w:pPr>
      <w:rPr>
        <w:rFonts w:ascii="Courier New" w:hAnsi="Courier New" w:cs="Courier New" w:hint="default"/>
      </w:rPr>
    </w:lvl>
    <w:lvl w:ilvl="5" w:tplc="C0B67C9A" w:tentative="1">
      <w:start w:val="1"/>
      <w:numFmt w:val="bullet"/>
      <w:lvlText w:val=""/>
      <w:lvlJc w:val="left"/>
      <w:pPr>
        <w:ind w:left="4320" w:hanging="360"/>
      </w:pPr>
      <w:rPr>
        <w:rFonts w:ascii="Wingdings" w:hAnsi="Wingdings" w:hint="default"/>
      </w:rPr>
    </w:lvl>
    <w:lvl w:ilvl="6" w:tplc="A984B432" w:tentative="1">
      <w:start w:val="1"/>
      <w:numFmt w:val="bullet"/>
      <w:lvlText w:val=""/>
      <w:lvlJc w:val="left"/>
      <w:pPr>
        <w:ind w:left="5040" w:hanging="360"/>
      </w:pPr>
      <w:rPr>
        <w:rFonts w:ascii="Symbol" w:hAnsi="Symbol" w:hint="default"/>
      </w:rPr>
    </w:lvl>
    <w:lvl w:ilvl="7" w:tplc="6ED8AF3A" w:tentative="1">
      <w:start w:val="1"/>
      <w:numFmt w:val="bullet"/>
      <w:lvlText w:val="o"/>
      <w:lvlJc w:val="left"/>
      <w:pPr>
        <w:ind w:left="5760" w:hanging="360"/>
      </w:pPr>
      <w:rPr>
        <w:rFonts w:ascii="Courier New" w:hAnsi="Courier New" w:cs="Courier New" w:hint="default"/>
      </w:rPr>
    </w:lvl>
    <w:lvl w:ilvl="8" w:tplc="C1C082EA" w:tentative="1">
      <w:start w:val="1"/>
      <w:numFmt w:val="bullet"/>
      <w:lvlText w:val=""/>
      <w:lvlJc w:val="left"/>
      <w:pPr>
        <w:ind w:left="6480" w:hanging="360"/>
      </w:pPr>
      <w:rPr>
        <w:rFonts w:ascii="Wingdings" w:hAnsi="Wingdings" w:hint="default"/>
      </w:rPr>
    </w:lvl>
  </w:abstractNum>
  <w:abstractNum w:abstractNumId="28" w15:restartNumberingAfterBreak="0">
    <w:nsid w:val="66B44903"/>
    <w:multiLevelType w:val="hybridMultilevel"/>
    <w:tmpl w:val="751E7818"/>
    <w:lvl w:ilvl="0" w:tplc="477484DC">
      <w:start w:val="1"/>
      <w:numFmt w:val="bullet"/>
      <w:lvlText w:val=""/>
      <w:lvlJc w:val="left"/>
      <w:pPr>
        <w:ind w:left="720" w:hanging="360"/>
      </w:pPr>
      <w:rPr>
        <w:rFonts w:ascii="Symbol" w:hAnsi="Symbol" w:hint="default"/>
      </w:rPr>
    </w:lvl>
    <w:lvl w:ilvl="1" w:tplc="6D76A11A" w:tentative="1">
      <w:start w:val="1"/>
      <w:numFmt w:val="bullet"/>
      <w:lvlText w:val="o"/>
      <w:lvlJc w:val="left"/>
      <w:pPr>
        <w:ind w:left="1440" w:hanging="360"/>
      </w:pPr>
      <w:rPr>
        <w:rFonts w:ascii="Courier New" w:hAnsi="Courier New" w:cs="Courier New" w:hint="default"/>
      </w:rPr>
    </w:lvl>
    <w:lvl w:ilvl="2" w:tplc="D10EC58E" w:tentative="1">
      <w:start w:val="1"/>
      <w:numFmt w:val="bullet"/>
      <w:lvlText w:val=""/>
      <w:lvlJc w:val="left"/>
      <w:pPr>
        <w:ind w:left="2160" w:hanging="360"/>
      </w:pPr>
      <w:rPr>
        <w:rFonts w:ascii="Wingdings" w:hAnsi="Wingdings" w:hint="default"/>
      </w:rPr>
    </w:lvl>
    <w:lvl w:ilvl="3" w:tplc="7062F4C8" w:tentative="1">
      <w:start w:val="1"/>
      <w:numFmt w:val="bullet"/>
      <w:lvlText w:val=""/>
      <w:lvlJc w:val="left"/>
      <w:pPr>
        <w:ind w:left="2880" w:hanging="360"/>
      </w:pPr>
      <w:rPr>
        <w:rFonts w:ascii="Symbol" w:hAnsi="Symbol" w:hint="default"/>
      </w:rPr>
    </w:lvl>
    <w:lvl w:ilvl="4" w:tplc="47F260EA" w:tentative="1">
      <w:start w:val="1"/>
      <w:numFmt w:val="bullet"/>
      <w:lvlText w:val="o"/>
      <w:lvlJc w:val="left"/>
      <w:pPr>
        <w:ind w:left="3600" w:hanging="360"/>
      </w:pPr>
      <w:rPr>
        <w:rFonts w:ascii="Courier New" w:hAnsi="Courier New" w:cs="Courier New" w:hint="default"/>
      </w:rPr>
    </w:lvl>
    <w:lvl w:ilvl="5" w:tplc="4822B6F0" w:tentative="1">
      <w:start w:val="1"/>
      <w:numFmt w:val="bullet"/>
      <w:lvlText w:val=""/>
      <w:lvlJc w:val="left"/>
      <w:pPr>
        <w:ind w:left="4320" w:hanging="360"/>
      </w:pPr>
      <w:rPr>
        <w:rFonts w:ascii="Wingdings" w:hAnsi="Wingdings" w:hint="default"/>
      </w:rPr>
    </w:lvl>
    <w:lvl w:ilvl="6" w:tplc="BEBEFA30" w:tentative="1">
      <w:start w:val="1"/>
      <w:numFmt w:val="bullet"/>
      <w:lvlText w:val=""/>
      <w:lvlJc w:val="left"/>
      <w:pPr>
        <w:ind w:left="5040" w:hanging="360"/>
      </w:pPr>
      <w:rPr>
        <w:rFonts w:ascii="Symbol" w:hAnsi="Symbol" w:hint="default"/>
      </w:rPr>
    </w:lvl>
    <w:lvl w:ilvl="7" w:tplc="93B61F80" w:tentative="1">
      <w:start w:val="1"/>
      <w:numFmt w:val="bullet"/>
      <w:lvlText w:val="o"/>
      <w:lvlJc w:val="left"/>
      <w:pPr>
        <w:ind w:left="5760" w:hanging="360"/>
      </w:pPr>
      <w:rPr>
        <w:rFonts w:ascii="Courier New" w:hAnsi="Courier New" w:cs="Courier New" w:hint="default"/>
      </w:rPr>
    </w:lvl>
    <w:lvl w:ilvl="8" w:tplc="C9B01330" w:tentative="1">
      <w:start w:val="1"/>
      <w:numFmt w:val="bullet"/>
      <w:lvlText w:val=""/>
      <w:lvlJc w:val="left"/>
      <w:pPr>
        <w:ind w:left="6480" w:hanging="360"/>
      </w:pPr>
      <w:rPr>
        <w:rFonts w:ascii="Wingdings" w:hAnsi="Wingdings" w:hint="default"/>
      </w:rPr>
    </w:lvl>
  </w:abstractNum>
  <w:abstractNum w:abstractNumId="29" w15:restartNumberingAfterBreak="0">
    <w:nsid w:val="69D27796"/>
    <w:multiLevelType w:val="hybridMultilevel"/>
    <w:tmpl w:val="B6A8E520"/>
    <w:lvl w:ilvl="0" w:tplc="0748BE16">
      <w:start w:val="1"/>
      <w:numFmt w:val="decimal"/>
      <w:lvlText w:val="%1."/>
      <w:lvlJc w:val="left"/>
      <w:pPr>
        <w:ind w:left="1440" w:hanging="360"/>
      </w:pPr>
      <w:rPr>
        <w:rFonts w:hint="default"/>
      </w:rPr>
    </w:lvl>
    <w:lvl w:ilvl="1" w:tplc="DE3EB47E">
      <w:start w:val="1"/>
      <w:numFmt w:val="bullet"/>
      <w:lvlText w:val="o"/>
      <w:lvlJc w:val="left"/>
      <w:pPr>
        <w:ind w:left="1440" w:hanging="360"/>
      </w:pPr>
      <w:rPr>
        <w:rFonts w:ascii="Courier New" w:hAnsi="Courier New" w:cs="Courier New" w:hint="default"/>
      </w:rPr>
    </w:lvl>
    <w:lvl w:ilvl="2" w:tplc="C84A31FC" w:tentative="1">
      <w:start w:val="1"/>
      <w:numFmt w:val="bullet"/>
      <w:lvlText w:val=""/>
      <w:lvlJc w:val="left"/>
      <w:pPr>
        <w:ind w:left="2160" w:hanging="360"/>
      </w:pPr>
      <w:rPr>
        <w:rFonts w:ascii="Wingdings" w:hAnsi="Wingdings" w:hint="default"/>
      </w:rPr>
    </w:lvl>
    <w:lvl w:ilvl="3" w:tplc="15B2B4B8" w:tentative="1">
      <w:start w:val="1"/>
      <w:numFmt w:val="bullet"/>
      <w:lvlText w:val=""/>
      <w:lvlJc w:val="left"/>
      <w:pPr>
        <w:ind w:left="2880" w:hanging="360"/>
      </w:pPr>
      <w:rPr>
        <w:rFonts w:ascii="Symbol" w:hAnsi="Symbol" w:hint="default"/>
      </w:rPr>
    </w:lvl>
    <w:lvl w:ilvl="4" w:tplc="97A6515C" w:tentative="1">
      <w:start w:val="1"/>
      <w:numFmt w:val="bullet"/>
      <w:lvlText w:val="o"/>
      <w:lvlJc w:val="left"/>
      <w:pPr>
        <w:ind w:left="3600" w:hanging="360"/>
      </w:pPr>
      <w:rPr>
        <w:rFonts w:ascii="Courier New" w:hAnsi="Courier New" w:cs="Courier New" w:hint="default"/>
      </w:rPr>
    </w:lvl>
    <w:lvl w:ilvl="5" w:tplc="BDDC227C" w:tentative="1">
      <w:start w:val="1"/>
      <w:numFmt w:val="bullet"/>
      <w:lvlText w:val=""/>
      <w:lvlJc w:val="left"/>
      <w:pPr>
        <w:ind w:left="4320" w:hanging="360"/>
      </w:pPr>
      <w:rPr>
        <w:rFonts w:ascii="Wingdings" w:hAnsi="Wingdings" w:hint="default"/>
      </w:rPr>
    </w:lvl>
    <w:lvl w:ilvl="6" w:tplc="517EC632" w:tentative="1">
      <w:start w:val="1"/>
      <w:numFmt w:val="bullet"/>
      <w:lvlText w:val=""/>
      <w:lvlJc w:val="left"/>
      <w:pPr>
        <w:ind w:left="5040" w:hanging="360"/>
      </w:pPr>
      <w:rPr>
        <w:rFonts w:ascii="Symbol" w:hAnsi="Symbol" w:hint="default"/>
      </w:rPr>
    </w:lvl>
    <w:lvl w:ilvl="7" w:tplc="FA043874" w:tentative="1">
      <w:start w:val="1"/>
      <w:numFmt w:val="bullet"/>
      <w:lvlText w:val="o"/>
      <w:lvlJc w:val="left"/>
      <w:pPr>
        <w:ind w:left="5760" w:hanging="360"/>
      </w:pPr>
      <w:rPr>
        <w:rFonts w:ascii="Courier New" w:hAnsi="Courier New" w:cs="Courier New" w:hint="default"/>
      </w:rPr>
    </w:lvl>
    <w:lvl w:ilvl="8" w:tplc="0A3E4D20" w:tentative="1">
      <w:start w:val="1"/>
      <w:numFmt w:val="bullet"/>
      <w:lvlText w:val=""/>
      <w:lvlJc w:val="left"/>
      <w:pPr>
        <w:ind w:left="6480" w:hanging="360"/>
      </w:pPr>
      <w:rPr>
        <w:rFonts w:ascii="Wingdings" w:hAnsi="Wingdings" w:hint="default"/>
      </w:rPr>
    </w:lvl>
  </w:abstractNum>
  <w:abstractNum w:abstractNumId="30" w15:restartNumberingAfterBreak="0">
    <w:nsid w:val="6ED6616C"/>
    <w:multiLevelType w:val="hybridMultilevel"/>
    <w:tmpl w:val="5A4C7DBA"/>
    <w:lvl w:ilvl="0" w:tplc="03F2CCBA">
      <w:start w:val="1"/>
      <w:numFmt w:val="bullet"/>
      <w:lvlText w:val="•"/>
      <w:lvlJc w:val="left"/>
      <w:pPr>
        <w:tabs>
          <w:tab w:val="num" w:pos="720"/>
        </w:tabs>
        <w:ind w:left="720" w:hanging="360"/>
      </w:pPr>
      <w:rPr>
        <w:rFonts w:ascii="Arial" w:hAnsi="Arial" w:hint="default"/>
      </w:rPr>
    </w:lvl>
    <w:lvl w:ilvl="1" w:tplc="B2D295CA">
      <w:start w:val="1"/>
      <w:numFmt w:val="bullet"/>
      <w:lvlText w:val="•"/>
      <w:lvlJc w:val="left"/>
      <w:pPr>
        <w:tabs>
          <w:tab w:val="num" w:pos="1440"/>
        </w:tabs>
        <w:ind w:left="1440" w:hanging="360"/>
      </w:pPr>
      <w:rPr>
        <w:rFonts w:ascii="Arial" w:hAnsi="Arial" w:hint="default"/>
      </w:rPr>
    </w:lvl>
    <w:lvl w:ilvl="2" w:tplc="E0FA913E" w:tentative="1">
      <w:start w:val="1"/>
      <w:numFmt w:val="bullet"/>
      <w:lvlText w:val="•"/>
      <w:lvlJc w:val="left"/>
      <w:pPr>
        <w:tabs>
          <w:tab w:val="num" w:pos="2160"/>
        </w:tabs>
        <w:ind w:left="2160" w:hanging="360"/>
      </w:pPr>
      <w:rPr>
        <w:rFonts w:ascii="Arial" w:hAnsi="Arial" w:hint="default"/>
      </w:rPr>
    </w:lvl>
    <w:lvl w:ilvl="3" w:tplc="641C18B2" w:tentative="1">
      <w:start w:val="1"/>
      <w:numFmt w:val="bullet"/>
      <w:lvlText w:val="•"/>
      <w:lvlJc w:val="left"/>
      <w:pPr>
        <w:tabs>
          <w:tab w:val="num" w:pos="2880"/>
        </w:tabs>
        <w:ind w:left="2880" w:hanging="360"/>
      </w:pPr>
      <w:rPr>
        <w:rFonts w:ascii="Arial" w:hAnsi="Arial" w:hint="default"/>
      </w:rPr>
    </w:lvl>
    <w:lvl w:ilvl="4" w:tplc="E30E3FF0" w:tentative="1">
      <w:start w:val="1"/>
      <w:numFmt w:val="bullet"/>
      <w:lvlText w:val="•"/>
      <w:lvlJc w:val="left"/>
      <w:pPr>
        <w:tabs>
          <w:tab w:val="num" w:pos="3600"/>
        </w:tabs>
        <w:ind w:left="3600" w:hanging="360"/>
      </w:pPr>
      <w:rPr>
        <w:rFonts w:ascii="Arial" w:hAnsi="Arial" w:hint="default"/>
      </w:rPr>
    </w:lvl>
    <w:lvl w:ilvl="5" w:tplc="35D4744C" w:tentative="1">
      <w:start w:val="1"/>
      <w:numFmt w:val="bullet"/>
      <w:lvlText w:val="•"/>
      <w:lvlJc w:val="left"/>
      <w:pPr>
        <w:tabs>
          <w:tab w:val="num" w:pos="4320"/>
        </w:tabs>
        <w:ind w:left="4320" w:hanging="360"/>
      </w:pPr>
      <w:rPr>
        <w:rFonts w:ascii="Arial" w:hAnsi="Arial" w:hint="default"/>
      </w:rPr>
    </w:lvl>
    <w:lvl w:ilvl="6" w:tplc="05F04986" w:tentative="1">
      <w:start w:val="1"/>
      <w:numFmt w:val="bullet"/>
      <w:lvlText w:val="•"/>
      <w:lvlJc w:val="left"/>
      <w:pPr>
        <w:tabs>
          <w:tab w:val="num" w:pos="5040"/>
        </w:tabs>
        <w:ind w:left="5040" w:hanging="360"/>
      </w:pPr>
      <w:rPr>
        <w:rFonts w:ascii="Arial" w:hAnsi="Arial" w:hint="default"/>
      </w:rPr>
    </w:lvl>
    <w:lvl w:ilvl="7" w:tplc="1082906E" w:tentative="1">
      <w:start w:val="1"/>
      <w:numFmt w:val="bullet"/>
      <w:lvlText w:val="•"/>
      <w:lvlJc w:val="left"/>
      <w:pPr>
        <w:tabs>
          <w:tab w:val="num" w:pos="5760"/>
        </w:tabs>
        <w:ind w:left="5760" w:hanging="360"/>
      </w:pPr>
      <w:rPr>
        <w:rFonts w:ascii="Arial" w:hAnsi="Arial" w:hint="default"/>
      </w:rPr>
    </w:lvl>
    <w:lvl w:ilvl="8" w:tplc="4E24551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FE86D14"/>
    <w:multiLevelType w:val="hybridMultilevel"/>
    <w:tmpl w:val="D4D2137A"/>
    <w:lvl w:ilvl="0" w:tplc="E7368978">
      <w:start w:val="1"/>
      <w:numFmt w:val="bullet"/>
      <w:lvlText w:val=""/>
      <w:lvlJc w:val="left"/>
      <w:pPr>
        <w:ind w:left="720" w:hanging="360"/>
      </w:pPr>
      <w:rPr>
        <w:rFonts w:ascii="Symbol" w:hAnsi="Symbol" w:hint="default"/>
      </w:rPr>
    </w:lvl>
    <w:lvl w:ilvl="1" w:tplc="3BF698EA" w:tentative="1">
      <w:start w:val="1"/>
      <w:numFmt w:val="bullet"/>
      <w:lvlText w:val="o"/>
      <w:lvlJc w:val="left"/>
      <w:pPr>
        <w:ind w:left="1440" w:hanging="360"/>
      </w:pPr>
      <w:rPr>
        <w:rFonts w:ascii="Courier New" w:hAnsi="Courier New" w:cs="Courier New" w:hint="default"/>
      </w:rPr>
    </w:lvl>
    <w:lvl w:ilvl="2" w:tplc="ED124CCA" w:tentative="1">
      <w:start w:val="1"/>
      <w:numFmt w:val="bullet"/>
      <w:lvlText w:val=""/>
      <w:lvlJc w:val="left"/>
      <w:pPr>
        <w:ind w:left="2160" w:hanging="360"/>
      </w:pPr>
      <w:rPr>
        <w:rFonts w:ascii="Wingdings" w:hAnsi="Wingdings" w:hint="default"/>
      </w:rPr>
    </w:lvl>
    <w:lvl w:ilvl="3" w:tplc="7A4EA50C" w:tentative="1">
      <w:start w:val="1"/>
      <w:numFmt w:val="bullet"/>
      <w:lvlText w:val=""/>
      <w:lvlJc w:val="left"/>
      <w:pPr>
        <w:ind w:left="2880" w:hanging="360"/>
      </w:pPr>
      <w:rPr>
        <w:rFonts w:ascii="Symbol" w:hAnsi="Symbol" w:hint="default"/>
      </w:rPr>
    </w:lvl>
    <w:lvl w:ilvl="4" w:tplc="6ABC45A8" w:tentative="1">
      <w:start w:val="1"/>
      <w:numFmt w:val="bullet"/>
      <w:lvlText w:val="o"/>
      <w:lvlJc w:val="left"/>
      <w:pPr>
        <w:ind w:left="3600" w:hanging="360"/>
      </w:pPr>
      <w:rPr>
        <w:rFonts w:ascii="Courier New" w:hAnsi="Courier New" w:cs="Courier New" w:hint="default"/>
      </w:rPr>
    </w:lvl>
    <w:lvl w:ilvl="5" w:tplc="B98480A2" w:tentative="1">
      <w:start w:val="1"/>
      <w:numFmt w:val="bullet"/>
      <w:lvlText w:val=""/>
      <w:lvlJc w:val="left"/>
      <w:pPr>
        <w:ind w:left="4320" w:hanging="360"/>
      </w:pPr>
      <w:rPr>
        <w:rFonts w:ascii="Wingdings" w:hAnsi="Wingdings" w:hint="default"/>
      </w:rPr>
    </w:lvl>
    <w:lvl w:ilvl="6" w:tplc="60EE022E" w:tentative="1">
      <w:start w:val="1"/>
      <w:numFmt w:val="bullet"/>
      <w:lvlText w:val=""/>
      <w:lvlJc w:val="left"/>
      <w:pPr>
        <w:ind w:left="5040" w:hanging="360"/>
      </w:pPr>
      <w:rPr>
        <w:rFonts w:ascii="Symbol" w:hAnsi="Symbol" w:hint="default"/>
      </w:rPr>
    </w:lvl>
    <w:lvl w:ilvl="7" w:tplc="EDB61EC6" w:tentative="1">
      <w:start w:val="1"/>
      <w:numFmt w:val="bullet"/>
      <w:lvlText w:val="o"/>
      <w:lvlJc w:val="left"/>
      <w:pPr>
        <w:ind w:left="5760" w:hanging="360"/>
      </w:pPr>
      <w:rPr>
        <w:rFonts w:ascii="Courier New" w:hAnsi="Courier New" w:cs="Courier New" w:hint="default"/>
      </w:rPr>
    </w:lvl>
    <w:lvl w:ilvl="8" w:tplc="DCD80426" w:tentative="1">
      <w:start w:val="1"/>
      <w:numFmt w:val="bullet"/>
      <w:lvlText w:val=""/>
      <w:lvlJc w:val="left"/>
      <w:pPr>
        <w:ind w:left="6480" w:hanging="360"/>
      </w:pPr>
      <w:rPr>
        <w:rFonts w:ascii="Wingdings" w:hAnsi="Wingdings" w:hint="default"/>
      </w:rPr>
    </w:lvl>
  </w:abstractNum>
  <w:abstractNum w:abstractNumId="32" w15:restartNumberingAfterBreak="0">
    <w:nsid w:val="72B42BFD"/>
    <w:multiLevelType w:val="hybridMultilevel"/>
    <w:tmpl w:val="80DCDC2C"/>
    <w:lvl w:ilvl="0" w:tplc="D16CA48C">
      <w:start w:val="1"/>
      <w:numFmt w:val="decimal"/>
      <w:lvlText w:val="%1."/>
      <w:lvlJc w:val="left"/>
      <w:pPr>
        <w:ind w:left="720" w:hanging="360"/>
      </w:pPr>
    </w:lvl>
    <w:lvl w:ilvl="1" w:tplc="34422AFE" w:tentative="1">
      <w:start w:val="1"/>
      <w:numFmt w:val="lowerLetter"/>
      <w:lvlText w:val="%2."/>
      <w:lvlJc w:val="left"/>
      <w:pPr>
        <w:ind w:left="1440" w:hanging="360"/>
      </w:pPr>
    </w:lvl>
    <w:lvl w:ilvl="2" w:tplc="A12A591E" w:tentative="1">
      <w:start w:val="1"/>
      <w:numFmt w:val="lowerRoman"/>
      <w:lvlText w:val="%3."/>
      <w:lvlJc w:val="right"/>
      <w:pPr>
        <w:ind w:left="2160" w:hanging="180"/>
      </w:pPr>
    </w:lvl>
    <w:lvl w:ilvl="3" w:tplc="55CCDAB2" w:tentative="1">
      <w:start w:val="1"/>
      <w:numFmt w:val="decimal"/>
      <w:lvlText w:val="%4."/>
      <w:lvlJc w:val="left"/>
      <w:pPr>
        <w:ind w:left="2880" w:hanging="360"/>
      </w:pPr>
    </w:lvl>
    <w:lvl w:ilvl="4" w:tplc="92D0A136" w:tentative="1">
      <w:start w:val="1"/>
      <w:numFmt w:val="lowerLetter"/>
      <w:lvlText w:val="%5."/>
      <w:lvlJc w:val="left"/>
      <w:pPr>
        <w:ind w:left="3600" w:hanging="360"/>
      </w:pPr>
    </w:lvl>
    <w:lvl w:ilvl="5" w:tplc="006ED340" w:tentative="1">
      <w:start w:val="1"/>
      <w:numFmt w:val="lowerRoman"/>
      <w:lvlText w:val="%6."/>
      <w:lvlJc w:val="right"/>
      <w:pPr>
        <w:ind w:left="4320" w:hanging="180"/>
      </w:pPr>
    </w:lvl>
    <w:lvl w:ilvl="6" w:tplc="D60ACAF8" w:tentative="1">
      <w:start w:val="1"/>
      <w:numFmt w:val="decimal"/>
      <w:lvlText w:val="%7."/>
      <w:lvlJc w:val="left"/>
      <w:pPr>
        <w:ind w:left="5040" w:hanging="360"/>
      </w:pPr>
    </w:lvl>
    <w:lvl w:ilvl="7" w:tplc="21088D98" w:tentative="1">
      <w:start w:val="1"/>
      <w:numFmt w:val="lowerLetter"/>
      <w:lvlText w:val="%8."/>
      <w:lvlJc w:val="left"/>
      <w:pPr>
        <w:ind w:left="5760" w:hanging="360"/>
      </w:pPr>
    </w:lvl>
    <w:lvl w:ilvl="8" w:tplc="78B08476" w:tentative="1">
      <w:start w:val="1"/>
      <w:numFmt w:val="lowerRoman"/>
      <w:lvlText w:val="%9."/>
      <w:lvlJc w:val="right"/>
      <w:pPr>
        <w:ind w:left="6480" w:hanging="180"/>
      </w:pPr>
    </w:lvl>
  </w:abstractNum>
  <w:abstractNum w:abstractNumId="33" w15:restartNumberingAfterBreak="0">
    <w:nsid w:val="73BB23CF"/>
    <w:multiLevelType w:val="hybridMultilevel"/>
    <w:tmpl w:val="04E052A0"/>
    <w:lvl w:ilvl="0" w:tplc="7A0ED774">
      <w:start w:val="1"/>
      <w:numFmt w:val="bullet"/>
      <w:lvlText w:val=""/>
      <w:lvlJc w:val="left"/>
      <w:pPr>
        <w:ind w:left="720" w:hanging="360"/>
      </w:pPr>
      <w:rPr>
        <w:rFonts w:ascii="Symbol" w:hAnsi="Symbol" w:hint="default"/>
      </w:rPr>
    </w:lvl>
    <w:lvl w:ilvl="1" w:tplc="25941A16" w:tentative="1">
      <w:start w:val="1"/>
      <w:numFmt w:val="bullet"/>
      <w:lvlText w:val="o"/>
      <w:lvlJc w:val="left"/>
      <w:pPr>
        <w:ind w:left="1440" w:hanging="360"/>
      </w:pPr>
      <w:rPr>
        <w:rFonts w:ascii="Courier New" w:hAnsi="Courier New" w:cs="Courier New" w:hint="default"/>
      </w:rPr>
    </w:lvl>
    <w:lvl w:ilvl="2" w:tplc="366A0758" w:tentative="1">
      <w:start w:val="1"/>
      <w:numFmt w:val="bullet"/>
      <w:lvlText w:val=""/>
      <w:lvlJc w:val="left"/>
      <w:pPr>
        <w:ind w:left="2160" w:hanging="360"/>
      </w:pPr>
      <w:rPr>
        <w:rFonts w:ascii="Wingdings" w:hAnsi="Wingdings" w:hint="default"/>
      </w:rPr>
    </w:lvl>
    <w:lvl w:ilvl="3" w:tplc="26922FD6" w:tentative="1">
      <w:start w:val="1"/>
      <w:numFmt w:val="bullet"/>
      <w:lvlText w:val=""/>
      <w:lvlJc w:val="left"/>
      <w:pPr>
        <w:ind w:left="2880" w:hanging="360"/>
      </w:pPr>
      <w:rPr>
        <w:rFonts w:ascii="Symbol" w:hAnsi="Symbol" w:hint="default"/>
      </w:rPr>
    </w:lvl>
    <w:lvl w:ilvl="4" w:tplc="A3129278" w:tentative="1">
      <w:start w:val="1"/>
      <w:numFmt w:val="bullet"/>
      <w:lvlText w:val="o"/>
      <w:lvlJc w:val="left"/>
      <w:pPr>
        <w:ind w:left="3600" w:hanging="360"/>
      </w:pPr>
      <w:rPr>
        <w:rFonts w:ascii="Courier New" w:hAnsi="Courier New" w:cs="Courier New" w:hint="default"/>
      </w:rPr>
    </w:lvl>
    <w:lvl w:ilvl="5" w:tplc="680A9F30" w:tentative="1">
      <w:start w:val="1"/>
      <w:numFmt w:val="bullet"/>
      <w:lvlText w:val=""/>
      <w:lvlJc w:val="left"/>
      <w:pPr>
        <w:ind w:left="4320" w:hanging="360"/>
      </w:pPr>
      <w:rPr>
        <w:rFonts w:ascii="Wingdings" w:hAnsi="Wingdings" w:hint="default"/>
      </w:rPr>
    </w:lvl>
    <w:lvl w:ilvl="6" w:tplc="8958792E" w:tentative="1">
      <w:start w:val="1"/>
      <w:numFmt w:val="bullet"/>
      <w:lvlText w:val=""/>
      <w:lvlJc w:val="left"/>
      <w:pPr>
        <w:ind w:left="5040" w:hanging="360"/>
      </w:pPr>
      <w:rPr>
        <w:rFonts w:ascii="Symbol" w:hAnsi="Symbol" w:hint="default"/>
      </w:rPr>
    </w:lvl>
    <w:lvl w:ilvl="7" w:tplc="4B765F06" w:tentative="1">
      <w:start w:val="1"/>
      <w:numFmt w:val="bullet"/>
      <w:lvlText w:val="o"/>
      <w:lvlJc w:val="left"/>
      <w:pPr>
        <w:ind w:left="5760" w:hanging="360"/>
      </w:pPr>
      <w:rPr>
        <w:rFonts w:ascii="Courier New" w:hAnsi="Courier New" w:cs="Courier New" w:hint="default"/>
      </w:rPr>
    </w:lvl>
    <w:lvl w:ilvl="8" w:tplc="E704037A" w:tentative="1">
      <w:start w:val="1"/>
      <w:numFmt w:val="bullet"/>
      <w:lvlText w:val=""/>
      <w:lvlJc w:val="left"/>
      <w:pPr>
        <w:ind w:left="6480" w:hanging="360"/>
      </w:pPr>
      <w:rPr>
        <w:rFonts w:ascii="Wingdings" w:hAnsi="Wingdings" w:hint="default"/>
      </w:rPr>
    </w:lvl>
  </w:abstractNum>
  <w:abstractNum w:abstractNumId="34" w15:restartNumberingAfterBreak="0">
    <w:nsid w:val="77055A9A"/>
    <w:multiLevelType w:val="hybridMultilevel"/>
    <w:tmpl w:val="42926FAE"/>
    <w:lvl w:ilvl="0" w:tplc="F79E197E">
      <w:start w:val="1"/>
      <w:numFmt w:val="lowerRoman"/>
      <w:lvlText w:val="%1."/>
      <w:lvlJc w:val="right"/>
      <w:pPr>
        <w:ind w:left="1020" w:hanging="360"/>
      </w:pPr>
    </w:lvl>
    <w:lvl w:ilvl="1" w:tplc="498E45B6" w:tentative="1">
      <w:start w:val="1"/>
      <w:numFmt w:val="lowerLetter"/>
      <w:lvlText w:val="%2."/>
      <w:lvlJc w:val="left"/>
      <w:pPr>
        <w:ind w:left="1740" w:hanging="360"/>
      </w:pPr>
    </w:lvl>
    <w:lvl w:ilvl="2" w:tplc="C4EE818E" w:tentative="1">
      <w:start w:val="1"/>
      <w:numFmt w:val="lowerRoman"/>
      <w:lvlText w:val="%3."/>
      <w:lvlJc w:val="right"/>
      <w:pPr>
        <w:ind w:left="2460" w:hanging="180"/>
      </w:pPr>
    </w:lvl>
    <w:lvl w:ilvl="3" w:tplc="87D221DE" w:tentative="1">
      <w:start w:val="1"/>
      <w:numFmt w:val="decimal"/>
      <w:lvlText w:val="%4."/>
      <w:lvlJc w:val="left"/>
      <w:pPr>
        <w:ind w:left="3180" w:hanging="360"/>
      </w:pPr>
    </w:lvl>
    <w:lvl w:ilvl="4" w:tplc="99526164" w:tentative="1">
      <w:start w:val="1"/>
      <w:numFmt w:val="lowerLetter"/>
      <w:lvlText w:val="%5."/>
      <w:lvlJc w:val="left"/>
      <w:pPr>
        <w:ind w:left="3900" w:hanging="360"/>
      </w:pPr>
    </w:lvl>
    <w:lvl w:ilvl="5" w:tplc="D264CE2A" w:tentative="1">
      <w:start w:val="1"/>
      <w:numFmt w:val="lowerRoman"/>
      <w:lvlText w:val="%6."/>
      <w:lvlJc w:val="right"/>
      <w:pPr>
        <w:ind w:left="4620" w:hanging="180"/>
      </w:pPr>
    </w:lvl>
    <w:lvl w:ilvl="6" w:tplc="BE44D14A" w:tentative="1">
      <w:start w:val="1"/>
      <w:numFmt w:val="decimal"/>
      <w:lvlText w:val="%7."/>
      <w:lvlJc w:val="left"/>
      <w:pPr>
        <w:ind w:left="5340" w:hanging="360"/>
      </w:pPr>
    </w:lvl>
    <w:lvl w:ilvl="7" w:tplc="89ECB3F4" w:tentative="1">
      <w:start w:val="1"/>
      <w:numFmt w:val="lowerLetter"/>
      <w:lvlText w:val="%8."/>
      <w:lvlJc w:val="left"/>
      <w:pPr>
        <w:ind w:left="6060" w:hanging="360"/>
      </w:pPr>
    </w:lvl>
    <w:lvl w:ilvl="8" w:tplc="3B5EF3E4" w:tentative="1">
      <w:start w:val="1"/>
      <w:numFmt w:val="lowerRoman"/>
      <w:lvlText w:val="%9."/>
      <w:lvlJc w:val="right"/>
      <w:pPr>
        <w:ind w:left="6780" w:hanging="180"/>
      </w:pPr>
    </w:lvl>
  </w:abstractNum>
  <w:abstractNum w:abstractNumId="35" w15:restartNumberingAfterBreak="0">
    <w:nsid w:val="78163665"/>
    <w:multiLevelType w:val="hybridMultilevel"/>
    <w:tmpl w:val="01A6AA5C"/>
    <w:lvl w:ilvl="0" w:tplc="86F854F0">
      <w:start w:val="1"/>
      <w:numFmt w:val="bullet"/>
      <w:lvlText w:val="o"/>
      <w:lvlJc w:val="left"/>
      <w:pPr>
        <w:ind w:left="720" w:hanging="360"/>
      </w:pPr>
      <w:rPr>
        <w:rFonts w:ascii="Courier New" w:hAnsi="Courier New" w:cs="Courier New" w:hint="default"/>
      </w:rPr>
    </w:lvl>
    <w:lvl w:ilvl="1" w:tplc="D35E67F4" w:tentative="1">
      <w:start w:val="1"/>
      <w:numFmt w:val="bullet"/>
      <w:lvlText w:val="o"/>
      <w:lvlJc w:val="left"/>
      <w:pPr>
        <w:ind w:left="1440" w:hanging="360"/>
      </w:pPr>
      <w:rPr>
        <w:rFonts w:ascii="Courier New" w:hAnsi="Courier New" w:cs="Courier New" w:hint="default"/>
      </w:rPr>
    </w:lvl>
    <w:lvl w:ilvl="2" w:tplc="5D8A0A06" w:tentative="1">
      <w:start w:val="1"/>
      <w:numFmt w:val="bullet"/>
      <w:lvlText w:val=""/>
      <w:lvlJc w:val="left"/>
      <w:pPr>
        <w:ind w:left="2160" w:hanging="360"/>
      </w:pPr>
      <w:rPr>
        <w:rFonts w:ascii="Wingdings" w:hAnsi="Wingdings" w:hint="default"/>
      </w:rPr>
    </w:lvl>
    <w:lvl w:ilvl="3" w:tplc="F59262C2" w:tentative="1">
      <w:start w:val="1"/>
      <w:numFmt w:val="bullet"/>
      <w:lvlText w:val=""/>
      <w:lvlJc w:val="left"/>
      <w:pPr>
        <w:ind w:left="2880" w:hanging="360"/>
      </w:pPr>
      <w:rPr>
        <w:rFonts w:ascii="Symbol" w:hAnsi="Symbol" w:hint="default"/>
      </w:rPr>
    </w:lvl>
    <w:lvl w:ilvl="4" w:tplc="2AB8585A" w:tentative="1">
      <w:start w:val="1"/>
      <w:numFmt w:val="bullet"/>
      <w:lvlText w:val="o"/>
      <w:lvlJc w:val="left"/>
      <w:pPr>
        <w:ind w:left="3600" w:hanging="360"/>
      </w:pPr>
      <w:rPr>
        <w:rFonts w:ascii="Courier New" w:hAnsi="Courier New" w:cs="Courier New" w:hint="default"/>
      </w:rPr>
    </w:lvl>
    <w:lvl w:ilvl="5" w:tplc="D382D7B2" w:tentative="1">
      <w:start w:val="1"/>
      <w:numFmt w:val="bullet"/>
      <w:lvlText w:val=""/>
      <w:lvlJc w:val="left"/>
      <w:pPr>
        <w:ind w:left="4320" w:hanging="360"/>
      </w:pPr>
      <w:rPr>
        <w:rFonts w:ascii="Wingdings" w:hAnsi="Wingdings" w:hint="default"/>
      </w:rPr>
    </w:lvl>
    <w:lvl w:ilvl="6" w:tplc="8A9C258A" w:tentative="1">
      <w:start w:val="1"/>
      <w:numFmt w:val="bullet"/>
      <w:lvlText w:val=""/>
      <w:lvlJc w:val="left"/>
      <w:pPr>
        <w:ind w:left="5040" w:hanging="360"/>
      </w:pPr>
      <w:rPr>
        <w:rFonts w:ascii="Symbol" w:hAnsi="Symbol" w:hint="default"/>
      </w:rPr>
    </w:lvl>
    <w:lvl w:ilvl="7" w:tplc="9C062562" w:tentative="1">
      <w:start w:val="1"/>
      <w:numFmt w:val="bullet"/>
      <w:lvlText w:val="o"/>
      <w:lvlJc w:val="left"/>
      <w:pPr>
        <w:ind w:left="5760" w:hanging="360"/>
      </w:pPr>
      <w:rPr>
        <w:rFonts w:ascii="Courier New" w:hAnsi="Courier New" w:cs="Courier New" w:hint="default"/>
      </w:rPr>
    </w:lvl>
    <w:lvl w:ilvl="8" w:tplc="75628C06" w:tentative="1">
      <w:start w:val="1"/>
      <w:numFmt w:val="bullet"/>
      <w:lvlText w:val=""/>
      <w:lvlJc w:val="left"/>
      <w:pPr>
        <w:ind w:left="6480" w:hanging="360"/>
      </w:pPr>
      <w:rPr>
        <w:rFonts w:ascii="Wingdings" w:hAnsi="Wingdings" w:hint="default"/>
      </w:rPr>
    </w:lvl>
  </w:abstractNum>
  <w:abstractNum w:abstractNumId="36" w15:restartNumberingAfterBreak="0">
    <w:nsid w:val="7BBF2F86"/>
    <w:multiLevelType w:val="hybridMultilevel"/>
    <w:tmpl w:val="AAB0D23E"/>
    <w:lvl w:ilvl="0" w:tplc="A3A20D88">
      <w:start w:val="1"/>
      <w:numFmt w:val="bullet"/>
      <w:lvlText w:val="o"/>
      <w:lvlJc w:val="left"/>
      <w:pPr>
        <w:ind w:left="720" w:hanging="360"/>
      </w:pPr>
      <w:rPr>
        <w:rFonts w:ascii="Courier New" w:hAnsi="Courier New" w:cs="Courier New" w:hint="default"/>
      </w:rPr>
    </w:lvl>
    <w:lvl w:ilvl="1" w:tplc="919484D6" w:tentative="1">
      <w:start w:val="1"/>
      <w:numFmt w:val="bullet"/>
      <w:lvlText w:val="o"/>
      <w:lvlJc w:val="left"/>
      <w:pPr>
        <w:ind w:left="1440" w:hanging="360"/>
      </w:pPr>
      <w:rPr>
        <w:rFonts w:ascii="Courier New" w:hAnsi="Courier New" w:cs="Courier New" w:hint="default"/>
      </w:rPr>
    </w:lvl>
    <w:lvl w:ilvl="2" w:tplc="83E2E058" w:tentative="1">
      <w:start w:val="1"/>
      <w:numFmt w:val="bullet"/>
      <w:lvlText w:val=""/>
      <w:lvlJc w:val="left"/>
      <w:pPr>
        <w:ind w:left="2160" w:hanging="360"/>
      </w:pPr>
      <w:rPr>
        <w:rFonts w:ascii="Wingdings" w:hAnsi="Wingdings" w:hint="default"/>
      </w:rPr>
    </w:lvl>
    <w:lvl w:ilvl="3" w:tplc="3A42716C" w:tentative="1">
      <w:start w:val="1"/>
      <w:numFmt w:val="bullet"/>
      <w:lvlText w:val=""/>
      <w:lvlJc w:val="left"/>
      <w:pPr>
        <w:ind w:left="2880" w:hanging="360"/>
      </w:pPr>
      <w:rPr>
        <w:rFonts w:ascii="Symbol" w:hAnsi="Symbol" w:hint="default"/>
      </w:rPr>
    </w:lvl>
    <w:lvl w:ilvl="4" w:tplc="D6201A86" w:tentative="1">
      <w:start w:val="1"/>
      <w:numFmt w:val="bullet"/>
      <w:lvlText w:val="o"/>
      <w:lvlJc w:val="left"/>
      <w:pPr>
        <w:ind w:left="3600" w:hanging="360"/>
      </w:pPr>
      <w:rPr>
        <w:rFonts w:ascii="Courier New" w:hAnsi="Courier New" w:cs="Courier New" w:hint="default"/>
      </w:rPr>
    </w:lvl>
    <w:lvl w:ilvl="5" w:tplc="FAB21108" w:tentative="1">
      <w:start w:val="1"/>
      <w:numFmt w:val="bullet"/>
      <w:lvlText w:val=""/>
      <w:lvlJc w:val="left"/>
      <w:pPr>
        <w:ind w:left="4320" w:hanging="360"/>
      </w:pPr>
      <w:rPr>
        <w:rFonts w:ascii="Wingdings" w:hAnsi="Wingdings" w:hint="default"/>
      </w:rPr>
    </w:lvl>
    <w:lvl w:ilvl="6" w:tplc="E496F50E" w:tentative="1">
      <w:start w:val="1"/>
      <w:numFmt w:val="bullet"/>
      <w:lvlText w:val=""/>
      <w:lvlJc w:val="left"/>
      <w:pPr>
        <w:ind w:left="5040" w:hanging="360"/>
      </w:pPr>
      <w:rPr>
        <w:rFonts w:ascii="Symbol" w:hAnsi="Symbol" w:hint="default"/>
      </w:rPr>
    </w:lvl>
    <w:lvl w:ilvl="7" w:tplc="C4F21A22" w:tentative="1">
      <w:start w:val="1"/>
      <w:numFmt w:val="bullet"/>
      <w:lvlText w:val="o"/>
      <w:lvlJc w:val="left"/>
      <w:pPr>
        <w:ind w:left="5760" w:hanging="360"/>
      </w:pPr>
      <w:rPr>
        <w:rFonts w:ascii="Courier New" w:hAnsi="Courier New" w:cs="Courier New" w:hint="default"/>
      </w:rPr>
    </w:lvl>
    <w:lvl w:ilvl="8" w:tplc="CE5428FC" w:tentative="1">
      <w:start w:val="1"/>
      <w:numFmt w:val="bullet"/>
      <w:lvlText w:val=""/>
      <w:lvlJc w:val="left"/>
      <w:pPr>
        <w:ind w:left="6480" w:hanging="360"/>
      </w:pPr>
      <w:rPr>
        <w:rFonts w:ascii="Wingdings" w:hAnsi="Wingdings" w:hint="default"/>
      </w:rPr>
    </w:lvl>
  </w:abstractNum>
  <w:abstractNum w:abstractNumId="37" w15:restartNumberingAfterBreak="0">
    <w:nsid w:val="7D904510"/>
    <w:multiLevelType w:val="hybridMultilevel"/>
    <w:tmpl w:val="FD32084A"/>
    <w:lvl w:ilvl="0" w:tplc="0809000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65896360">
    <w:abstractNumId w:val="9"/>
  </w:num>
  <w:num w:numId="2" w16cid:durableId="1630940937">
    <w:abstractNumId w:val="26"/>
  </w:num>
  <w:num w:numId="3" w16cid:durableId="1525553141">
    <w:abstractNumId w:val="35"/>
  </w:num>
  <w:num w:numId="4" w16cid:durableId="1192766852">
    <w:abstractNumId w:val="36"/>
  </w:num>
  <w:num w:numId="5" w16cid:durableId="1585068705">
    <w:abstractNumId w:val="4"/>
  </w:num>
  <w:num w:numId="6" w16cid:durableId="1974672666">
    <w:abstractNumId w:val="25"/>
  </w:num>
  <w:num w:numId="7" w16cid:durableId="29383203">
    <w:abstractNumId w:val="11"/>
  </w:num>
  <w:num w:numId="8" w16cid:durableId="334646810">
    <w:abstractNumId w:val="8"/>
  </w:num>
  <w:num w:numId="9" w16cid:durableId="1304584278">
    <w:abstractNumId w:val="31"/>
  </w:num>
  <w:num w:numId="10" w16cid:durableId="419369653">
    <w:abstractNumId w:val="28"/>
  </w:num>
  <w:num w:numId="11" w16cid:durableId="277445129">
    <w:abstractNumId w:val="21"/>
  </w:num>
  <w:num w:numId="12" w16cid:durableId="437912888">
    <w:abstractNumId w:val="13"/>
  </w:num>
  <w:num w:numId="13" w16cid:durableId="1933705700">
    <w:abstractNumId w:val="1"/>
  </w:num>
  <w:num w:numId="14" w16cid:durableId="607272111">
    <w:abstractNumId w:val="23"/>
  </w:num>
  <w:num w:numId="15" w16cid:durableId="858281105">
    <w:abstractNumId w:val="34"/>
  </w:num>
  <w:num w:numId="16" w16cid:durableId="48460605">
    <w:abstractNumId w:val="17"/>
  </w:num>
  <w:num w:numId="17" w16cid:durableId="1790469491">
    <w:abstractNumId w:val="15"/>
  </w:num>
  <w:num w:numId="18" w16cid:durableId="1876458392">
    <w:abstractNumId w:val="3"/>
  </w:num>
  <w:num w:numId="19" w16cid:durableId="1544243533">
    <w:abstractNumId w:val="10"/>
  </w:num>
  <w:num w:numId="20" w16cid:durableId="1166244713">
    <w:abstractNumId w:val="32"/>
  </w:num>
  <w:num w:numId="21" w16cid:durableId="1365864822">
    <w:abstractNumId w:val="20"/>
  </w:num>
  <w:num w:numId="22" w16cid:durableId="855508871">
    <w:abstractNumId w:val="30"/>
  </w:num>
  <w:num w:numId="23" w16cid:durableId="705446565">
    <w:abstractNumId w:val="5"/>
  </w:num>
  <w:num w:numId="24" w16cid:durableId="2092266555">
    <w:abstractNumId w:val="2"/>
  </w:num>
  <w:num w:numId="25" w16cid:durableId="331179869">
    <w:abstractNumId w:val="12"/>
  </w:num>
  <w:num w:numId="26" w16cid:durableId="190800224">
    <w:abstractNumId w:val="29"/>
  </w:num>
  <w:num w:numId="27" w16cid:durableId="787503993">
    <w:abstractNumId w:val="14"/>
  </w:num>
  <w:num w:numId="28" w16cid:durableId="1161576353">
    <w:abstractNumId w:val="27"/>
  </w:num>
  <w:num w:numId="29" w16cid:durableId="1187520389">
    <w:abstractNumId w:val="6"/>
  </w:num>
  <w:num w:numId="30" w16cid:durableId="1400665785">
    <w:abstractNumId w:val="22"/>
  </w:num>
  <w:num w:numId="31" w16cid:durableId="1549686181">
    <w:abstractNumId w:val="0"/>
  </w:num>
  <w:num w:numId="32" w16cid:durableId="1587109270">
    <w:abstractNumId w:val="33"/>
  </w:num>
  <w:num w:numId="33" w16cid:durableId="435711152">
    <w:abstractNumId w:val="24"/>
  </w:num>
  <w:num w:numId="34" w16cid:durableId="2079010431">
    <w:abstractNumId w:val="16"/>
  </w:num>
  <w:num w:numId="35" w16cid:durableId="1615595098">
    <w:abstractNumId w:val="19"/>
  </w:num>
  <w:num w:numId="36" w16cid:durableId="206528692">
    <w:abstractNumId w:val="7"/>
  </w:num>
  <w:num w:numId="37" w16cid:durableId="629869014">
    <w:abstractNumId w:val="18"/>
  </w:num>
  <w:num w:numId="38" w16cid:durableId="853878532">
    <w:abstractNumId w:val="3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 Light&lt;/FontName&gt;&lt;FontSize&gt;16&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sz9vfrfx2vpwre9d2pptr2695eaxsswepzp&quot;&gt;Harmonisation complete library&lt;record-ids&gt;&lt;item&gt;44&lt;/item&gt;&lt;item&gt;45&lt;/item&gt;&lt;item&gt;46&lt;/item&gt;&lt;item&gt;47&lt;/item&gt;&lt;item&gt;48&lt;/item&gt;&lt;item&gt;49&lt;/item&gt;&lt;item&gt;50&lt;/item&gt;&lt;item&gt;51&lt;/item&gt;&lt;item&gt;52&lt;/item&gt;&lt;item&gt;53&lt;/item&gt;&lt;item&gt;54&lt;/item&gt;&lt;item&gt;57&lt;/item&gt;&lt;item&gt;58&lt;/item&gt;&lt;item&gt;62&lt;/item&gt;&lt;item&gt;63&lt;/item&gt;&lt;item&gt;64&lt;/item&gt;&lt;item&gt;65&lt;/item&gt;&lt;item&gt;66&lt;/item&gt;&lt;item&gt;67&lt;/item&gt;&lt;/record-ids&gt;&lt;/item&gt;&lt;/Libraries&gt;"/>
  </w:docVars>
  <w:rsids>
    <w:rsidRoot w:val="00FD2140"/>
    <w:rsid w:val="000015E3"/>
    <w:rsid w:val="00001A72"/>
    <w:rsid w:val="000020E9"/>
    <w:rsid w:val="00002746"/>
    <w:rsid w:val="00004974"/>
    <w:rsid w:val="00006403"/>
    <w:rsid w:val="00011C83"/>
    <w:rsid w:val="00013CC8"/>
    <w:rsid w:val="00014555"/>
    <w:rsid w:val="00014F6B"/>
    <w:rsid w:val="00015C3C"/>
    <w:rsid w:val="000179FE"/>
    <w:rsid w:val="00017ECC"/>
    <w:rsid w:val="0002476F"/>
    <w:rsid w:val="000274F8"/>
    <w:rsid w:val="000276A2"/>
    <w:rsid w:val="00030360"/>
    <w:rsid w:val="000344E3"/>
    <w:rsid w:val="0003628D"/>
    <w:rsid w:val="00036799"/>
    <w:rsid w:val="00036D6C"/>
    <w:rsid w:val="00037652"/>
    <w:rsid w:val="000407F3"/>
    <w:rsid w:val="00046CE3"/>
    <w:rsid w:val="00047778"/>
    <w:rsid w:val="00051F8C"/>
    <w:rsid w:val="00052B08"/>
    <w:rsid w:val="0005454E"/>
    <w:rsid w:val="00055DA9"/>
    <w:rsid w:val="00056ABA"/>
    <w:rsid w:val="00056AD8"/>
    <w:rsid w:val="00064358"/>
    <w:rsid w:val="0006457A"/>
    <w:rsid w:val="00064717"/>
    <w:rsid w:val="00067805"/>
    <w:rsid w:val="0007139F"/>
    <w:rsid w:val="000728AA"/>
    <w:rsid w:val="0007603A"/>
    <w:rsid w:val="000853E4"/>
    <w:rsid w:val="00092E65"/>
    <w:rsid w:val="000933D0"/>
    <w:rsid w:val="000A3A89"/>
    <w:rsid w:val="000A6267"/>
    <w:rsid w:val="000A6593"/>
    <w:rsid w:val="000A7D56"/>
    <w:rsid w:val="000B3AC1"/>
    <w:rsid w:val="000B4205"/>
    <w:rsid w:val="000B4C18"/>
    <w:rsid w:val="000B5421"/>
    <w:rsid w:val="000B6C9E"/>
    <w:rsid w:val="000C1C9D"/>
    <w:rsid w:val="000C1DD2"/>
    <w:rsid w:val="000C6606"/>
    <w:rsid w:val="000D0E46"/>
    <w:rsid w:val="000D1119"/>
    <w:rsid w:val="000D1404"/>
    <w:rsid w:val="000D23B8"/>
    <w:rsid w:val="000D5312"/>
    <w:rsid w:val="000D68F1"/>
    <w:rsid w:val="000E243B"/>
    <w:rsid w:val="000E2810"/>
    <w:rsid w:val="000E474B"/>
    <w:rsid w:val="000E5E01"/>
    <w:rsid w:val="000E5E22"/>
    <w:rsid w:val="000F2C46"/>
    <w:rsid w:val="000F4AF7"/>
    <w:rsid w:val="000F5C15"/>
    <w:rsid w:val="000F6309"/>
    <w:rsid w:val="000F7FC6"/>
    <w:rsid w:val="00102804"/>
    <w:rsid w:val="00102F24"/>
    <w:rsid w:val="00103144"/>
    <w:rsid w:val="00104C86"/>
    <w:rsid w:val="001066E5"/>
    <w:rsid w:val="00107FC2"/>
    <w:rsid w:val="00111B11"/>
    <w:rsid w:val="00112104"/>
    <w:rsid w:val="00114171"/>
    <w:rsid w:val="00117750"/>
    <w:rsid w:val="00123A96"/>
    <w:rsid w:val="0013090F"/>
    <w:rsid w:val="00130F61"/>
    <w:rsid w:val="001376DE"/>
    <w:rsid w:val="001404F8"/>
    <w:rsid w:val="00142624"/>
    <w:rsid w:val="0014327C"/>
    <w:rsid w:val="001450EF"/>
    <w:rsid w:val="00151871"/>
    <w:rsid w:val="00151926"/>
    <w:rsid w:val="0015310C"/>
    <w:rsid w:val="00153A56"/>
    <w:rsid w:val="001630D4"/>
    <w:rsid w:val="00165C92"/>
    <w:rsid w:val="001674FE"/>
    <w:rsid w:val="00167DA9"/>
    <w:rsid w:val="001806EC"/>
    <w:rsid w:val="00181A39"/>
    <w:rsid w:val="00181BAF"/>
    <w:rsid w:val="0018278F"/>
    <w:rsid w:val="00185ECC"/>
    <w:rsid w:val="0019161E"/>
    <w:rsid w:val="00191B03"/>
    <w:rsid w:val="00192EA9"/>
    <w:rsid w:val="001966D9"/>
    <w:rsid w:val="00197076"/>
    <w:rsid w:val="001A64AA"/>
    <w:rsid w:val="001C0264"/>
    <w:rsid w:val="001C0D1B"/>
    <w:rsid w:val="001C358D"/>
    <w:rsid w:val="001D1F02"/>
    <w:rsid w:val="001D68C0"/>
    <w:rsid w:val="001E6438"/>
    <w:rsid w:val="001F30B9"/>
    <w:rsid w:val="001F3A16"/>
    <w:rsid w:val="001F6973"/>
    <w:rsid w:val="001F7692"/>
    <w:rsid w:val="0020134B"/>
    <w:rsid w:val="00202A2F"/>
    <w:rsid w:val="00202A8E"/>
    <w:rsid w:val="00203A5B"/>
    <w:rsid w:val="00204123"/>
    <w:rsid w:val="002072A4"/>
    <w:rsid w:val="00207B04"/>
    <w:rsid w:val="00211684"/>
    <w:rsid w:val="002147D8"/>
    <w:rsid w:val="00214B44"/>
    <w:rsid w:val="00216D05"/>
    <w:rsid w:val="00222BA7"/>
    <w:rsid w:val="0022380D"/>
    <w:rsid w:val="002255F3"/>
    <w:rsid w:val="00225DAC"/>
    <w:rsid w:val="0022737A"/>
    <w:rsid w:val="0023000C"/>
    <w:rsid w:val="00233A77"/>
    <w:rsid w:val="00241F58"/>
    <w:rsid w:val="00243EF9"/>
    <w:rsid w:val="00247C74"/>
    <w:rsid w:val="00251F12"/>
    <w:rsid w:val="0025300B"/>
    <w:rsid w:val="002540AE"/>
    <w:rsid w:val="00257E1D"/>
    <w:rsid w:val="0026290B"/>
    <w:rsid w:val="00264458"/>
    <w:rsid w:val="00264844"/>
    <w:rsid w:val="00264FF9"/>
    <w:rsid w:val="002661A7"/>
    <w:rsid w:val="00267BBA"/>
    <w:rsid w:val="00267DC4"/>
    <w:rsid w:val="002706F6"/>
    <w:rsid w:val="00280738"/>
    <w:rsid w:val="00280F64"/>
    <w:rsid w:val="00291AC3"/>
    <w:rsid w:val="00292F4C"/>
    <w:rsid w:val="0029456A"/>
    <w:rsid w:val="00294DCD"/>
    <w:rsid w:val="00294EEC"/>
    <w:rsid w:val="0029663D"/>
    <w:rsid w:val="00296F3C"/>
    <w:rsid w:val="002A4060"/>
    <w:rsid w:val="002A6CC7"/>
    <w:rsid w:val="002B0315"/>
    <w:rsid w:val="002B6C23"/>
    <w:rsid w:val="002C3762"/>
    <w:rsid w:val="002C7211"/>
    <w:rsid w:val="002D1F71"/>
    <w:rsid w:val="002D4226"/>
    <w:rsid w:val="002E095A"/>
    <w:rsid w:val="002E11C9"/>
    <w:rsid w:val="002E1DAE"/>
    <w:rsid w:val="002E4A27"/>
    <w:rsid w:val="002E4D90"/>
    <w:rsid w:val="002E5083"/>
    <w:rsid w:val="002E6D5B"/>
    <w:rsid w:val="00307368"/>
    <w:rsid w:val="00314ED8"/>
    <w:rsid w:val="00316449"/>
    <w:rsid w:val="00316DE3"/>
    <w:rsid w:val="003215D1"/>
    <w:rsid w:val="0032176F"/>
    <w:rsid w:val="00323776"/>
    <w:rsid w:val="00324A2D"/>
    <w:rsid w:val="003352EF"/>
    <w:rsid w:val="00337D69"/>
    <w:rsid w:val="0034084B"/>
    <w:rsid w:val="0034096E"/>
    <w:rsid w:val="00342572"/>
    <w:rsid w:val="00343156"/>
    <w:rsid w:val="00343EC9"/>
    <w:rsid w:val="00345039"/>
    <w:rsid w:val="00346311"/>
    <w:rsid w:val="00353734"/>
    <w:rsid w:val="00355646"/>
    <w:rsid w:val="00362F9E"/>
    <w:rsid w:val="00363512"/>
    <w:rsid w:val="00366357"/>
    <w:rsid w:val="0037244E"/>
    <w:rsid w:val="00372AF2"/>
    <w:rsid w:val="00374EFC"/>
    <w:rsid w:val="00375CA8"/>
    <w:rsid w:val="00385928"/>
    <w:rsid w:val="003874E6"/>
    <w:rsid w:val="003906E7"/>
    <w:rsid w:val="003938D5"/>
    <w:rsid w:val="00397746"/>
    <w:rsid w:val="00397C73"/>
    <w:rsid w:val="003A202D"/>
    <w:rsid w:val="003A2A76"/>
    <w:rsid w:val="003A2D47"/>
    <w:rsid w:val="003B0B46"/>
    <w:rsid w:val="003B2D8F"/>
    <w:rsid w:val="003B5CE6"/>
    <w:rsid w:val="003C0309"/>
    <w:rsid w:val="003C0A99"/>
    <w:rsid w:val="003C4089"/>
    <w:rsid w:val="003C4EDF"/>
    <w:rsid w:val="003C5A57"/>
    <w:rsid w:val="003C72BA"/>
    <w:rsid w:val="003D10C2"/>
    <w:rsid w:val="003D568C"/>
    <w:rsid w:val="003D5CF4"/>
    <w:rsid w:val="003D6023"/>
    <w:rsid w:val="003E3265"/>
    <w:rsid w:val="003E776D"/>
    <w:rsid w:val="003F1616"/>
    <w:rsid w:val="003F3A74"/>
    <w:rsid w:val="003F494F"/>
    <w:rsid w:val="003F6E1D"/>
    <w:rsid w:val="004024D0"/>
    <w:rsid w:val="0040345B"/>
    <w:rsid w:val="00405498"/>
    <w:rsid w:val="00406F4D"/>
    <w:rsid w:val="00411E7C"/>
    <w:rsid w:val="0041406B"/>
    <w:rsid w:val="004256C8"/>
    <w:rsid w:val="00427BBF"/>
    <w:rsid w:val="004319C4"/>
    <w:rsid w:val="00437950"/>
    <w:rsid w:val="00441F6A"/>
    <w:rsid w:val="004420F4"/>
    <w:rsid w:val="00443B8A"/>
    <w:rsid w:val="004454AF"/>
    <w:rsid w:val="00446F71"/>
    <w:rsid w:val="00447A83"/>
    <w:rsid w:val="004520C0"/>
    <w:rsid w:val="00463835"/>
    <w:rsid w:val="00463F32"/>
    <w:rsid w:val="00465631"/>
    <w:rsid w:val="00471A05"/>
    <w:rsid w:val="00480A7B"/>
    <w:rsid w:val="0048164D"/>
    <w:rsid w:val="004852AB"/>
    <w:rsid w:val="00485E7B"/>
    <w:rsid w:val="00490ECF"/>
    <w:rsid w:val="004A0072"/>
    <w:rsid w:val="004A07F2"/>
    <w:rsid w:val="004A5475"/>
    <w:rsid w:val="004B3CAB"/>
    <w:rsid w:val="004B5D58"/>
    <w:rsid w:val="004C0AC9"/>
    <w:rsid w:val="004C3586"/>
    <w:rsid w:val="004C3A37"/>
    <w:rsid w:val="004C640A"/>
    <w:rsid w:val="004C67A8"/>
    <w:rsid w:val="004D0A44"/>
    <w:rsid w:val="004D1EE9"/>
    <w:rsid w:val="004D4F94"/>
    <w:rsid w:val="004D5D9F"/>
    <w:rsid w:val="004E4004"/>
    <w:rsid w:val="004E555A"/>
    <w:rsid w:val="004F31FF"/>
    <w:rsid w:val="004F6379"/>
    <w:rsid w:val="005007A9"/>
    <w:rsid w:val="00507B78"/>
    <w:rsid w:val="00511AAD"/>
    <w:rsid w:val="00511AFD"/>
    <w:rsid w:val="00512CB0"/>
    <w:rsid w:val="00515D5D"/>
    <w:rsid w:val="00522775"/>
    <w:rsid w:val="00522BD0"/>
    <w:rsid w:val="005237CC"/>
    <w:rsid w:val="00523DCC"/>
    <w:rsid w:val="00524A2C"/>
    <w:rsid w:val="00524E11"/>
    <w:rsid w:val="00526BBC"/>
    <w:rsid w:val="00536009"/>
    <w:rsid w:val="00537962"/>
    <w:rsid w:val="00537D0F"/>
    <w:rsid w:val="00537F2B"/>
    <w:rsid w:val="00540F38"/>
    <w:rsid w:val="00543132"/>
    <w:rsid w:val="0054326C"/>
    <w:rsid w:val="00544DAC"/>
    <w:rsid w:val="0055110B"/>
    <w:rsid w:val="00552E30"/>
    <w:rsid w:val="00556147"/>
    <w:rsid w:val="00560CCC"/>
    <w:rsid w:val="005621CE"/>
    <w:rsid w:val="00563A11"/>
    <w:rsid w:val="00566D06"/>
    <w:rsid w:val="00567B00"/>
    <w:rsid w:val="00571ADF"/>
    <w:rsid w:val="00574965"/>
    <w:rsid w:val="00577772"/>
    <w:rsid w:val="005826BB"/>
    <w:rsid w:val="00585226"/>
    <w:rsid w:val="00586A97"/>
    <w:rsid w:val="00586E05"/>
    <w:rsid w:val="005912BE"/>
    <w:rsid w:val="00593F75"/>
    <w:rsid w:val="005A02B9"/>
    <w:rsid w:val="005A0A34"/>
    <w:rsid w:val="005A2A69"/>
    <w:rsid w:val="005B31B5"/>
    <w:rsid w:val="005B373C"/>
    <w:rsid w:val="005B39AB"/>
    <w:rsid w:val="005B7C21"/>
    <w:rsid w:val="005C03D8"/>
    <w:rsid w:val="005C1627"/>
    <w:rsid w:val="005C20EF"/>
    <w:rsid w:val="005D1469"/>
    <w:rsid w:val="005D1484"/>
    <w:rsid w:val="005D2322"/>
    <w:rsid w:val="005D569D"/>
    <w:rsid w:val="005D6F31"/>
    <w:rsid w:val="005D7CDE"/>
    <w:rsid w:val="005E2BED"/>
    <w:rsid w:val="005E3A5A"/>
    <w:rsid w:val="005F740F"/>
    <w:rsid w:val="00601B86"/>
    <w:rsid w:val="00603083"/>
    <w:rsid w:val="00605254"/>
    <w:rsid w:val="006066B7"/>
    <w:rsid w:val="0061170C"/>
    <w:rsid w:val="00611CFE"/>
    <w:rsid w:val="00613483"/>
    <w:rsid w:val="00613854"/>
    <w:rsid w:val="00617B09"/>
    <w:rsid w:val="0062284E"/>
    <w:rsid w:val="00625E9E"/>
    <w:rsid w:val="00630203"/>
    <w:rsid w:val="00632327"/>
    <w:rsid w:val="00634A08"/>
    <w:rsid w:val="00635F33"/>
    <w:rsid w:val="00635F5B"/>
    <w:rsid w:val="00642970"/>
    <w:rsid w:val="00645DA9"/>
    <w:rsid w:val="0065655B"/>
    <w:rsid w:val="00660A81"/>
    <w:rsid w:val="006638BB"/>
    <w:rsid w:val="006645DC"/>
    <w:rsid w:val="00673A8B"/>
    <w:rsid w:val="006746F3"/>
    <w:rsid w:val="006772C7"/>
    <w:rsid w:val="006777DC"/>
    <w:rsid w:val="00680436"/>
    <w:rsid w:val="00682069"/>
    <w:rsid w:val="00691814"/>
    <w:rsid w:val="00692E2A"/>
    <w:rsid w:val="006952FA"/>
    <w:rsid w:val="00695E61"/>
    <w:rsid w:val="006963F4"/>
    <w:rsid w:val="006A0572"/>
    <w:rsid w:val="006A162A"/>
    <w:rsid w:val="006A3E89"/>
    <w:rsid w:val="006A4EFD"/>
    <w:rsid w:val="006A6594"/>
    <w:rsid w:val="006A6A7E"/>
    <w:rsid w:val="006B320D"/>
    <w:rsid w:val="006B3951"/>
    <w:rsid w:val="006B71F3"/>
    <w:rsid w:val="006B76E3"/>
    <w:rsid w:val="006C162D"/>
    <w:rsid w:val="006C4E06"/>
    <w:rsid w:val="006C6BDD"/>
    <w:rsid w:val="006C71BC"/>
    <w:rsid w:val="006C71E8"/>
    <w:rsid w:val="006C7BB1"/>
    <w:rsid w:val="006D198D"/>
    <w:rsid w:val="006D3120"/>
    <w:rsid w:val="006D446A"/>
    <w:rsid w:val="006D4B21"/>
    <w:rsid w:val="006E21F9"/>
    <w:rsid w:val="006E2F1E"/>
    <w:rsid w:val="006F0C5C"/>
    <w:rsid w:val="006F776E"/>
    <w:rsid w:val="007015B2"/>
    <w:rsid w:val="00701691"/>
    <w:rsid w:val="00703A3F"/>
    <w:rsid w:val="007077FA"/>
    <w:rsid w:val="00712BBB"/>
    <w:rsid w:val="00713D23"/>
    <w:rsid w:val="00724887"/>
    <w:rsid w:val="00732764"/>
    <w:rsid w:val="00732879"/>
    <w:rsid w:val="00734230"/>
    <w:rsid w:val="00741996"/>
    <w:rsid w:val="00744C71"/>
    <w:rsid w:val="007460AF"/>
    <w:rsid w:val="0074648A"/>
    <w:rsid w:val="00747099"/>
    <w:rsid w:val="00757335"/>
    <w:rsid w:val="00764801"/>
    <w:rsid w:val="00770602"/>
    <w:rsid w:val="00772183"/>
    <w:rsid w:val="00772B18"/>
    <w:rsid w:val="0077347C"/>
    <w:rsid w:val="00774127"/>
    <w:rsid w:val="007835F2"/>
    <w:rsid w:val="00784D4D"/>
    <w:rsid w:val="0079036B"/>
    <w:rsid w:val="0079244F"/>
    <w:rsid w:val="00792E28"/>
    <w:rsid w:val="00795A54"/>
    <w:rsid w:val="00795FD2"/>
    <w:rsid w:val="007967F0"/>
    <w:rsid w:val="007968CB"/>
    <w:rsid w:val="00797829"/>
    <w:rsid w:val="007A1513"/>
    <w:rsid w:val="007A3E99"/>
    <w:rsid w:val="007A59D0"/>
    <w:rsid w:val="007A6180"/>
    <w:rsid w:val="007A7806"/>
    <w:rsid w:val="007C0F03"/>
    <w:rsid w:val="007C269A"/>
    <w:rsid w:val="007C3505"/>
    <w:rsid w:val="007C4BBA"/>
    <w:rsid w:val="007C64EB"/>
    <w:rsid w:val="007C6DB6"/>
    <w:rsid w:val="007D0324"/>
    <w:rsid w:val="007D3D74"/>
    <w:rsid w:val="007D5A73"/>
    <w:rsid w:val="007E022C"/>
    <w:rsid w:val="007E15F5"/>
    <w:rsid w:val="007E216E"/>
    <w:rsid w:val="007E22D9"/>
    <w:rsid w:val="007E4C35"/>
    <w:rsid w:val="007E5545"/>
    <w:rsid w:val="007E5C83"/>
    <w:rsid w:val="007E6B00"/>
    <w:rsid w:val="007F2808"/>
    <w:rsid w:val="007F38FB"/>
    <w:rsid w:val="007F44F2"/>
    <w:rsid w:val="007F51BE"/>
    <w:rsid w:val="007F577B"/>
    <w:rsid w:val="00803749"/>
    <w:rsid w:val="00810873"/>
    <w:rsid w:val="00812DE7"/>
    <w:rsid w:val="00817DAD"/>
    <w:rsid w:val="00822870"/>
    <w:rsid w:val="008303B5"/>
    <w:rsid w:val="00833BED"/>
    <w:rsid w:val="00836352"/>
    <w:rsid w:val="00837E18"/>
    <w:rsid w:val="008437F5"/>
    <w:rsid w:val="00844115"/>
    <w:rsid w:val="00850DB6"/>
    <w:rsid w:val="008545A9"/>
    <w:rsid w:val="00855EDE"/>
    <w:rsid w:val="00856384"/>
    <w:rsid w:val="00856ED7"/>
    <w:rsid w:val="00857A64"/>
    <w:rsid w:val="00865538"/>
    <w:rsid w:val="00865AAC"/>
    <w:rsid w:val="00865D85"/>
    <w:rsid w:val="0087051E"/>
    <w:rsid w:val="00872595"/>
    <w:rsid w:val="00872F2F"/>
    <w:rsid w:val="008736C0"/>
    <w:rsid w:val="008739B5"/>
    <w:rsid w:val="00874F86"/>
    <w:rsid w:val="00890872"/>
    <w:rsid w:val="00892127"/>
    <w:rsid w:val="008925FE"/>
    <w:rsid w:val="008946B7"/>
    <w:rsid w:val="00896768"/>
    <w:rsid w:val="00896F58"/>
    <w:rsid w:val="008A07B7"/>
    <w:rsid w:val="008A2C60"/>
    <w:rsid w:val="008A304A"/>
    <w:rsid w:val="008A696C"/>
    <w:rsid w:val="008B1637"/>
    <w:rsid w:val="008B4C36"/>
    <w:rsid w:val="008B5B7E"/>
    <w:rsid w:val="008B61DF"/>
    <w:rsid w:val="008B72E7"/>
    <w:rsid w:val="008C1905"/>
    <w:rsid w:val="008C4799"/>
    <w:rsid w:val="008D362F"/>
    <w:rsid w:val="008D4294"/>
    <w:rsid w:val="008D7838"/>
    <w:rsid w:val="008E0EB9"/>
    <w:rsid w:val="008E7576"/>
    <w:rsid w:val="008E77B7"/>
    <w:rsid w:val="008F1BB0"/>
    <w:rsid w:val="0090785E"/>
    <w:rsid w:val="0091300B"/>
    <w:rsid w:val="009136E0"/>
    <w:rsid w:val="00913B14"/>
    <w:rsid w:val="00920056"/>
    <w:rsid w:val="0092631B"/>
    <w:rsid w:val="00931701"/>
    <w:rsid w:val="0093605E"/>
    <w:rsid w:val="009362FB"/>
    <w:rsid w:val="00937296"/>
    <w:rsid w:val="009413D8"/>
    <w:rsid w:val="009429FC"/>
    <w:rsid w:val="00946DBB"/>
    <w:rsid w:val="00955E0A"/>
    <w:rsid w:val="00963FC4"/>
    <w:rsid w:val="009649D1"/>
    <w:rsid w:val="0097139A"/>
    <w:rsid w:val="00974A50"/>
    <w:rsid w:val="0098025C"/>
    <w:rsid w:val="00980D1D"/>
    <w:rsid w:val="00985D60"/>
    <w:rsid w:val="009866BE"/>
    <w:rsid w:val="00991E49"/>
    <w:rsid w:val="0099235A"/>
    <w:rsid w:val="00992DF7"/>
    <w:rsid w:val="00996213"/>
    <w:rsid w:val="0099735E"/>
    <w:rsid w:val="0099755B"/>
    <w:rsid w:val="009A0FD0"/>
    <w:rsid w:val="009A130F"/>
    <w:rsid w:val="009A1335"/>
    <w:rsid w:val="009A1EB1"/>
    <w:rsid w:val="009A62D8"/>
    <w:rsid w:val="009B3C16"/>
    <w:rsid w:val="009B4103"/>
    <w:rsid w:val="009B43F9"/>
    <w:rsid w:val="009B6CC2"/>
    <w:rsid w:val="009B7867"/>
    <w:rsid w:val="009C0AE9"/>
    <w:rsid w:val="009C1F7E"/>
    <w:rsid w:val="009C3EF9"/>
    <w:rsid w:val="009D1035"/>
    <w:rsid w:val="009D24D7"/>
    <w:rsid w:val="009D32BE"/>
    <w:rsid w:val="009D3E27"/>
    <w:rsid w:val="009D531C"/>
    <w:rsid w:val="009D6B9E"/>
    <w:rsid w:val="009E2D6E"/>
    <w:rsid w:val="009E4DC5"/>
    <w:rsid w:val="009E641A"/>
    <w:rsid w:val="009E650B"/>
    <w:rsid w:val="009E701C"/>
    <w:rsid w:val="009E719A"/>
    <w:rsid w:val="009F25AE"/>
    <w:rsid w:val="009F47D3"/>
    <w:rsid w:val="009F4B37"/>
    <w:rsid w:val="00A0012A"/>
    <w:rsid w:val="00A0067B"/>
    <w:rsid w:val="00A13B72"/>
    <w:rsid w:val="00A20C8C"/>
    <w:rsid w:val="00A212C0"/>
    <w:rsid w:val="00A22EE5"/>
    <w:rsid w:val="00A23DBA"/>
    <w:rsid w:val="00A23DE3"/>
    <w:rsid w:val="00A2520C"/>
    <w:rsid w:val="00A33EE9"/>
    <w:rsid w:val="00A367C1"/>
    <w:rsid w:val="00A36AE2"/>
    <w:rsid w:val="00A412CB"/>
    <w:rsid w:val="00A47D27"/>
    <w:rsid w:val="00A60171"/>
    <w:rsid w:val="00A7509D"/>
    <w:rsid w:val="00A75834"/>
    <w:rsid w:val="00A77379"/>
    <w:rsid w:val="00A834A3"/>
    <w:rsid w:val="00A8419B"/>
    <w:rsid w:val="00A9045A"/>
    <w:rsid w:val="00A9532B"/>
    <w:rsid w:val="00A96792"/>
    <w:rsid w:val="00A96E8A"/>
    <w:rsid w:val="00AA5045"/>
    <w:rsid w:val="00AA5818"/>
    <w:rsid w:val="00AA6815"/>
    <w:rsid w:val="00AB6F2D"/>
    <w:rsid w:val="00AD13D0"/>
    <w:rsid w:val="00AD454E"/>
    <w:rsid w:val="00AD4B5F"/>
    <w:rsid w:val="00AD6E96"/>
    <w:rsid w:val="00AF1C0F"/>
    <w:rsid w:val="00AF2775"/>
    <w:rsid w:val="00AF2D09"/>
    <w:rsid w:val="00AF4984"/>
    <w:rsid w:val="00B00BB9"/>
    <w:rsid w:val="00B0230C"/>
    <w:rsid w:val="00B068BF"/>
    <w:rsid w:val="00B06D8A"/>
    <w:rsid w:val="00B12265"/>
    <w:rsid w:val="00B22302"/>
    <w:rsid w:val="00B232A3"/>
    <w:rsid w:val="00B24291"/>
    <w:rsid w:val="00B30D0A"/>
    <w:rsid w:val="00B35C37"/>
    <w:rsid w:val="00B37A43"/>
    <w:rsid w:val="00B430CF"/>
    <w:rsid w:val="00B43A7D"/>
    <w:rsid w:val="00B45954"/>
    <w:rsid w:val="00B45A55"/>
    <w:rsid w:val="00B50FCF"/>
    <w:rsid w:val="00B51614"/>
    <w:rsid w:val="00B5347D"/>
    <w:rsid w:val="00B611B8"/>
    <w:rsid w:val="00B61835"/>
    <w:rsid w:val="00B63F01"/>
    <w:rsid w:val="00B65398"/>
    <w:rsid w:val="00B662E8"/>
    <w:rsid w:val="00B72AAC"/>
    <w:rsid w:val="00B72D2B"/>
    <w:rsid w:val="00B760D1"/>
    <w:rsid w:val="00B763F9"/>
    <w:rsid w:val="00B77C85"/>
    <w:rsid w:val="00B80419"/>
    <w:rsid w:val="00B8215A"/>
    <w:rsid w:val="00B84E16"/>
    <w:rsid w:val="00B858D4"/>
    <w:rsid w:val="00B86C64"/>
    <w:rsid w:val="00B93141"/>
    <w:rsid w:val="00BA164F"/>
    <w:rsid w:val="00BA23F3"/>
    <w:rsid w:val="00BA3306"/>
    <w:rsid w:val="00BA38C6"/>
    <w:rsid w:val="00BA42EF"/>
    <w:rsid w:val="00BA573E"/>
    <w:rsid w:val="00BA7014"/>
    <w:rsid w:val="00BB3292"/>
    <w:rsid w:val="00BB65B8"/>
    <w:rsid w:val="00BC5776"/>
    <w:rsid w:val="00BC5C25"/>
    <w:rsid w:val="00BC77C0"/>
    <w:rsid w:val="00BC7BB8"/>
    <w:rsid w:val="00BC7D3B"/>
    <w:rsid w:val="00BE3BF7"/>
    <w:rsid w:val="00BF3151"/>
    <w:rsid w:val="00BF344F"/>
    <w:rsid w:val="00C0034C"/>
    <w:rsid w:val="00C00DD6"/>
    <w:rsid w:val="00C0110F"/>
    <w:rsid w:val="00C059A5"/>
    <w:rsid w:val="00C06141"/>
    <w:rsid w:val="00C07CFF"/>
    <w:rsid w:val="00C106A8"/>
    <w:rsid w:val="00C10E79"/>
    <w:rsid w:val="00C1107D"/>
    <w:rsid w:val="00C12F21"/>
    <w:rsid w:val="00C2051E"/>
    <w:rsid w:val="00C23885"/>
    <w:rsid w:val="00C24003"/>
    <w:rsid w:val="00C278A7"/>
    <w:rsid w:val="00C32A8A"/>
    <w:rsid w:val="00C33B95"/>
    <w:rsid w:val="00C33F76"/>
    <w:rsid w:val="00C42E25"/>
    <w:rsid w:val="00C453F3"/>
    <w:rsid w:val="00C46141"/>
    <w:rsid w:val="00C52EA7"/>
    <w:rsid w:val="00C56B49"/>
    <w:rsid w:val="00C57D12"/>
    <w:rsid w:val="00C60A90"/>
    <w:rsid w:val="00C7172B"/>
    <w:rsid w:val="00C7339B"/>
    <w:rsid w:val="00C74597"/>
    <w:rsid w:val="00C75442"/>
    <w:rsid w:val="00C8539B"/>
    <w:rsid w:val="00C8772B"/>
    <w:rsid w:val="00C87A0B"/>
    <w:rsid w:val="00C92738"/>
    <w:rsid w:val="00C9351E"/>
    <w:rsid w:val="00C93927"/>
    <w:rsid w:val="00CA11AA"/>
    <w:rsid w:val="00CA324F"/>
    <w:rsid w:val="00CA3EAD"/>
    <w:rsid w:val="00CA6C8A"/>
    <w:rsid w:val="00CB166B"/>
    <w:rsid w:val="00CB336C"/>
    <w:rsid w:val="00CC0BE3"/>
    <w:rsid w:val="00CD41F9"/>
    <w:rsid w:val="00CD51F0"/>
    <w:rsid w:val="00CE2B81"/>
    <w:rsid w:val="00CE3FF1"/>
    <w:rsid w:val="00CE54F5"/>
    <w:rsid w:val="00CE727A"/>
    <w:rsid w:val="00CF116C"/>
    <w:rsid w:val="00CF32EA"/>
    <w:rsid w:val="00CF3C79"/>
    <w:rsid w:val="00CF476C"/>
    <w:rsid w:val="00CF5EA2"/>
    <w:rsid w:val="00CF61D6"/>
    <w:rsid w:val="00D0665F"/>
    <w:rsid w:val="00D11A6B"/>
    <w:rsid w:val="00D12D62"/>
    <w:rsid w:val="00D13A9C"/>
    <w:rsid w:val="00D13CB4"/>
    <w:rsid w:val="00D16E04"/>
    <w:rsid w:val="00D17944"/>
    <w:rsid w:val="00D20CBA"/>
    <w:rsid w:val="00D21C63"/>
    <w:rsid w:val="00D27FE4"/>
    <w:rsid w:val="00D33AC6"/>
    <w:rsid w:val="00D341D6"/>
    <w:rsid w:val="00D34C4D"/>
    <w:rsid w:val="00D4482A"/>
    <w:rsid w:val="00D46E0D"/>
    <w:rsid w:val="00D51325"/>
    <w:rsid w:val="00D529C7"/>
    <w:rsid w:val="00D559BD"/>
    <w:rsid w:val="00D566BE"/>
    <w:rsid w:val="00D56AAC"/>
    <w:rsid w:val="00D56C15"/>
    <w:rsid w:val="00D57B52"/>
    <w:rsid w:val="00D607FF"/>
    <w:rsid w:val="00D60FDD"/>
    <w:rsid w:val="00D66F50"/>
    <w:rsid w:val="00D75473"/>
    <w:rsid w:val="00D82C4B"/>
    <w:rsid w:val="00D843C0"/>
    <w:rsid w:val="00D87215"/>
    <w:rsid w:val="00D91CA6"/>
    <w:rsid w:val="00D94064"/>
    <w:rsid w:val="00D96C04"/>
    <w:rsid w:val="00D96E5C"/>
    <w:rsid w:val="00D96E64"/>
    <w:rsid w:val="00D97459"/>
    <w:rsid w:val="00DA60C5"/>
    <w:rsid w:val="00DB2071"/>
    <w:rsid w:val="00DB6DBA"/>
    <w:rsid w:val="00DB7064"/>
    <w:rsid w:val="00DC2768"/>
    <w:rsid w:val="00DC50BD"/>
    <w:rsid w:val="00DD01E7"/>
    <w:rsid w:val="00DD0F1C"/>
    <w:rsid w:val="00DD7911"/>
    <w:rsid w:val="00DE0448"/>
    <w:rsid w:val="00DE0FF7"/>
    <w:rsid w:val="00DE1D1E"/>
    <w:rsid w:val="00DE1E82"/>
    <w:rsid w:val="00DE32B6"/>
    <w:rsid w:val="00DE4BDF"/>
    <w:rsid w:val="00DF275A"/>
    <w:rsid w:val="00DF44EB"/>
    <w:rsid w:val="00DF774B"/>
    <w:rsid w:val="00E0000A"/>
    <w:rsid w:val="00E02B6A"/>
    <w:rsid w:val="00E047AD"/>
    <w:rsid w:val="00E076E1"/>
    <w:rsid w:val="00E0782F"/>
    <w:rsid w:val="00E10643"/>
    <w:rsid w:val="00E10E46"/>
    <w:rsid w:val="00E21F77"/>
    <w:rsid w:val="00E228DC"/>
    <w:rsid w:val="00E2561D"/>
    <w:rsid w:val="00E26537"/>
    <w:rsid w:val="00E311A0"/>
    <w:rsid w:val="00E3387A"/>
    <w:rsid w:val="00E33E5F"/>
    <w:rsid w:val="00E34BCA"/>
    <w:rsid w:val="00E35989"/>
    <w:rsid w:val="00E36059"/>
    <w:rsid w:val="00E3643A"/>
    <w:rsid w:val="00E41AC2"/>
    <w:rsid w:val="00E450C4"/>
    <w:rsid w:val="00E4544A"/>
    <w:rsid w:val="00E51C5D"/>
    <w:rsid w:val="00E57A78"/>
    <w:rsid w:val="00E6063D"/>
    <w:rsid w:val="00E60BA2"/>
    <w:rsid w:val="00E61B32"/>
    <w:rsid w:val="00E635AF"/>
    <w:rsid w:val="00E63EFD"/>
    <w:rsid w:val="00E75851"/>
    <w:rsid w:val="00E75B9F"/>
    <w:rsid w:val="00E82568"/>
    <w:rsid w:val="00E827B1"/>
    <w:rsid w:val="00E82D1C"/>
    <w:rsid w:val="00E83A87"/>
    <w:rsid w:val="00E84B13"/>
    <w:rsid w:val="00E84BF2"/>
    <w:rsid w:val="00E87B84"/>
    <w:rsid w:val="00E92237"/>
    <w:rsid w:val="00E92954"/>
    <w:rsid w:val="00EA1EA3"/>
    <w:rsid w:val="00EA336E"/>
    <w:rsid w:val="00EB2D71"/>
    <w:rsid w:val="00EB34D1"/>
    <w:rsid w:val="00EC01B6"/>
    <w:rsid w:val="00EC24FC"/>
    <w:rsid w:val="00EC2D96"/>
    <w:rsid w:val="00ED015A"/>
    <w:rsid w:val="00EE2AE9"/>
    <w:rsid w:val="00EE44C6"/>
    <w:rsid w:val="00EE5437"/>
    <w:rsid w:val="00EF3EE0"/>
    <w:rsid w:val="00F03019"/>
    <w:rsid w:val="00F05F3E"/>
    <w:rsid w:val="00F075D7"/>
    <w:rsid w:val="00F117B4"/>
    <w:rsid w:val="00F12353"/>
    <w:rsid w:val="00F13121"/>
    <w:rsid w:val="00F16259"/>
    <w:rsid w:val="00F16F32"/>
    <w:rsid w:val="00F22004"/>
    <w:rsid w:val="00F23983"/>
    <w:rsid w:val="00F24595"/>
    <w:rsid w:val="00F27F18"/>
    <w:rsid w:val="00F3053F"/>
    <w:rsid w:val="00F31118"/>
    <w:rsid w:val="00F3454F"/>
    <w:rsid w:val="00F359E1"/>
    <w:rsid w:val="00F36004"/>
    <w:rsid w:val="00F37096"/>
    <w:rsid w:val="00F4097C"/>
    <w:rsid w:val="00F439F3"/>
    <w:rsid w:val="00F45B52"/>
    <w:rsid w:val="00F47720"/>
    <w:rsid w:val="00F50C2B"/>
    <w:rsid w:val="00F51149"/>
    <w:rsid w:val="00F52506"/>
    <w:rsid w:val="00F54620"/>
    <w:rsid w:val="00F54BBA"/>
    <w:rsid w:val="00F56044"/>
    <w:rsid w:val="00F610AF"/>
    <w:rsid w:val="00F61138"/>
    <w:rsid w:val="00F63396"/>
    <w:rsid w:val="00F6453C"/>
    <w:rsid w:val="00F64680"/>
    <w:rsid w:val="00F66C3F"/>
    <w:rsid w:val="00F731FC"/>
    <w:rsid w:val="00F80529"/>
    <w:rsid w:val="00F80A32"/>
    <w:rsid w:val="00F81122"/>
    <w:rsid w:val="00F813BA"/>
    <w:rsid w:val="00F86299"/>
    <w:rsid w:val="00F907FD"/>
    <w:rsid w:val="00F9556E"/>
    <w:rsid w:val="00FA1154"/>
    <w:rsid w:val="00FA2B5D"/>
    <w:rsid w:val="00FA64EB"/>
    <w:rsid w:val="00FA6F67"/>
    <w:rsid w:val="00FA6F99"/>
    <w:rsid w:val="00FB227B"/>
    <w:rsid w:val="00FB560A"/>
    <w:rsid w:val="00FC3279"/>
    <w:rsid w:val="00FD0635"/>
    <w:rsid w:val="00FD0988"/>
    <w:rsid w:val="00FD2140"/>
    <w:rsid w:val="00FE2B02"/>
    <w:rsid w:val="00FE2D16"/>
    <w:rsid w:val="00FE5D93"/>
    <w:rsid w:val="00FF03B5"/>
    <w:rsid w:val="00FF3734"/>
    <w:rsid w:val="00FF63B0"/>
    <w:rsid w:val="00FF65F6"/>
    <w:rsid w:val="00FF7061"/>
    <w:rsid w:val="00FF7D83"/>
    <w:rsid w:val="102F4F22"/>
    <w:rsid w:val="15B50CEB"/>
    <w:rsid w:val="17AEF6BA"/>
    <w:rsid w:val="1E6A2753"/>
    <w:rsid w:val="21E55E58"/>
    <w:rsid w:val="463EEACA"/>
    <w:rsid w:val="47BD7B47"/>
    <w:rsid w:val="70D460CB"/>
    <w:rsid w:val="74A0DB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293DDE"/>
  <w15:docId w15:val="{94D3C734-0701-45C6-8317-4F1E6D60C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586"/>
  </w:style>
  <w:style w:type="paragraph" w:styleId="Heading1">
    <w:name w:val="heading 1"/>
    <w:basedOn w:val="Normal"/>
    <w:next w:val="Normal"/>
    <w:link w:val="Heading1Char"/>
    <w:uiPriority w:val="9"/>
    <w:qFormat/>
    <w:rsid w:val="00FD21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214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D214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14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D214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D2140"/>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7F577B"/>
    <w:pPr>
      <w:tabs>
        <w:tab w:val="center" w:pos="4513"/>
        <w:tab w:val="right" w:pos="9026"/>
      </w:tabs>
    </w:pPr>
  </w:style>
  <w:style w:type="character" w:customStyle="1" w:styleId="HeaderChar">
    <w:name w:val="Header Char"/>
    <w:basedOn w:val="DefaultParagraphFont"/>
    <w:link w:val="Header"/>
    <w:uiPriority w:val="99"/>
    <w:rsid w:val="007F577B"/>
  </w:style>
  <w:style w:type="paragraph" w:styleId="Footer">
    <w:name w:val="footer"/>
    <w:basedOn w:val="Normal"/>
    <w:link w:val="FooterChar"/>
    <w:uiPriority w:val="99"/>
    <w:unhideWhenUsed/>
    <w:rsid w:val="007F577B"/>
    <w:pPr>
      <w:tabs>
        <w:tab w:val="center" w:pos="4513"/>
        <w:tab w:val="right" w:pos="9026"/>
      </w:tabs>
    </w:pPr>
  </w:style>
  <w:style w:type="character" w:customStyle="1" w:styleId="FooterChar">
    <w:name w:val="Footer Char"/>
    <w:basedOn w:val="DefaultParagraphFont"/>
    <w:link w:val="Footer"/>
    <w:uiPriority w:val="99"/>
    <w:rsid w:val="007F577B"/>
  </w:style>
  <w:style w:type="character" w:styleId="PageNumber">
    <w:name w:val="page number"/>
    <w:basedOn w:val="DefaultParagraphFont"/>
    <w:uiPriority w:val="99"/>
    <w:semiHidden/>
    <w:unhideWhenUsed/>
    <w:rsid w:val="007F577B"/>
  </w:style>
  <w:style w:type="paragraph" w:styleId="TOC1">
    <w:name w:val="toc 1"/>
    <w:basedOn w:val="Normal"/>
    <w:next w:val="Normal"/>
    <w:autoRedefine/>
    <w:uiPriority w:val="39"/>
    <w:unhideWhenUsed/>
    <w:rsid w:val="007F577B"/>
    <w:pPr>
      <w:spacing w:after="100"/>
    </w:pPr>
  </w:style>
  <w:style w:type="paragraph" w:styleId="TOC2">
    <w:name w:val="toc 2"/>
    <w:basedOn w:val="Normal"/>
    <w:next w:val="Normal"/>
    <w:autoRedefine/>
    <w:uiPriority w:val="39"/>
    <w:unhideWhenUsed/>
    <w:rsid w:val="007F577B"/>
    <w:pPr>
      <w:spacing w:after="100"/>
      <w:ind w:left="240"/>
    </w:pPr>
  </w:style>
  <w:style w:type="paragraph" w:styleId="TOC3">
    <w:name w:val="toc 3"/>
    <w:basedOn w:val="Normal"/>
    <w:next w:val="Normal"/>
    <w:autoRedefine/>
    <w:uiPriority w:val="39"/>
    <w:unhideWhenUsed/>
    <w:rsid w:val="007F577B"/>
    <w:pPr>
      <w:spacing w:after="100"/>
      <w:ind w:left="480"/>
    </w:pPr>
  </w:style>
  <w:style w:type="character" w:styleId="Hyperlink">
    <w:name w:val="Hyperlink"/>
    <w:basedOn w:val="DefaultParagraphFont"/>
    <w:uiPriority w:val="99"/>
    <w:unhideWhenUsed/>
    <w:rsid w:val="007F577B"/>
    <w:rPr>
      <w:color w:val="0563C1" w:themeColor="hyperlink"/>
      <w:u w:val="single"/>
    </w:rPr>
  </w:style>
  <w:style w:type="paragraph" w:styleId="ListParagraph">
    <w:name w:val="List Paragraph"/>
    <w:basedOn w:val="Normal"/>
    <w:uiPriority w:val="34"/>
    <w:qFormat/>
    <w:rsid w:val="007F577B"/>
    <w:pPr>
      <w:ind w:left="720"/>
      <w:contextualSpacing/>
    </w:pPr>
  </w:style>
  <w:style w:type="paragraph" w:styleId="NormalWeb">
    <w:name w:val="Normal (Web)"/>
    <w:basedOn w:val="Normal"/>
    <w:uiPriority w:val="99"/>
    <w:unhideWhenUsed/>
    <w:rsid w:val="004A5475"/>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D91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A0B"/>
    <w:rPr>
      <w:sz w:val="16"/>
      <w:szCs w:val="16"/>
    </w:rPr>
  </w:style>
  <w:style w:type="paragraph" w:styleId="CommentText">
    <w:name w:val="annotation text"/>
    <w:basedOn w:val="Normal"/>
    <w:link w:val="CommentTextChar"/>
    <w:uiPriority w:val="99"/>
    <w:unhideWhenUsed/>
    <w:rsid w:val="00C87A0B"/>
    <w:rPr>
      <w:sz w:val="20"/>
      <w:szCs w:val="20"/>
    </w:rPr>
  </w:style>
  <w:style w:type="character" w:customStyle="1" w:styleId="CommentTextChar">
    <w:name w:val="Comment Text Char"/>
    <w:basedOn w:val="DefaultParagraphFont"/>
    <w:link w:val="CommentText"/>
    <w:uiPriority w:val="99"/>
    <w:rsid w:val="00C87A0B"/>
    <w:rPr>
      <w:sz w:val="20"/>
      <w:szCs w:val="20"/>
    </w:rPr>
  </w:style>
  <w:style w:type="paragraph" w:styleId="CommentSubject">
    <w:name w:val="annotation subject"/>
    <w:basedOn w:val="CommentText"/>
    <w:next w:val="CommentText"/>
    <w:link w:val="CommentSubjectChar"/>
    <w:uiPriority w:val="99"/>
    <w:semiHidden/>
    <w:unhideWhenUsed/>
    <w:rsid w:val="00C87A0B"/>
    <w:rPr>
      <w:b/>
      <w:bCs/>
    </w:rPr>
  </w:style>
  <w:style w:type="character" w:customStyle="1" w:styleId="CommentSubjectChar">
    <w:name w:val="Comment Subject Char"/>
    <w:basedOn w:val="CommentTextChar"/>
    <w:link w:val="CommentSubject"/>
    <w:rsid w:val="00C87A0B"/>
    <w:rPr>
      <w:b/>
      <w:bCs/>
      <w:sz w:val="20"/>
      <w:szCs w:val="20"/>
    </w:rPr>
  </w:style>
  <w:style w:type="paragraph" w:styleId="BalloonText">
    <w:name w:val="Balloon Text"/>
    <w:basedOn w:val="Normal"/>
    <w:link w:val="BalloonTextChar"/>
    <w:uiPriority w:val="99"/>
    <w:semiHidden/>
    <w:unhideWhenUsed/>
    <w:rsid w:val="00C87A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A0B"/>
    <w:rPr>
      <w:rFonts w:ascii="Segoe UI" w:hAnsi="Segoe UI" w:cs="Segoe UI"/>
      <w:sz w:val="18"/>
      <w:szCs w:val="18"/>
    </w:rPr>
  </w:style>
  <w:style w:type="paragraph" w:styleId="Revision">
    <w:name w:val="Revision"/>
    <w:hidden/>
    <w:uiPriority w:val="99"/>
    <w:semiHidden/>
    <w:rsid w:val="00C87A0B"/>
  </w:style>
  <w:style w:type="paragraph" w:customStyle="1" w:styleId="EndNoteBibliographyTitle">
    <w:name w:val="EndNote Bibliography Title"/>
    <w:basedOn w:val="Normal"/>
    <w:link w:val="EndNoteBibliographyTitleChar"/>
    <w:rsid w:val="00FA6F99"/>
    <w:pPr>
      <w:jc w:val="center"/>
    </w:pPr>
    <w:rPr>
      <w:rFonts w:ascii="Calibri Light" w:hAnsi="Calibri Light" w:cs="Calibri Light"/>
      <w:noProof/>
      <w:sz w:val="32"/>
      <w:lang w:val="en-US"/>
    </w:rPr>
  </w:style>
  <w:style w:type="character" w:customStyle="1" w:styleId="EndNoteBibliographyTitleChar">
    <w:name w:val="EndNote Bibliography Title Char"/>
    <w:basedOn w:val="DefaultParagraphFont"/>
    <w:link w:val="EndNoteBibliographyTitle"/>
    <w:rsid w:val="00FA6F99"/>
    <w:rPr>
      <w:rFonts w:ascii="Calibri Light" w:hAnsi="Calibri Light" w:cs="Calibri Light"/>
      <w:noProof/>
      <w:sz w:val="32"/>
      <w:lang w:val="en-US"/>
    </w:rPr>
  </w:style>
  <w:style w:type="paragraph" w:customStyle="1" w:styleId="EndNoteBibliography">
    <w:name w:val="EndNote Bibliography"/>
    <w:basedOn w:val="Normal"/>
    <w:link w:val="EndNoteBibliographyChar"/>
    <w:rsid w:val="00FA6F99"/>
    <w:rPr>
      <w:rFonts w:ascii="Calibri Light" w:hAnsi="Calibri Light" w:cs="Calibri Light"/>
      <w:noProof/>
      <w:sz w:val="32"/>
      <w:lang w:val="en-US"/>
    </w:rPr>
  </w:style>
  <w:style w:type="character" w:customStyle="1" w:styleId="EndNoteBibliographyChar">
    <w:name w:val="EndNote Bibliography Char"/>
    <w:basedOn w:val="DefaultParagraphFont"/>
    <w:link w:val="EndNoteBibliography"/>
    <w:rsid w:val="00FA6F99"/>
    <w:rPr>
      <w:rFonts w:ascii="Calibri Light" w:hAnsi="Calibri Light" w:cs="Calibri Light"/>
      <w:noProof/>
      <w:sz w:val="32"/>
      <w:lang w:val="en-US"/>
    </w:rPr>
  </w:style>
  <w:style w:type="character" w:customStyle="1" w:styleId="apple-converted-space">
    <w:name w:val="apple-converted-space"/>
    <w:basedOn w:val="DefaultParagraphFont"/>
    <w:rsid w:val="00051F8C"/>
  </w:style>
  <w:style w:type="character" w:customStyle="1" w:styleId="highwire-citation-authors">
    <w:name w:val="highwire-citation-authors"/>
    <w:basedOn w:val="DefaultParagraphFont"/>
    <w:rsid w:val="009E650B"/>
  </w:style>
  <w:style w:type="character" w:customStyle="1" w:styleId="highwire-citation-author">
    <w:name w:val="highwire-citation-author"/>
    <w:basedOn w:val="DefaultParagraphFont"/>
    <w:rsid w:val="009E650B"/>
  </w:style>
  <w:style w:type="character" w:customStyle="1" w:styleId="nlm-surname">
    <w:name w:val="nlm-surname"/>
    <w:basedOn w:val="DefaultParagraphFont"/>
    <w:rsid w:val="009E650B"/>
  </w:style>
  <w:style w:type="character" w:customStyle="1" w:styleId="citation-et">
    <w:name w:val="citation-et"/>
    <w:basedOn w:val="DefaultParagraphFont"/>
    <w:rsid w:val="009E650B"/>
  </w:style>
  <w:style w:type="character" w:customStyle="1" w:styleId="highwire-cite-metadata-journal">
    <w:name w:val="highwire-cite-metadata-journal"/>
    <w:basedOn w:val="DefaultParagraphFont"/>
    <w:rsid w:val="009E650B"/>
  </w:style>
  <w:style w:type="character" w:customStyle="1" w:styleId="highwire-cite-metadata-year">
    <w:name w:val="highwire-cite-metadata-year"/>
    <w:basedOn w:val="DefaultParagraphFont"/>
    <w:rsid w:val="009E650B"/>
  </w:style>
  <w:style w:type="character" w:customStyle="1" w:styleId="highwire-cite-metadata-volume">
    <w:name w:val="highwire-cite-metadata-volume"/>
    <w:basedOn w:val="DefaultParagraphFont"/>
    <w:rsid w:val="009E650B"/>
  </w:style>
  <w:style w:type="character" w:customStyle="1" w:styleId="highwire-cite-metadata-pages">
    <w:name w:val="highwire-cite-metadata-pages"/>
    <w:basedOn w:val="DefaultParagraphFont"/>
    <w:rsid w:val="009E650B"/>
  </w:style>
  <w:style w:type="table" w:customStyle="1" w:styleId="TableGrid1">
    <w:name w:val="Table Grid1"/>
    <w:basedOn w:val="TableNormal"/>
    <w:next w:val="TableGrid"/>
    <w:uiPriority w:val="39"/>
    <w:rsid w:val="0061385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sauthorsothers">
    <w:name w:val="references__authors__others"/>
    <w:basedOn w:val="DefaultParagraphFont"/>
    <w:rsid w:val="00A212C0"/>
  </w:style>
  <w:style w:type="character" w:customStyle="1" w:styleId="referencesarticle-title">
    <w:name w:val="references__article-title"/>
    <w:basedOn w:val="DefaultParagraphFont"/>
    <w:rsid w:val="00A212C0"/>
  </w:style>
  <w:style w:type="character" w:styleId="Strong">
    <w:name w:val="Strong"/>
    <w:basedOn w:val="DefaultParagraphFont"/>
    <w:uiPriority w:val="22"/>
    <w:qFormat/>
    <w:rsid w:val="00A212C0"/>
    <w:rPr>
      <w:b/>
      <w:bCs/>
    </w:rPr>
  </w:style>
  <w:style w:type="character" w:customStyle="1" w:styleId="referencesyear">
    <w:name w:val="references__year"/>
    <w:basedOn w:val="DefaultParagraphFont"/>
    <w:rsid w:val="00A212C0"/>
  </w:style>
  <w:style w:type="paragraph" w:styleId="NoSpacing">
    <w:name w:val="No Spacing"/>
    <w:uiPriority w:val="1"/>
    <w:qFormat/>
    <w:rsid w:val="00A212C0"/>
    <w:rPr>
      <w:sz w:val="22"/>
      <w:szCs w:val="22"/>
    </w:rPr>
  </w:style>
  <w:style w:type="character" w:customStyle="1" w:styleId="UnresolvedMention1">
    <w:name w:val="Unresolved Mention1"/>
    <w:basedOn w:val="DefaultParagraphFont"/>
    <w:uiPriority w:val="99"/>
    <w:semiHidden/>
    <w:unhideWhenUsed/>
    <w:rsid w:val="006777DC"/>
    <w:rPr>
      <w:color w:val="605E5C"/>
      <w:shd w:val="clear" w:color="auto" w:fill="E1DFDD"/>
    </w:rPr>
  </w:style>
  <w:style w:type="paragraph" w:customStyle="1" w:styleId="Default">
    <w:name w:val="Default"/>
    <w:rsid w:val="00055DA9"/>
    <w:pPr>
      <w:autoSpaceDE w:val="0"/>
      <w:autoSpaceDN w:val="0"/>
      <w:adjustRightInd w:val="0"/>
    </w:pPr>
    <w:rPr>
      <w:rFonts w:ascii="Arial" w:hAnsi="Arial" w:cs="Arial"/>
      <w:color w:val="000000"/>
    </w:rPr>
  </w:style>
  <w:style w:type="paragraph" w:styleId="Bibliography">
    <w:name w:val="Bibliography"/>
    <w:basedOn w:val="Normal"/>
    <w:next w:val="Normal"/>
    <w:uiPriority w:val="37"/>
    <w:unhideWhenUsed/>
    <w:rsid w:val="009E641A"/>
    <w:pPr>
      <w:tabs>
        <w:tab w:val="left" w:pos="260"/>
      </w:tabs>
      <w:spacing w:after="240"/>
      <w:ind w:left="264" w:hanging="264"/>
    </w:pPr>
  </w:style>
  <w:style w:type="character" w:styleId="LineNumber">
    <w:name w:val="line number"/>
    <w:basedOn w:val="DefaultParagraphFont"/>
    <w:uiPriority w:val="99"/>
    <w:semiHidden/>
    <w:unhideWhenUsed/>
    <w:rsid w:val="00BA42EF"/>
  </w:style>
  <w:style w:type="character" w:styleId="UnresolvedMention">
    <w:name w:val="Unresolved Mention"/>
    <w:basedOn w:val="DefaultParagraphFont"/>
    <w:uiPriority w:val="99"/>
    <w:semiHidden/>
    <w:unhideWhenUsed/>
    <w:rsid w:val="009A1335"/>
    <w:rPr>
      <w:color w:val="605E5C"/>
      <w:shd w:val="clear" w:color="auto" w:fill="E1DFDD"/>
    </w:rPr>
  </w:style>
  <w:style w:type="numbering" w:customStyle="1" w:styleId="CurrentList1">
    <w:name w:val="Current List1"/>
    <w:uiPriority w:val="99"/>
    <w:rsid w:val="003F494F"/>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16806">
      <w:bodyDiv w:val="1"/>
      <w:marLeft w:val="0"/>
      <w:marRight w:val="0"/>
      <w:marTop w:val="0"/>
      <w:marBottom w:val="0"/>
      <w:divBdr>
        <w:top w:val="none" w:sz="0" w:space="0" w:color="auto"/>
        <w:left w:val="none" w:sz="0" w:space="0" w:color="auto"/>
        <w:bottom w:val="none" w:sz="0" w:space="0" w:color="auto"/>
        <w:right w:val="none" w:sz="0" w:space="0" w:color="auto"/>
      </w:divBdr>
    </w:div>
    <w:div w:id="588198599">
      <w:bodyDiv w:val="1"/>
      <w:marLeft w:val="0"/>
      <w:marRight w:val="0"/>
      <w:marTop w:val="0"/>
      <w:marBottom w:val="0"/>
      <w:divBdr>
        <w:top w:val="none" w:sz="0" w:space="0" w:color="auto"/>
        <w:left w:val="none" w:sz="0" w:space="0" w:color="auto"/>
        <w:bottom w:val="none" w:sz="0" w:space="0" w:color="auto"/>
        <w:right w:val="none" w:sz="0" w:space="0" w:color="auto"/>
      </w:divBdr>
    </w:div>
    <w:div w:id="674696220">
      <w:bodyDiv w:val="1"/>
      <w:marLeft w:val="0"/>
      <w:marRight w:val="0"/>
      <w:marTop w:val="0"/>
      <w:marBottom w:val="0"/>
      <w:divBdr>
        <w:top w:val="none" w:sz="0" w:space="0" w:color="auto"/>
        <w:left w:val="none" w:sz="0" w:space="0" w:color="auto"/>
        <w:bottom w:val="none" w:sz="0" w:space="0" w:color="auto"/>
        <w:right w:val="none" w:sz="0" w:space="0" w:color="auto"/>
      </w:divBdr>
    </w:div>
    <w:div w:id="1046567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6E5EB-F5B9-4F00-B5BE-611807CF00A8}">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15</TotalTime>
  <Pages>65</Pages>
  <Words>142983</Words>
  <Characters>815004</Characters>
  <Application>Microsoft Office Word</Application>
  <DocSecurity>0</DocSecurity>
  <Lines>6791</Lines>
  <Paragraphs>1912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Oni, Louise</dc:creator>
  <cp:lastModifiedBy>Fay Passey</cp:lastModifiedBy>
  <cp:revision>7</cp:revision>
  <cp:lastPrinted>2025-07-09T16:44:00Z</cp:lastPrinted>
  <dcterms:created xsi:type="dcterms:W3CDTF">2025-07-25T14:38:00Z</dcterms:created>
  <dcterms:modified xsi:type="dcterms:W3CDTF">2025-07-28T09:50:00Z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zotero-version="7.0.20"&gt;&lt;session id="GXnO8jgT"/&gt;&lt;style id="http://www.zotero.org/styles/vancouver" locale="en-GB"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