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C657E" w14:textId="77777777" w:rsidR="00076320" w:rsidRDefault="00076320" w:rsidP="00076320">
      <w:pPr>
        <w:pStyle w:val="Guidelineheading1NoLevel"/>
        <w:jc w:val="center"/>
        <w:rPr>
          <w:rFonts w:eastAsia="Arial Unicode MS"/>
          <w:sz w:val="36"/>
          <w:szCs w:val="36"/>
        </w:rPr>
      </w:pPr>
      <w:r>
        <w:rPr>
          <w:noProof/>
          <w:lang w:eastAsia="en-GB"/>
        </w:rPr>
        <w:drawing>
          <wp:anchor distT="0" distB="0" distL="114300" distR="114300" simplePos="0" relativeHeight="251658240" behindDoc="1" locked="0" layoutInCell="1" allowOverlap="1" wp14:anchorId="7E8E9650" wp14:editId="1A326FCC">
            <wp:simplePos x="0" y="0"/>
            <wp:positionH relativeFrom="margin">
              <wp:posOffset>4199139</wp:posOffset>
            </wp:positionH>
            <wp:positionV relativeFrom="paragraph">
              <wp:posOffset>-328930</wp:posOffset>
            </wp:positionV>
            <wp:extent cx="1995921" cy="933450"/>
            <wp:effectExtent l="0" t="0" r="4445" b="0"/>
            <wp:wrapNone/>
            <wp:docPr id="2" name="Picture 2"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compan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5921" cy="933450"/>
                    </a:xfrm>
                    <a:prstGeom prst="rect">
                      <a:avLst/>
                    </a:prstGeom>
                  </pic:spPr>
                </pic:pic>
              </a:graphicData>
            </a:graphic>
            <wp14:sizeRelH relativeFrom="page">
              <wp14:pctWidth>0</wp14:pctWidth>
            </wp14:sizeRelH>
            <wp14:sizeRelV relativeFrom="page">
              <wp14:pctHeight>0</wp14:pctHeight>
            </wp14:sizeRelV>
          </wp:anchor>
        </w:drawing>
      </w:r>
    </w:p>
    <w:p w14:paraId="62AE692A" w14:textId="77777777" w:rsidR="00076320" w:rsidRDefault="00076320" w:rsidP="00076320">
      <w:pPr>
        <w:pStyle w:val="Guidelineheading1NoLevel"/>
        <w:jc w:val="center"/>
        <w:rPr>
          <w:rFonts w:eastAsia="Arial Unicode MS"/>
          <w:sz w:val="36"/>
          <w:szCs w:val="36"/>
        </w:rPr>
      </w:pPr>
    </w:p>
    <w:p w14:paraId="58055AA8" w14:textId="77777777" w:rsidR="00076320" w:rsidRDefault="00076320" w:rsidP="00076320">
      <w:pPr>
        <w:pStyle w:val="Guidelineheading1NoLevel"/>
        <w:jc w:val="center"/>
        <w:rPr>
          <w:rFonts w:eastAsia="Arial Unicode MS"/>
          <w:sz w:val="36"/>
          <w:szCs w:val="36"/>
        </w:rPr>
      </w:pPr>
    </w:p>
    <w:p w14:paraId="6073B62C" w14:textId="77777777" w:rsidR="00076320" w:rsidRDefault="00076320" w:rsidP="00076320">
      <w:pPr>
        <w:pStyle w:val="Guidelineheading1NoLevel"/>
        <w:jc w:val="center"/>
        <w:rPr>
          <w:rFonts w:eastAsia="Arial Unicode MS"/>
          <w:sz w:val="36"/>
          <w:szCs w:val="36"/>
        </w:rPr>
      </w:pPr>
    </w:p>
    <w:p w14:paraId="52209957" w14:textId="77777777" w:rsidR="00076320" w:rsidRPr="00E42C7C" w:rsidRDefault="00076320" w:rsidP="00076320">
      <w:pPr>
        <w:jc w:val="center"/>
        <w:rPr>
          <w:b/>
          <w:bCs/>
          <w:noProof/>
          <w:color w:val="000000"/>
          <w:sz w:val="28"/>
          <w:szCs w:val="28"/>
          <w:lang w:eastAsia="en-GB"/>
        </w:rPr>
      </w:pPr>
    </w:p>
    <w:p w14:paraId="47A772E6" w14:textId="77777777" w:rsidR="00076320" w:rsidRDefault="00076320" w:rsidP="00076320">
      <w:pPr>
        <w:pStyle w:val="Guidelineheading1NoLevel"/>
        <w:jc w:val="center"/>
        <w:rPr>
          <w:rFonts w:eastAsia="Arial Unicode MS"/>
          <w:sz w:val="36"/>
          <w:szCs w:val="36"/>
        </w:rPr>
      </w:pPr>
      <w:r w:rsidRPr="00E42C7C">
        <w:rPr>
          <w:bCs/>
          <w:noProof/>
          <w:color w:val="000000"/>
          <w:lang w:eastAsia="en-GB"/>
        </w:rPr>
        <mc:AlternateContent>
          <mc:Choice Requires="wps">
            <w:drawing>
              <wp:anchor distT="0" distB="0" distL="114300" distR="114300" simplePos="0" relativeHeight="251658242" behindDoc="0" locked="0" layoutInCell="1" allowOverlap="1" wp14:anchorId="33DB235A" wp14:editId="78E80A76">
                <wp:simplePos x="0" y="0"/>
                <wp:positionH relativeFrom="column">
                  <wp:posOffset>0</wp:posOffset>
                </wp:positionH>
                <wp:positionV relativeFrom="paragraph">
                  <wp:posOffset>-635</wp:posOffset>
                </wp:positionV>
                <wp:extent cx="6086475" cy="0"/>
                <wp:effectExtent l="0" t="0" r="0" b="0"/>
                <wp:wrapNone/>
                <wp:docPr id="1310118811" name="Straight Connector 6"/>
                <wp:cNvGraphicFramePr/>
                <a:graphic xmlns:a="http://schemas.openxmlformats.org/drawingml/2006/main">
                  <a:graphicData uri="http://schemas.microsoft.com/office/word/2010/wordprocessingShape">
                    <wps:wsp>
                      <wps:cNvCnPr/>
                      <wps:spPr>
                        <a:xfrm>
                          <a:off x="0" y="0"/>
                          <a:ext cx="60864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7F436CD">
              <v:line id="Straight Connector 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156082 [3204]" strokeweight="1pt" from="0,-.05pt" to="479.25pt,-.05pt" w14:anchorId="4CC9FA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">
                <v:stroke joinstyle="miter"/>
              </v:line>
            </w:pict>
          </mc:Fallback>
        </mc:AlternateContent>
      </w:r>
    </w:p>
    <w:p w14:paraId="7DEFC8A7" w14:textId="3BDB9A29" w:rsidR="00076320" w:rsidRPr="00963BDA" w:rsidRDefault="007303E0" w:rsidP="00076320">
      <w:pPr>
        <w:pStyle w:val="Guidelineheading1NoLevel"/>
        <w:jc w:val="center"/>
        <w:rPr>
          <w:rFonts w:ascii="Visby CF" w:hAnsi="Visby CF"/>
          <w:sz w:val="36"/>
          <w:szCs w:val="36"/>
          <w:lang w:eastAsia="en-GB"/>
        </w:rPr>
      </w:pPr>
      <w:r>
        <w:rPr>
          <w:rFonts w:ascii="Visby CF" w:hAnsi="Visby CF"/>
          <w:sz w:val="36"/>
          <w:szCs w:val="36"/>
          <w:lang w:eastAsia="en-GB"/>
        </w:rPr>
        <w:t>Guideline on long-term management of kidney transplantation</w:t>
      </w:r>
      <w:r w:rsidR="00757129">
        <w:rPr>
          <w:rFonts w:ascii="Visby CF" w:hAnsi="Visby CF"/>
          <w:sz w:val="36"/>
          <w:szCs w:val="36"/>
          <w:lang w:eastAsia="en-GB"/>
        </w:rPr>
        <w:t xml:space="preserve"> recipient</w:t>
      </w:r>
    </w:p>
    <w:p w14:paraId="72F1AC78" w14:textId="77777777" w:rsidR="00076320" w:rsidRPr="00E42C7C" w:rsidRDefault="00076320" w:rsidP="00076320">
      <w:pPr>
        <w:jc w:val="center"/>
        <w:rPr>
          <w:b/>
          <w:bCs/>
          <w:noProof/>
          <w:color w:val="000000"/>
          <w:sz w:val="28"/>
          <w:szCs w:val="28"/>
          <w:lang w:eastAsia="en-GB"/>
        </w:rPr>
      </w:pPr>
    </w:p>
    <w:p w14:paraId="3C7276E6" w14:textId="77777777" w:rsidR="00076320" w:rsidRPr="00E42C7C" w:rsidRDefault="00076320" w:rsidP="00076320">
      <w:pPr>
        <w:jc w:val="center"/>
        <w:rPr>
          <w:b/>
          <w:bCs/>
          <w:noProof/>
          <w:color w:val="000000"/>
          <w:sz w:val="28"/>
          <w:szCs w:val="28"/>
          <w:lang w:eastAsia="en-GB"/>
        </w:rPr>
      </w:pPr>
      <w:r w:rsidRPr="00E42C7C">
        <w:rPr>
          <w:bCs/>
          <w:noProof/>
          <w:color w:val="000000"/>
          <w:sz w:val="28"/>
          <w:szCs w:val="28"/>
          <w:lang w:eastAsia="en-GB"/>
        </w:rPr>
        <mc:AlternateContent>
          <mc:Choice Requires="wps">
            <w:drawing>
              <wp:anchor distT="0" distB="0" distL="114300" distR="114300" simplePos="0" relativeHeight="251658241" behindDoc="0" locked="0" layoutInCell="1" allowOverlap="1" wp14:anchorId="78E637BE" wp14:editId="32F55D00">
                <wp:simplePos x="0" y="0"/>
                <wp:positionH relativeFrom="margin">
                  <wp:posOffset>1868805</wp:posOffset>
                </wp:positionH>
                <wp:positionV relativeFrom="paragraph">
                  <wp:posOffset>258445</wp:posOffset>
                </wp:positionV>
                <wp:extent cx="2400300" cy="400050"/>
                <wp:effectExtent l="0" t="0" r="19050" b="19050"/>
                <wp:wrapNone/>
                <wp:docPr id="527179112" name="Text Box 5"/>
                <wp:cNvGraphicFramePr/>
                <a:graphic xmlns:a="http://schemas.openxmlformats.org/drawingml/2006/main">
                  <a:graphicData uri="http://schemas.microsoft.com/office/word/2010/wordprocessingShape">
                    <wps:wsp>
                      <wps:cNvSpPr txBox="1"/>
                      <wps:spPr>
                        <a:xfrm>
                          <a:off x="0" y="0"/>
                          <a:ext cx="2400300" cy="400050"/>
                        </a:xfrm>
                        <a:prstGeom prst="rect">
                          <a:avLst/>
                        </a:prstGeom>
                        <a:solidFill>
                          <a:schemeClr val="lt1"/>
                        </a:solidFill>
                        <a:ln w="6350">
                          <a:solidFill>
                            <a:schemeClr val="accent3">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697CBD" w14:textId="5F43B38E" w:rsidR="00076320" w:rsidRDefault="00076320" w:rsidP="00076320">
                            <w:pPr>
                              <w:pStyle w:val="NoSpacing"/>
                              <w:jc w:val="center"/>
                              <w:rPr>
                                <w:color w:val="000000" w:themeColor="text1"/>
                                <w:lang w:val="en-GB"/>
                              </w:rPr>
                            </w:pPr>
                            <w:r>
                              <w:rPr>
                                <w:color w:val="000000" w:themeColor="text1"/>
                                <w:lang w:val="en-GB"/>
                              </w:rPr>
                              <w:t xml:space="preserve">Final version: </w:t>
                            </w:r>
                            <w:r>
                              <w:rPr>
                                <w:color w:val="000000" w:themeColor="text1"/>
                                <w:lang w:val="en-GB"/>
                              </w:rPr>
                              <w:tab/>
                            </w:r>
                            <w:r w:rsidR="0056100C">
                              <w:rPr>
                                <w:color w:val="000000" w:themeColor="text1"/>
                                <w:lang w:val="en-GB"/>
                              </w:rPr>
                              <w:t>Jan 2026</w:t>
                            </w:r>
                            <w:r>
                              <w:rPr>
                                <w:color w:val="000000" w:themeColor="text1"/>
                                <w:lang w:val="en-GB"/>
                              </w:rPr>
                              <w:t xml:space="preserve"> </w:t>
                            </w:r>
                          </w:p>
                          <w:p w14:paraId="11E33847" w14:textId="0F6873D8" w:rsidR="00076320" w:rsidRDefault="00076320" w:rsidP="00076320">
                            <w:pPr>
                              <w:pStyle w:val="NoSpacing"/>
                              <w:jc w:val="center"/>
                              <w:rPr>
                                <w:color w:val="000000" w:themeColor="text1"/>
                                <w:lang w:val="en-GB"/>
                              </w:rPr>
                            </w:pPr>
                            <w:r>
                              <w:rPr>
                                <w:color w:val="000000" w:themeColor="text1"/>
                                <w:lang w:val="en-GB"/>
                              </w:rPr>
                              <w:t xml:space="preserve">Review date: </w:t>
                            </w:r>
                            <w:r>
                              <w:rPr>
                                <w:color w:val="000000" w:themeColor="text1"/>
                                <w:lang w:val="en-GB"/>
                              </w:rPr>
                              <w:tab/>
                            </w:r>
                            <w:r w:rsidR="0056100C">
                              <w:rPr>
                                <w:color w:val="000000" w:themeColor="text1"/>
                                <w:lang w:val="en-GB"/>
                              </w:rPr>
                              <w:t>Jan 2029</w:t>
                            </w:r>
                            <w:r>
                              <w:rPr>
                                <w:color w:val="000000" w:themeColor="text1"/>
                                <w:lang w:val="en-GB"/>
                              </w:rPr>
                              <w:t xml:space="preserve"> </w:t>
                            </w:r>
                          </w:p>
                          <w:p w14:paraId="54F2B88F" w14:textId="77777777" w:rsidR="00076320" w:rsidRDefault="00076320" w:rsidP="00076320">
                            <w:pPr>
                              <w:pStyle w:val="NoSpacing"/>
                              <w:rPr>
                                <w:color w:val="000000" w:themeColor="text1"/>
                                <w:sz w:val="22"/>
                                <w:szCs w:val="22"/>
                              </w:rPr>
                            </w:pPr>
                            <w:r>
                              <w:rPr>
                                <w:color w:val="000000" w:themeColor="text1"/>
                                <w:sz w:val="22"/>
                                <w:szCs w:val="22"/>
                              </w:rPr>
                              <w:tab/>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637BE" id="_x0000_t202" coordsize="21600,21600" o:spt="202" path="m,l,21600r21600,l21600,xe">
                <v:stroke joinstyle="miter"/>
                <v:path gradientshapeok="t" o:connecttype="rect"/>
              </v:shapetype>
              <v:shape id="Text Box 5" o:spid="_x0000_s1026" type="#_x0000_t202" style="position:absolute;left:0;text-align:left;margin-left:147.15pt;margin-top:20.35pt;width:189pt;height:3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" fillcolor="white [3201]" strokecolor="#c1f0c7 [662]" strokeweight=".5pt">
                <v:textbox>
                  <w:txbxContent>
                    <w:p w14:paraId="48697CBD" w14:textId="5F43B38E" w:rsidR="00076320" w:rsidRDefault="00076320" w:rsidP="00076320">
                      <w:pPr>
                        <w:pStyle w:val="NoSpacing"/>
                        <w:jc w:val="center"/>
                        <w:rPr>
                          <w:color w:val="000000" w:themeColor="text1"/>
                          <w:lang w:val="en-GB"/>
                        </w:rPr>
                      </w:pPr>
                      <w:r>
                        <w:rPr>
                          <w:color w:val="000000" w:themeColor="text1"/>
                          <w:lang w:val="en-GB"/>
                        </w:rPr>
                        <w:t xml:space="preserve">Final version: </w:t>
                      </w:r>
                      <w:r>
                        <w:rPr>
                          <w:color w:val="000000" w:themeColor="text1"/>
                          <w:lang w:val="en-GB"/>
                        </w:rPr>
                        <w:tab/>
                      </w:r>
                      <w:r w:rsidR="0056100C">
                        <w:rPr>
                          <w:color w:val="000000" w:themeColor="text1"/>
                          <w:lang w:val="en-GB"/>
                        </w:rPr>
                        <w:t>Jan 2026</w:t>
                      </w:r>
                      <w:r>
                        <w:rPr>
                          <w:color w:val="000000" w:themeColor="text1"/>
                          <w:lang w:val="en-GB"/>
                        </w:rPr>
                        <w:t xml:space="preserve"> </w:t>
                      </w:r>
                    </w:p>
                    <w:p w14:paraId="11E33847" w14:textId="0F6873D8" w:rsidR="00076320" w:rsidRDefault="00076320" w:rsidP="00076320">
                      <w:pPr>
                        <w:pStyle w:val="NoSpacing"/>
                        <w:jc w:val="center"/>
                        <w:rPr>
                          <w:color w:val="000000" w:themeColor="text1"/>
                          <w:lang w:val="en-GB"/>
                        </w:rPr>
                      </w:pPr>
                      <w:r>
                        <w:rPr>
                          <w:color w:val="000000" w:themeColor="text1"/>
                          <w:lang w:val="en-GB"/>
                        </w:rPr>
                        <w:t xml:space="preserve">Review date: </w:t>
                      </w:r>
                      <w:r>
                        <w:rPr>
                          <w:color w:val="000000" w:themeColor="text1"/>
                          <w:lang w:val="en-GB"/>
                        </w:rPr>
                        <w:tab/>
                      </w:r>
                      <w:r w:rsidR="0056100C">
                        <w:rPr>
                          <w:color w:val="000000" w:themeColor="text1"/>
                          <w:lang w:val="en-GB"/>
                        </w:rPr>
                        <w:t>Jan 2029</w:t>
                      </w:r>
                      <w:r>
                        <w:rPr>
                          <w:color w:val="000000" w:themeColor="text1"/>
                          <w:lang w:val="en-GB"/>
                        </w:rPr>
                        <w:t xml:space="preserve"> </w:t>
                      </w:r>
                    </w:p>
                    <w:p w14:paraId="54F2B88F" w14:textId="77777777" w:rsidR="00076320" w:rsidRDefault="00076320" w:rsidP="00076320">
                      <w:pPr>
                        <w:pStyle w:val="NoSpacing"/>
                        <w:rPr>
                          <w:color w:val="000000" w:themeColor="text1"/>
                          <w:sz w:val="22"/>
                          <w:szCs w:val="22"/>
                        </w:rPr>
                      </w:pPr>
                      <w:r>
                        <w:rPr>
                          <w:color w:val="000000" w:themeColor="text1"/>
                          <w:sz w:val="22"/>
                          <w:szCs w:val="22"/>
                        </w:rPr>
                        <w:tab/>
                      </w:r>
                    </w:p>
                  </w:txbxContent>
                </v:textbox>
                <w10:wrap anchorx="margin"/>
              </v:shape>
            </w:pict>
          </mc:Fallback>
        </mc:AlternateContent>
      </w:r>
      <w:r w:rsidRPr="00E42C7C">
        <w:rPr>
          <w:bCs/>
          <w:noProof/>
          <w:color w:val="000000"/>
          <w:sz w:val="28"/>
          <w:szCs w:val="28"/>
          <w:lang w:eastAsia="en-GB"/>
        </w:rPr>
        <mc:AlternateContent>
          <mc:Choice Requires="wps">
            <w:drawing>
              <wp:anchor distT="0" distB="0" distL="114300" distR="114300" simplePos="0" relativeHeight="251658243" behindDoc="0" locked="0" layoutInCell="1" allowOverlap="1" wp14:anchorId="09FD8EE9" wp14:editId="5F60462D">
                <wp:simplePos x="0" y="0"/>
                <wp:positionH relativeFrom="column">
                  <wp:posOffset>0</wp:posOffset>
                </wp:positionH>
                <wp:positionV relativeFrom="paragraph">
                  <wp:posOffset>-635</wp:posOffset>
                </wp:positionV>
                <wp:extent cx="6086475" cy="0"/>
                <wp:effectExtent l="0" t="0" r="0" b="0"/>
                <wp:wrapNone/>
                <wp:docPr id="368844519" name="Straight Connector 4"/>
                <wp:cNvGraphicFramePr/>
                <a:graphic xmlns:a="http://schemas.openxmlformats.org/drawingml/2006/main">
                  <a:graphicData uri="http://schemas.microsoft.com/office/word/2010/wordprocessingShape">
                    <wps:wsp>
                      <wps:cNvCnPr/>
                      <wps:spPr>
                        <a:xfrm>
                          <a:off x="0" y="0"/>
                          <a:ext cx="60864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2304DC3">
              <v:line id="Straight Connector 4"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156082 [3204]" strokeweight="1pt" from="0,-.05pt" to="479.25pt,-.05pt" w14:anchorId="0B85DA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">
                <v:stroke joinstyle="miter"/>
              </v:line>
            </w:pict>
          </mc:Fallback>
        </mc:AlternateContent>
      </w:r>
    </w:p>
    <w:p w14:paraId="0E482069" w14:textId="77777777" w:rsidR="00076320" w:rsidRDefault="00076320" w:rsidP="00076320">
      <w:pPr>
        <w:jc w:val="center"/>
        <w:rPr>
          <w:rFonts w:eastAsia="Arial Unicode MS"/>
          <w:b/>
          <w:bCs/>
          <w:color w:val="0E2841" w:themeColor="text2"/>
        </w:rPr>
      </w:pPr>
    </w:p>
    <w:p w14:paraId="0010213C" w14:textId="77777777" w:rsidR="00076320" w:rsidRDefault="00076320" w:rsidP="00076320">
      <w:pPr>
        <w:jc w:val="center"/>
        <w:rPr>
          <w:rFonts w:eastAsia="Arial Unicode MS"/>
          <w:b/>
          <w:bCs/>
          <w:color w:val="0E2841" w:themeColor="text2"/>
        </w:rPr>
      </w:pPr>
    </w:p>
    <w:p w14:paraId="05D79A0C" w14:textId="77777777" w:rsidR="00076320" w:rsidRDefault="00076320" w:rsidP="00076320">
      <w:pPr>
        <w:jc w:val="center"/>
        <w:rPr>
          <w:rFonts w:eastAsia="Arial Unicode MS"/>
          <w:b/>
          <w:bCs/>
          <w:color w:val="0E2841" w:themeColor="text2"/>
        </w:rPr>
      </w:pPr>
    </w:p>
    <w:p w14:paraId="3B3D6806" w14:textId="77777777" w:rsidR="00076320" w:rsidRPr="00963BDA" w:rsidRDefault="00076320" w:rsidP="00076320">
      <w:pPr>
        <w:jc w:val="center"/>
        <w:rPr>
          <w:rFonts w:eastAsia="Arial Unicode MS"/>
          <w:b/>
          <w:bCs/>
        </w:rPr>
      </w:pPr>
      <w:r w:rsidRPr="00963BDA">
        <w:rPr>
          <w:rFonts w:eastAsia="Arial Unicode MS"/>
          <w:b/>
          <w:bCs/>
        </w:rPr>
        <w:t>Authors</w:t>
      </w:r>
    </w:p>
    <w:p w14:paraId="3DCC6F03" w14:textId="577B5FC6" w:rsidR="00076320" w:rsidRPr="00C55F3A" w:rsidRDefault="0056100C" w:rsidP="00076320">
      <w:pPr>
        <w:spacing w:after="0" w:line="240" w:lineRule="auto"/>
        <w:jc w:val="center"/>
        <w:rPr>
          <w:rFonts w:eastAsia="Arial Unicode MS" w:cstheme="minorHAnsi"/>
          <w:b/>
        </w:rPr>
      </w:pPr>
      <w:r>
        <w:rPr>
          <w:rFonts w:eastAsia="Arial Unicode MS" w:cstheme="minorHAnsi"/>
          <w:b/>
        </w:rPr>
        <w:t>Debasish Banerjee</w:t>
      </w:r>
      <w:r w:rsidR="00076320" w:rsidRPr="00C55F3A">
        <w:rPr>
          <w:rFonts w:eastAsia="Arial Unicode MS" w:cstheme="minorHAnsi"/>
          <w:b/>
        </w:rPr>
        <w:t xml:space="preserve"> (Lead author)</w:t>
      </w:r>
    </w:p>
    <w:p w14:paraId="66CB9CA1" w14:textId="0B53ADA6" w:rsidR="00076320" w:rsidRDefault="0056100C" w:rsidP="00076320">
      <w:pPr>
        <w:spacing w:after="0" w:line="240" w:lineRule="auto"/>
        <w:jc w:val="center"/>
        <w:rPr>
          <w:rFonts w:eastAsia="Arial Unicode MS" w:cstheme="minorHAnsi"/>
        </w:rPr>
      </w:pPr>
      <w:r>
        <w:rPr>
          <w:rFonts w:eastAsia="Arial Unicode MS" w:cstheme="minorHAnsi"/>
        </w:rPr>
        <w:t>Consultant Nephrologist</w:t>
      </w:r>
      <w:r w:rsidR="00AD4AB0">
        <w:rPr>
          <w:rFonts w:eastAsia="Arial Unicode MS" w:cstheme="minorHAnsi"/>
        </w:rPr>
        <w:t xml:space="preserve">, </w:t>
      </w:r>
      <w:r w:rsidR="0065027C">
        <w:rPr>
          <w:rFonts w:eastAsia="Arial Unicode MS" w:cstheme="minorHAnsi"/>
        </w:rPr>
        <w:t xml:space="preserve">St George’s University </w:t>
      </w:r>
      <w:r w:rsidR="00C23BF1">
        <w:rPr>
          <w:rFonts w:eastAsia="Arial Unicode MS" w:cstheme="minorHAnsi"/>
        </w:rPr>
        <w:t xml:space="preserve">Hospitals </w:t>
      </w:r>
      <w:r w:rsidR="0065027C">
        <w:rPr>
          <w:rFonts w:eastAsia="Arial Unicode MS" w:cstheme="minorHAnsi"/>
        </w:rPr>
        <w:t>NHS Foundation Trust</w:t>
      </w:r>
    </w:p>
    <w:p w14:paraId="2C44C4D3" w14:textId="77777777" w:rsidR="00076320" w:rsidRPr="00C55F3A" w:rsidRDefault="00076320" w:rsidP="00076320">
      <w:pPr>
        <w:spacing w:after="0" w:line="240" w:lineRule="auto"/>
        <w:jc w:val="center"/>
        <w:rPr>
          <w:rFonts w:eastAsia="Arial Unicode MS" w:cstheme="minorHAnsi"/>
        </w:rPr>
      </w:pPr>
    </w:p>
    <w:p w14:paraId="653FA18D" w14:textId="0503131B" w:rsidR="00076320" w:rsidRPr="00C55F3A" w:rsidRDefault="007D061C" w:rsidP="00076320">
      <w:pPr>
        <w:spacing w:after="0" w:line="240" w:lineRule="auto"/>
        <w:jc w:val="center"/>
        <w:rPr>
          <w:rFonts w:eastAsia="Arial Unicode MS" w:cstheme="minorHAnsi"/>
          <w:b/>
        </w:rPr>
      </w:pPr>
      <w:r>
        <w:rPr>
          <w:rFonts w:eastAsia="Arial Unicode MS" w:cstheme="minorHAnsi"/>
          <w:b/>
        </w:rPr>
        <w:t>Thomas Wilkinson</w:t>
      </w:r>
    </w:p>
    <w:p w14:paraId="55258253" w14:textId="47B39382" w:rsidR="00076320" w:rsidRDefault="005175AC" w:rsidP="00076320">
      <w:pPr>
        <w:spacing w:after="0" w:line="240" w:lineRule="auto"/>
        <w:jc w:val="center"/>
        <w:rPr>
          <w:rFonts w:eastAsia="Arial Unicode MS" w:cstheme="minorHAnsi"/>
        </w:rPr>
      </w:pPr>
      <w:r>
        <w:rPr>
          <w:rFonts w:eastAsia="Arial Unicode MS" w:cstheme="minorHAnsi"/>
        </w:rPr>
        <w:t>Physiotherapist</w:t>
      </w:r>
      <w:r w:rsidR="00AD4AB0">
        <w:rPr>
          <w:rFonts w:eastAsia="Arial Unicode MS" w:cstheme="minorHAnsi"/>
        </w:rPr>
        <w:t>, University of Leicester</w:t>
      </w:r>
    </w:p>
    <w:p w14:paraId="1B059DC5" w14:textId="77777777" w:rsidR="00076320" w:rsidRPr="00C55F3A" w:rsidRDefault="00076320" w:rsidP="00076320">
      <w:pPr>
        <w:spacing w:after="0" w:line="240" w:lineRule="auto"/>
        <w:jc w:val="center"/>
      </w:pPr>
    </w:p>
    <w:p w14:paraId="41824C75" w14:textId="0AD30AA5" w:rsidR="00076320" w:rsidRPr="00C55F3A" w:rsidRDefault="007D061C" w:rsidP="00076320">
      <w:pPr>
        <w:spacing w:after="0" w:line="240" w:lineRule="auto"/>
        <w:jc w:val="center"/>
        <w:rPr>
          <w:rFonts w:eastAsia="Arial Unicode MS" w:cstheme="minorHAnsi"/>
          <w:b/>
        </w:rPr>
      </w:pPr>
      <w:r>
        <w:rPr>
          <w:rFonts w:eastAsia="Arial Unicode MS" w:cstheme="minorHAnsi"/>
          <w:b/>
        </w:rPr>
        <w:t>Sara Perkins</w:t>
      </w:r>
    </w:p>
    <w:p w14:paraId="3EBBFFB1" w14:textId="1BD8E377" w:rsidR="00076320" w:rsidRDefault="00EC4250" w:rsidP="00076320">
      <w:pPr>
        <w:spacing w:after="0" w:line="240" w:lineRule="auto"/>
        <w:jc w:val="center"/>
        <w:rPr>
          <w:rFonts w:eastAsia="Arial Unicode MS" w:cstheme="minorHAnsi"/>
        </w:rPr>
      </w:pPr>
      <w:r>
        <w:rPr>
          <w:rFonts w:eastAsia="Arial Unicode MS" w:cstheme="minorHAnsi"/>
        </w:rPr>
        <w:t>Highly Specialised</w:t>
      </w:r>
      <w:r w:rsidR="00B27E39">
        <w:rPr>
          <w:rFonts w:eastAsia="Arial Unicode MS" w:cstheme="minorHAnsi"/>
        </w:rPr>
        <w:t xml:space="preserve"> </w:t>
      </w:r>
      <w:r w:rsidR="00994AE5">
        <w:rPr>
          <w:rFonts w:eastAsia="Arial Unicode MS" w:cstheme="minorHAnsi"/>
        </w:rPr>
        <w:t xml:space="preserve">Renal </w:t>
      </w:r>
      <w:r w:rsidR="00B27E39">
        <w:rPr>
          <w:rFonts w:eastAsia="Arial Unicode MS" w:cstheme="minorHAnsi"/>
        </w:rPr>
        <w:t>Pharmacist</w:t>
      </w:r>
      <w:r w:rsidR="00062008">
        <w:rPr>
          <w:rFonts w:eastAsia="Arial Unicode MS" w:cstheme="minorHAnsi"/>
        </w:rPr>
        <w:t>, North Bristol NHS Trust</w:t>
      </w:r>
    </w:p>
    <w:p w14:paraId="4D4D0550" w14:textId="77777777" w:rsidR="00076320" w:rsidRPr="00C55F3A" w:rsidRDefault="00076320" w:rsidP="00076320">
      <w:pPr>
        <w:spacing w:after="0" w:line="240" w:lineRule="auto"/>
        <w:jc w:val="center"/>
        <w:rPr>
          <w:rFonts w:eastAsia="Arial Unicode MS" w:cstheme="minorHAnsi"/>
        </w:rPr>
      </w:pPr>
    </w:p>
    <w:p w14:paraId="1ED1AA00" w14:textId="1CA13CA2" w:rsidR="00076320" w:rsidRPr="00C55F3A" w:rsidRDefault="00397EE4" w:rsidP="00076320">
      <w:pPr>
        <w:spacing w:after="0" w:line="240" w:lineRule="auto"/>
        <w:jc w:val="center"/>
        <w:rPr>
          <w:rFonts w:eastAsia="Arial Unicode MS" w:cstheme="minorHAnsi"/>
          <w:b/>
        </w:rPr>
      </w:pPr>
      <w:r>
        <w:rPr>
          <w:rFonts w:eastAsia="Arial Unicode MS" w:cstheme="minorHAnsi"/>
          <w:b/>
        </w:rPr>
        <w:t>E</w:t>
      </w:r>
      <w:r w:rsidR="00872427">
        <w:rPr>
          <w:rFonts w:eastAsia="Arial Unicode MS" w:cstheme="minorHAnsi"/>
          <w:b/>
        </w:rPr>
        <w:t>i</w:t>
      </w:r>
      <w:r>
        <w:rPr>
          <w:rFonts w:eastAsia="Arial Unicode MS" w:cstheme="minorHAnsi"/>
          <w:b/>
        </w:rPr>
        <w:t xml:space="preserve">rini </w:t>
      </w:r>
      <w:proofErr w:type="spellStart"/>
      <w:r>
        <w:rPr>
          <w:rFonts w:eastAsia="Arial Unicode MS" w:cstheme="minorHAnsi"/>
          <w:b/>
        </w:rPr>
        <w:t>Lioudaki</w:t>
      </w:r>
      <w:proofErr w:type="spellEnd"/>
    </w:p>
    <w:p w14:paraId="6C7396F7" w14:textId="39E6FAA8" w:rsidR="00076320" w:rsidRDefault="00116BCC" w:rsidP="00076320">
      <w:pPr>
        <w:spacing w:after="0" w:line="240" w:lineRule="auto"/>
        <w:jc w:val="center"/>
        <w:rPr>
          <w:rFonts w:eastAsia="Arial Unicode MS" w:cstheme="minorHAnsi"/>
        </w:rPr>
      </w:pPr>
      <w:r>
        <w:rPr>
          <w:rFonts w:eastAsia="Arial Unicode MS" w:cstheme="minorHAnsi"/>
        </w:rPr>
        <w:t xml:space="preserve">Consultant Nephrologist, </w:t>
      </w:r>
      <w:r w:rsidR="00C63AB5">
        <w:rPr>
          <w:rFonts w:eastAsia="Arial Unicode MS" w:cstheme="minorHAnsi"/>
        </w:rPr>
        <w:t>King’s College Hospital NHS Foundation Trust</w:t>
      </w:r>
    </w:p>
    <w:p w14:paraId="087CBA92" w14:textId="77777777" w:rsidR="001114D3" w:rsidRDefault="001114D3" w:rsidP="00397EE4">
      <w:pPr>
        <w:spacing w:after="0" w:line="240" w:lineRule="auto"/>
        <w:jc w:val="center"/>
        <w:rPr>
          <w:rFonts w:eastAsia="Arial Unicode MS" w:cstheme="minorHAnsi"/>
          <w:b/>
        </w:rPr>
      </w:pPr>
    </w:p>
    <w:p w14:paraId="51A342E1" w14:textId="676E2B37" w:rsidR="00397EE4" w:rsidRPr="00C55F3A" w:rsidRDefault="00397EE4" w:rsidP="00397EE4">
      <w:pPr>
        <w:spacing w:after="0" w:line="240" w:lineRule="auto"/>
        <w:jc w:val="center"/>
        <w:rPr>
          <w:rFonts w:eastAsia="Arial Unicode MS" w:cstheme="minorHAnsi"/>
          <w:b/>
        </w:rPr>
      </w:pPr>
      <w:r>
        <w:rPr>
          <w:rFonts w:eastAsia="Arial Unicode MS" w:cstheme="minorHAnsi"/>
          <w:b/>
        </w:rPr>
        <w:t>Charlotte Mallin</w:t>
      </w:r>
      <w:r w:rsidR="009F2AC4">
        <w:rPr>
          <w:rFonts w:eastAsia="Arial Unicode MS" w:cstheme="minorHAnsi"/>
          <w:b/>
        </w:rPr>
        <w:t>dine</w:t>
      </w:r>
    </w:p>
    <w:p w14:paraId="7A7ABCA0" w14:textId="35E6C5AA" w:rsidR="00397EE4" w:rsidRDefault="001D2FD7" w:rsidP="00076320">
      <w:pPr>
        <w:jc w:val="center"/>
        <w:rPr>
          <w:b/>
          <w:bCs/>
          <w:color w:val="0E2841" w:themeColor="text2"/>
          <w:shd w:val="clear" w:color="auto" w:fill="FFFFFF"/>
        </w:rPr>
      </w:pPr>
      <w:r>
        <w:rPr>
          <w:rFonts w:eastAsia="Arial Unicode MS" w:cstheme="minorHAnsi"/>
        </w:rPr>
        <w:t xml:space="preserve">Highly Specialised </w:t>
      </w:r>
      <w:r w:rsidR="00994AE5">
        <w:rPr>
          <w:rFonts w:eastAsia="Arial Unicode MS" w:cstheme="minorHAnsi"/>
        </w:rPr>
        <w:t>Renal</w:t>
      </w:r>
      <w:r>
        <w:rPr>
          <w:rFonts w:eastAsia="Arial Unicode MS" w:cstheme="minorHAnsi"/>
        </w:rPr>
        <w:t xml:space="preserve"> Pharmacist, East and North Hertfordshire NHS Trust</w:t>
      </w:r>
    </w:p>
    <w:p w14:paraId="2A45967D" w14:textId="39E9CE9B" w:rsidR="00397EE4" w:rsidRPr="00C55F3A" w:rsidRDefault="009F2AC4" w:rsidP="00397EE4">
      <w:pPr>
        <w:spacing w:after="0" w:line="240" w:lineRule="auto"/>
        <w:jc w:val="center"/>
        <w:rPr>
          <w:rFonts w:eastAsia="Arial Unicode MS" w:cstheme="minorHAnsi"/>
          <w:b/>
        </w:rPr>
      </w:pPr>
      <w:r>
        <w:rPr>
          <w:rFonts w:eastAsia="Arial Unicode MS" w:cstheme="minorHAnsi"/>
          <w:b/>
        </w:rPr>
        <w:t>Ma</w:t>
      </w:r>
      <w:r w:rsidR="006809BB">
        <w:rPr>
          <w:rFonts w:eastAsia="Arial Unicode MS" w:cstheme="minorHAnsi"/>
          <w:b/>
        </w:rPr>
        <w:t>ri</w:t>
      </w:r>
      <w:r>
        <w:rPr>
          <w:rFonts w:eastAsia="Arial Unicode MS" w:cstheme="minorHAnsi"/>
          <w:b/>
        </w:rPr>
        <w:t>a Angela G</w:t>
      </w:r>
      <w:r w:rsidR="001114D3">
        <w:rPr>
          <w:rFonts w:eastAsia="Arial Unicode MS" w:cstheme="minorHAnsi"/>
          <w:b/>
        </w:rPr>
        <w:t>auci</w:t>
      </w:r>
    </w:p>
    <w:p w14:paraId="2C3DFD95" w14:textId="1FC6596F" w:rsidR="00A324E2" w:rsidRDefault="00A324E2" w:rsidP="00A324E2">
      <w:pPr>
        <w:spacing w:after="0" w:line="240" w:lineRule="auto"/>
        <w:jc w:val="center"/>
        <w:rPr>
          <w:rFonts w:eastAsia="Arial Unicode MS" w:cstheme="minorHAnsi"/>
        </w:rPr>
      </w:pPr>
      <w:r>
        <w:rPr>
          <w:rFonts w:eastAsia="Arial Unicode MS" w:cstheme="minorHAnsi"/>
        </w:rPr>
        <w:t>Nephrologist, Mater Dei</w:t>
      </w:r>
      <w:r w:rsidR="009F54FC">
        <w:rPr>
          <w:rFonts w:eastAsia="Arial Unicode MS" w:cstheme="minorHAnsi"/>
        </w:rPr>
        <w:t xml:space="preserve"> Hospital</w:t>
      </w:r>
      <w:r>
        <w:rPr>
          <w:rFonts w:eastAsia="Arial Unicode MS" w:cstheme="minorHAnsi"/>
        </w:rPr>
        <w:t>, Malta</w:t>
      </w:r>
    </w:p>
    <w:p w14:paraId="1CDC1188" w14:textId="77777777" w:rsidR="001114D3" w:rsidRDefault="001114D3" w:rsidP="00397EE4">
      <w:pPr>
        <w:spacing w:after="0" w:line="240" w:lineRule="auto"/>
        <w:jc w:val="center"/>
        <w:rPr>
          <w:rFonts w:eastAsia="Arial Unicode MS" w:cstheme="minorHAnsi"/>
          <w:b/>
        </w:rPr>
      </w:pPr>
    </w:p>
    <w:p w14:paraId="3D2912AD" w14:textId="49D57451" w:rsidR="00397EE4" w:rsidRPr="00C55F3A" w:rsidRDefault="009F2AC4" w:rsidP="00397EE4">
      <w:pPr>
        <w:spacing w:after="0" w:line="240" w:lineRule="auto"/>
        <w:jc w:val="center"/>
        <w:rPr>
          <w:rFonts w:eastAsia="Arial Unicode MS" w:cstheme="minorHAnsi"/>
          <w:b/>
        </w:rPr>
      </w:pPr>
      <w:r>
        <w:rPr>
          <w:rFonts w:eastAsia="Arial Unicode MS" w:cstheme="minorHAnsi"/>
          <w:b/>
        </w:rPr>
        <w:t>Sarah Mi</w:t>
      </w:r>
      <w:r w:rsidR="00BA07E5">
        <w:rPr>
          <w:rFonts w:eastAsia="Arial Unicode MS" w:cstheme="minorHAnsi"/>
          <w:b/>
        </w:rPr>
        <w:t>callef</w:t>
      </w:r>
    </w:p>
    <w:p w14:paraId="6BBE4332" w14:textId="7F89544E" w:rsidR="00397EE4" w:rsidRDefault="00A324E2" w:rsidP="00397EE4">
      <w:pPr>
        <w:spacing w:after="0" w:line="240" w:lineRule="auto"/>
        <w:jc w:val="center"/>
        <w:rPr>
          <w:rFonts w:eastAsia="Arial Unicode MS" w:cstheme="minorHAnsi"/>
        </w:rPr>
      </w:pPr>
      <w:r>
        <w:rPr>
          <w:rFonts w:eastAsia="Arial Unicode MS" w:cstheme="minorHAnsi"/>
        </w:rPr>
        <w:t>Nephrologist, Mater Dei</w:t>
      </w:r>
      <w:r w:rsidR="004624B7">
        <w:rPr>
          <w:rFonts w:eastAsia="Arial Unicode MS" w:cstheme="minorHAnsi"/>
        </w:rPr>
        <w:t xml:space="preserve"> Hospital</w:t>
      </w:r>
      <w:r>
        <w:rPr>
          <w:rFonts w:eastAsia="Arial Unicode MS" w:cstheme="minorHAnsi"/>
        </w:rPr>
        <w:t>, Malta</w:t>
      </w:r>
    </w:p>
    <w:p w14:paraId="17875087" w14:textId="77777777" w:rsidR="00397EE4" w:rsidRDefault="00397EE4" w:rsidP="00076320">
      <w:pPr>
        <w:jc w:val="center"/>
        <w:rPr>
          <w:b/>
          <w:bCs/>
          <w:color w:val="0E2841" w:themeColor="text2"/>
          <w:shd w:val="clear" w:color="auto" w:fill="FFFFFF"/>
        </w:rPr>
      </w:pPr>
    </w:p>
    <w:p w14:paraId="6B946571" w14:textId="6E44803D" w:rsidR="00397EE4" w:rsidRPr="00C55F3A" w:rsidRDefault="009F2AC4" w:rsidP="00397EE4">
      <w:pPr>
        <w:spacing w:after="0" w:line="240" w:lineRule="auto"/>
        <w:jc w:val="center"/>
        <w:rPr>
          <w:rFonts w:eastAsia="Arial Unicode MS" w:cstheme="minorHAnsi"/>
          <w:b/>
        </w:rPr>
      </w:pPr>
      <w:r>
        <w:rPr>
          <w:rFonts w:eastAsia="Arial Unicode MS" w:cstheme="minorHAnsi"/>
          <w:b/>
        </w:rPr>
        <w:lastRenderedPageBreak/>
        <w:t>Toby Humphrey</w:t>
      </w:r>
    </w:p>
    <w:p w14:paraId="370481C2" w14:textId="252CA946" w:rsidR="00397EE4" w:rsidRDefault="005175AC" w:rsidP="00397EE4">
      <w:pPr>
        <w:spacing w:after="0" w:line="240" w:lineRule="auto"/>
        <w:jc w:val="center"/>
        <w:rPr>
          <w:rFonts w:eastAsia="Arial Unicode MS" w:cstheme="minorHAnsi"/>
        </w:rPr>
      </w:pPr>
      <w:r>
        <w:rPr>
          <w:rFonts w:eastAsia="Arial Unicode MS" w:cstheme="minorHAnsi"/>
        </w:rPr>
        <w:t xml:space="preserve">Consultant Nephrologist, </w:t>
      </w:r>
      <w:r w:rsidR="00AF6E72">
        <w:rPr>
          <w:rFonts w:eastAsia="Arial Unicode MS" w:cstheme="minorHAnsi"/>
        </w:rPr>
        <w:t xml:space="preserve">Addenbrookes Hospital, </w:t>
      </w:r>
      <w:r w:rsidR="008538B6">
        <w:rPr>
          <w:rFonts w:eastAsia="Arial Unicode MS" w:cstheme="minorHAnsi"/>
        </w:rPr>
        <w:t>Cambridge</w:t>
      </w:r>
    </w:p>
    <w:p w14:paraId="19670A23" w14:textId="77777777" w:rsidR="001114D3" w:rsidRDefault="001114D3" w:rsidP="009F2AC4">
      <w:pPr>
        <w:spacing w:after="0" w:line="240" w:lineRule="auto"/>
        <w:jc w:val="center"/>
        <w:rPr>
          <w:rFonts w:eastAsia="Arial Unicode MS" w:cstheme="minorHAnsi"/>
          <w:b/>
        </w:rPr>
      </w:pPr>
    </w:p>
    <w:p w14:paraId="05E3FD93" w14:textId="59A7E773" w:rsidR="009F2AC4" w:rsidRPr="00C55F3A" w:rsidRDefault="009F2AC4" w:rsidP="009F2AC4">
      <w:pPr>
        <w:spacing w:after="0" w:line="240" w:lineRule="auto"/>
        <w:jc w:val="center"/>
        <w:rPr>
          <w:rFonts w:eastAsia="Arial Unicode MS" w:cstheme="minorHAnsi"/>
          <w:b/>
        </w:rPr>
      </w:pPr>
      <w:r>
        <w:rPr>
          <w:rFonts w:eastAsia="Arial Unicode MS" w:cstheme="minorHAnsi"/>
          <w:b/>
        </w:rPr>
        <w:t>Isaac Chung</w:t>
      </w:r>
    </w:p>
    <w:p w14:paraId="168396FE" w14:textId="39AA2335" w:rsidR="009F2AC4" w:rsidRDefault="008538B6" w:rsidP="009F2AC4">
      <w:pPr>
        <w:spacing w:after="0" w:line="240" w:lineRule="auto"/>
        <w:jc w:val="center"/>
        <w:rPr>
          <w:rFonts w:eastAsia="Arial Unicode MS" w:cstheme="minorHAnsi"/>
        </w:rPr>
      </w:pPr>
      <w:r>
        <w:rPr>
          <w:rFonts w:eastAsia="Arial Unicode MS" w:cstheme="minorHAnsi"/>
        </w:rPr>
        <w:t xml:space="preserve">Clinical Research Fellow, </w:t>
      </w:r>
      <w:r w:rsidR="00C23BF1">
        <w:rPr>
          <w:rFonts w:eastAsia="Arial Unicode MS" w:cstheme="minorHAnsi"/>
        </w:rPr>
        <w:t>St George’s University Hospitals NHS Foundation Trust</w:t>
      </w:r>
    </w:p>
    <w:p w14:paraId="13F9370C" w14:textId="77777777" w:rsidR="001114D3" w:rsidRDefault="001114D3" w:rsidP="009F2AC4">
      <w:pPr>
        <w:spacing w:after="0" w:line="240" w:lineRule="auto"/>
        <w:jc w:val="center"/>
        <w:rPr>
          <w:rFonts w:eastAsia="Arial Unicode MS" w:cstheme="minorHAnsi"/>
          <w:b/>
        </w:rPr>
      </w:pPr>
    </w:p>
    <w:p w14:paraId="69CAE6D8" w14:textId="20FC8EA6" w:rsidR="009F2AC4" w:rsidRPr="00C55F3A" w:rsidRDefault="009F2AC4" w:rsidP="009F2AC4">
      <w:pPr>
        <w:spacing w:after="0" w:line="240" w:lineRule="auto"/>
        <w:jc w:val="center"/>
        <w:rPr>
          <w:rFonts w:eastAsia="Arial Unicode MS" w:cstheme="minorHAnsi"/>
          <w:b/>
        </w:rPr>
      </w:pPr>
      <w:r>
        <w:rPr>
          <w:rFonts w:eastAsia="Arial Unicode MS" w:cstheme="minorHAnsi"/>
          <w:b/>
        </w:rPr>
        <w:t xml:space="preserve">Carrie </w:t>
      </w:r>
      <w:r w:rsidR="00452464">
        <w:rPr>
          <w:rFonts w:eastAsia="Arial Unicode MS" w:cstheme="minorHAnsi"/>
          <w:b/>
        </w:rPr>
        <w:t>Scuffell</w:t>
      </w:r>
    </w:p>
    <w:p w14:paraId="3D39B406" w14:textId="77777777" w:rsidR="00AB5A06" w:rsidRDefault="00AB5A06" w:rsidP="00AB5A06">
      <w:pPr>
        <w:spacing w:after="0" w:line="240" w:lineRule="auto"/>
        <w:jc w:val="center"/>
        <w:rPr>
          <w:rFonts w:eastAsia="Arial Unicode MS" w:cstheme="minorHAnsi"/>
        </w:rPr>
      </w:pPr>
      <w:r>
        <w:rPr>
          <w:rFonts w:eastAsia="Arial Unicode MS" w:cstheme="minorHAnsi"/>
        </w:rPr>
        <w:t>Transplant Development Nurse, OTDT, NHS Blood and Transplant</w:t>
      </w:r>
    </w:p>
    <w:p w14:paraId="4B36398D" w14:textId="77777777" w:rsidR="001114D3" w:rsidRDefault="001114D3" w:rsidP="009F2AC4">
      <w:pPr>
        <w:spacing w:after="0" w:line="240" w:lineRule="auto"/>
        <w:jc w:val="center"/>
        <w:rPr>
          <w:rFonts w:eastAsia="Arial Unicode MS" w:cstheme="minorHAnsi"/>
          <w:b/>
        </w:rPr>
      </w:pPr>
    </w:p>
    <w:p w14:paraId="2BCE07D6" w14:textId="5AC17870" w:rsidR="009F2AC4" w:rsidRPr="00C55F3A" w:rsidRDefault="004D31A7" w:rsidP="009F2AC4">
      <w:pPr>
        <w:spacing w:after="0" w:line="240" w:lineRule="auto"/>
        <w:jc w:val="center"/>
        <w:rPr>
          <w:rFonts w:eastAsia="Arial Unicode MS" w:cstheme="minorHAnsi"/>
          <w:b/>
        </w:rPr>
      </w:pPr>
      <w:r>
        <w:rPr>
          <w:rFonts w:eastAsia="Arial Unicode MS" w:cstheme="minorHAnsi"/>
          <w:b/>
        </w:rPr>
        <w:t>Maria Fernandez</w:t>
      </w:r>
    </w:p>
    <w:p w14:paraId="1A0F6CB1" w14:textId="5250F115" w:rsidR="009F2AC4" w:rsidRDefault="004274EE" w:rsidP="009F2AC4">
      <w:pPr>
        <w:spacing w:after="0" w:line="240" w:lineRule="auto"/>
        <w:jc w:val="center"/>
        <w:rPr>
          <w:rFonts w:eastAsia="Arial Unicode MS" w:cstheme="minorHAnsi"/>
        </w:rPr>
      </w:pPr>
      <w:r>
        <w:rPr>
          <w:rFonts w:eastAsia="Arial Unicode MS" w:cstheme="minorHAnsi"/>
        </w:rPr>
        <w:t>Lead Nurse for Renal Transplantation Services</w:t>
      </w:r>
      <w:r w:rsidR="00A46410">
        <w:rPr>
          <w:rFonts w:eastAsia="Arial Unicode MS" w:cstheme="minorHAnsi"/>
        </w:rPr>
        <w:t xml:space="preserve">, </w:t>
      </w:r>
      <w:r w:rsidR="00C23BF1">
        <w:rPr>
          <w:rFonts w:eastAsia="Arial Unicode MS" w:cstheme="minorHAnsi"/>
        </w:rPr>
        <w:t>St George’s University Hospitals NHS Foundation Trust</w:t>
      </w:r>
    </w:p>
    <w:p w14:paraId="20C3CB4B" w14:textId="77777777" w:rsidR="001114D3" w:rsidRDefault="001114D3" w:rsidP="004D31A7">
      <w:pPr>
        <w:spacing w:after="0" w:line="240" w:lineRule="auto"/>
        <w:jc w:val="center"/>
        <w:rPr>
          <w:rFonts w:eastAsia="Arial Unicode MS" w:cstheme="minorHAnsi"/>
          <w:b/>
        </w:rPr>
      </w:pPr>
    </w:p>
    <w:p w14:paraId="4EB46117" w14:textId="7A4AC065" w:rsidR="004D31A7" w:rsidRPr="00C55F3A" w:rsidRDefault="004D31A7" w:rsidP="004D31A7">
      <w:pPr>
        <w:spacing w:after="0" w:line="240" w:lineRule="auto"/>
        <w:jc w:val="center"/>
        <w:rPr>
          <w:rFonts w:eastAsia="Arial Unicode MS" w:cstheme="minorHAnsi"/>
          <w:b/>
        </w:rPr>
      </w:pPr>
      <w:r>
        <w:rPr>
          <w:rFonts w:eastAsia="Arial Unicode MS" w:cstheme="minorHAnsi"/>
          <w:b/>
        </w:rPr>
        <w:t>Helena Jackson</w:t>
      </w:r>
    </w:p>
    <w:p w14:paraId="78FDA1B1" w14:textId="38BF32FB" w:rsidR="004D31A7" w:rsidRDefault="004274EE" w:rsidP="469C0160">
      <w:pPr>
        <w:spacing w:after="0" w:line="240" w:lineRule="auto"/>
        <w:jc w:val="center"/>
        <w:rPr>
          <w:rFonts w:eastAsia="Arial Unicode MS"/>
        </w:rPr>
      </w:pPr>
      <w:r w:rsidRPr="469C0160">
        <w:rPr>
          <w:rFonts w:eastAsia="Arial Unicode MS"/>
        </w:rPr>
        <w:t>Renal Dieti</w:t>
      </w:r>
      <w:r w:rsidR="4CD4A6A3" w:rsidRPr="469C0160">
        <w:rPr>
          <w:rFonts w:eastAsia="Arial Unicode MS"/>
        </w:rPr>
        <w:t>t</w:t>
      </w:r>
      <w:r w:rsidRPr="469C0160">
        <w:rPr>
          <w:rFonts w:eastAsia="Arial Unicode MS"/>
        </w:rPr>
        <w:t xml:space="preserve">ian, </w:t>
      </w:r>
      <w:r w:rsidR="00C23BF1" w:rsidRPr="469C0160">
        <w:rPr>
          <w:rFonts w:eastAsia="Arial Unicode MS"/>
        </w:rPr>
        <w:t>St George’s University Hospitals NHS Foundation Trust</w:t>
      </w:r>
    </w:p>
    <w:p w14:paraId="64A047F5" w14:textId="77777777" w:rsidR="004D31A7" w:rsidRDefault="004D31A7" w:rsidP="004D31A7">
      <w:pPr>
        <w:spacing w:after="0" w:line="240" w:lineRule="auto"/>
        <w:jc w:val="center"/>
        <w:rPr>
          <w:rFonts w:eastAsia="Arial Unicode MS" w:cstheme="minorHAnsi"/>
        </w:rPr>
      </w:pPr>
    </w:p>
    <w:p w14:paraId="73F57025" w14:textId="0FD023FF" w:rsidR="004D31A7" w:rsidRPr="00C55F3A" w:rsidRDefault="004D31A7" w:rsidP="004D31A7">
      <w:pPr>
        <w:spacing w:after="0" w:line="240" w:lineRule="auto"/>
        <w:jc w:val="center"/>
        <w:rPr>
          <w:rFonts w:eastAsia="Arial Unicode MS" w:cstheme="minorHAnsi"/>
          <w:b/>
        </w:rPr>
      </w:pPr>
      <w:r>
        <w:rPr>
          <w:rFonts w:eastAsia="Arial Unicode MS" w:cstheme="minorHAnsi"/>
          <w:b/>
        </w:rPr>
        <w:t>Abbas Ghazanfar</w:t>
      </w:r>
    </w:p>
    <w:p w14:paraId="29DC3C18" w14:textId="4330EDDA" w:rsidR="004D31A7" w:rsidRDefault="004274EE" w:rsidP="004D31A7">
      <w:pPr>
        <w:spacing w:after="0" w:line="240" w:lineRule="auto"/>
        <w:jc w:val="center"/>
        <w:rPr>
          <w:rFonts w:eastAsia="Arial Unicode MS" w:cstheme="minorHAnsi"/>
        </w:rPr>
      </w:pPr>
      <w:r>
        <w:rPr>
          <w:rFonts w:eastAsia="Arial Unicode MS" w:cstheme="minorHAnsi"/>
        </w:rPr>
        <w:t xml:space="preserve">Consultant Renal Transplant Surgeon, </w:t>
      </w:r>
      <w:r w:rsidR="00C23BF1">
        <w:rPr>
          <w:rFonts w:eastAsia="Arial Unicode MS" w:cstheme="minorHAnsi"/>
        </w:rPr>
        <w:t>St George’s University Hospitals NHS Foundation Trust</w:t>
      </w:r>
    </w:p>
    <w:p w14:paraId="3F5B781E" w14:textId="77777777" w:rsidR="001114D3" w:rsidRDefault="001114D3" w:rsidP="004D31A7">
      <w:pPr>
        <w:spacing w:after="0" w:line="240" w:lineRule="auto"/>
        <w:jc w:val="center"/>
        <w:rPr>
          <w:rFonts w:eastAsia="Arial Unicode MS" w:cstheme="minorHAnsi"/>
          <w:b/>
        </w:rPr>
      </w:pPr>
    </w:p>
    <w:p w14:paraId="03F68A5E" w14:textId="68D2C575" w:rsidR="004D31A7" w:rsidRPr="00C55F3A" w:rsidRDefault="00384784" w:rsidP="004D31A7">
      <w:pPr>
        <w:spacing w:after="0" w:line="240" w:lineRule="auto"/>
        <w:jc w:val="center"/>
        <w:rPr>
          <w:rFonts w:eastAsia="Arial Unicode MS" w:cstheme="minorHAnsi"/>
          <w:b/>
        </w:rPr>
      </w:pPr>
      <w:r>
        <w:rPr>
          <w:rFonts w:eastAsia="Arial Unicode MS" w:cstheme="minorHAnsi"/>
          <w:b/>
        </w:rPr>
        <w:t>Micah “</w:t>
      </w:r>
      <w:proofErr w:type="spellStart"/>
      <w:r>
        <w:rPr>
          <w:rFonts w:eastAsia="Arial Unicode MS" w:cstheme="minorHAnsi"/>
          <w:b/>
        </w:rPr>
        <w:t>Kudz</w:t>
      </w:r>
      <w:proofErr w:type="spellEnd"/>
      <w:r>
        <w:rPr>
          <w:rFonts w:eastAsia="Arial Unicode MS" w:cstheme="minorHAnsi"/>
          <w:b/>
        </w:rPr>
        <w:t>”</w:t>
      </w:r>
      <w:r w:rsidR="001114D3">
        <w:rPr>
          <w:rFonts w:eastAsia="Arial Unicode MS" w:cstheme="minorHAnsi"/>
          <w:b/>
        </w:rPr>
        <w:t xml:space="preserve"> </w:t>
      </w:r>
      <w:r w:rsidR="007F2505" w:rsidRPr="007F2505">
        <w:rPr>
          <w:rFonts w:eastAsia="Arial Unicode MS" w:cstheme="minorHAnsi"/>
          <w:b/>
        </w:rPr>
        <w:t>Munongi</w:t>
      </w:r>
    </w:p>
    <w:p w14:paraId="2426E2DC" w14:textId="48503A1E" w:rsidR="004D31A7" w:rsidRDefault="0080747C" w:rsidP="004D31A7">
      <w:pPr>
        <w:spacing w:after="0" w:line="240" w:lineRule="auto"/>
        <w:jc w:val="center"/>
        <w:rPr>
          <w:rFonts w:eastAsia="Arial Unicode MS" w:cstheme="minorHAnsi"/>
        </w:rPr>
      </w:pPr>
      <w:r>
        <w:rPr>
          <w:rFonts w:eastAsia="Arial Unicode MS" w:cstheme="minorHAnsi"/>
        </w:rPr>
        <w:t>Patient Representative</w:t>
      </w:r>
    </w:p>
    <w:p w14:paraId="75108CB7" w14:textId="77777777" w:rsidR="004D31A7" w:rsidRDefault="004D31A7" w:rsidP="004D31A7">
      <w:pPr>
        <w:spacing w:after="0" w:line="240" w:lineRule="auto"/>
        <w:jc w:val="center"/>
        <w:rPr>
          <w:rFonts w:eastAsia="Arial Unicode MS" w:cstheme="minorHAnsi"/>
        </w:rPr>
      </w:pPr>
    </w:p>
    <w:p w14:paraId="40642320" w14:textId="77777777" w:rsidR="005154E6" w:rsidRPr="00C55F3A" w:rsidRDefault="005154E6" w:rsidP="005154E6">
      <w:pPr>
        <w:spacing w:after="0" w:line="240" w:lineRule="auto"/>
        <w:jc w:val="center"/>
        <w:rPr>
          <w:rFonts w:eastAsia="Arial Unicode MS" w:cstheme="minorHAnsi"/>
          <w:b/>
        </w:rPr>
      </w:pPr>
      <w:r>
        <w:rPr>
          <w:rFonts w:eastAsia="Arial Unicode MS" w:cstheme="minorHAnsi"/>
          <w:b/>
        </w:rPr>
        <w:t>Rajan Patel</w:t>
      </w:r>
    </w:p>
    <w:p w14:paraId="5CA4677A" w14:textId="3BA2305A" w:rsidR="005154E6" w:rsidRDefault="005154E6" w:rsidP="005154E6">
      <w:pPr>
        <w:spacing w:after="0" w:line="240" w:lineRule="auto"/>
        <w:jc w:val="center"/>
        <w:rPr>
          <w:rFonts w:eastAsia="Arial Unicode MS" w:cstheme="minorHAnsi"/>
        </w:rPr>
      </w:pPr>
      <w:r>
        <w:rPr>
          <w:rFonts w:eastAsia="Arial Unicode MS" w:cstheme="minorHAnsi"/>
        </w:rPr>
        <w:t xml:space="preserve">Consultant </w:t>
      </w:r>
      <w:r w:rsidR="001114D3">
        <w:rPr>
          <w:rFonts w:eastAsia="Arial Unicode MS" w:cstheme="minorHAnsi"/>
        </w:rPr>
        <w:t>Nephrologist</w:t>
      </w:r>
      <w:r>
        <w:rPr>
          <w:rFonts w:eastAsia="Arial Unicode MS" w:cstheme="minorHAnsi"/>
        </w:rPr>
        <w:t xml:space="preserve">, </w:t>
      </w:r>
      <w:r w:rsidRPr="00C427C6">
        <w:rPr>
          <w:rFonts w:eastAsia="Arial Unicode MS" w:cstheme="minorHAnsi"/>
        </w:rPr>
        <w:t>Queen Elizabeth University Hospital, Glasgow</w:t>
      </w:r>
    </w:p>
    <w:p w14:paraId="53E31076" w14:textId="77777777" w:rsidR="001114D3" w:rsidRDefault="001114D3" w:rsidP="005154E6">
      <w:pPr>
        <w:spacing w:after="0" w:line="240" w:lineRule="auto"/>
        <w:jc w:val="center"/>
        <w:rPr>
          <w:rFonts w:eastAsia="Arial Unicode MS" w:cstheme="minorHAnsi"/>
          <w:b/>
        </w:rPr>
      </w:pPr>
    </w:p>
    <w:p w14:paraId="0D5CCF3D" w14:textId="54120F55" w:rsidR="005154E6" w:rsidRPr="00C55F3A" w:rsidRDefault="005154E6" w:rsidP="005154E6">
      <w:pPr>
        <w:spacing w:after="0" w:line="240" w:lineRule="auto"/>
        <w:jc w:val="center"/>
        <w:rPr>
          <w:rFonts w:eastAsia="Arial Unicode MS" w:cstheme="minorHAnsi"/>
          <w:b/>
        </w:rPr>
      </w:pPr>
      <w:r>
        <w:rPr>
          <w:rFonts w:eastAsia="Arial Unicode MS" w:cstheme="minorHAnsi"/>
          <w:b/>
        </w:rPr>
        <w:t>Stephen Marks</w:t>
      </w:r>
    </w:p>
    <w:p w14:paraId="3C870FBB" w14:textId="77777777" w:rsidR="005154E6" w:rsidRDefault="005154E6" w:rsidP="005154E6">
      <w:pPr>
        <w:spacing w:after="0" w:line="240" w:lineRule="auto"/>
        <w:jc w:val="center"/>
        <w:rPr>
          <w:rFonts w:eastAsia="Arial Unicode MS" w:cstheme="minorHAnsi"/>
        </w:rPr>
      </w:pPr>
      <w:r>
        <w:rPr>
          <w:rFonts w:eastAsia="Arial Unicode MS" w:cstheme="minorHAnsi"/>
        </w:rPr>
        <w:t>Consultant Paediatric Nephrologist, Great Ormond Street Hospital</w:t>
      </w:r>
    </w:p>
    <w:p w14:paraId="151D5A2C" w14:textId="64E5CA6E" w:rsidR="00547E8B" w:rsidRDefault="00547E8B" w:rsidP="00C400F3">
      <w:pPr>
        <w:rPr>
          <w:b/>
          <w:bCs/>
          <w:color w:val="0E2841" w:themeColor="text2"/>
          <w:shd w:val="clear" w:color="auto" w:fill="FFFFFF"/>
        </w:rPr>
      </w:pPr>
    </w:p>
    <w:p w14:paraId="7606C17D" w14:textId="77777777" w:rsidR="00076320" w:rsidRDefault="00076320" w:rsidP="00076320">
      <w:pPr>
        <w:rPr>
          <w:rFonts w:eastAsia="Arial Unicode MS" w:cstheme="minorHAnsi"/>
          <w:b/>
        </w:rPr>
      </w:pPr>
      <w:r>
        <w:rPr>
          <w:rFonts w:eastAsia="Arial Unicode MS" w:cstheme="minorHAnsi"/>
          <w:b/>
        </w:rPr>
        <w:br w:type="page"/>
      </w:r>
    </w:p>
    <w:p w14:paraId="7C39C521" w14:textId="408D52A0" w:rsidR="00076320" w:rsidRDefault="00E1568B" w:rsidP="0027403B">
      <w:pPr>
        <w:pStyle w:val="GuidelineHeading2"/>
        <w:numPr>
          <w:ilvl w:val="0"/>
          <w:numId w:val="0"/>
        </w:numPr>
        <w:ind w:left="360" w:hanging="360"/>
      </w:pPr>
      <w:r>
        <w:rPr>
          <w:noProof/>
        </w:rPr>
        <w:lastRenderedPageBreak/>
        <w:drawing>
          <wp:anchor distT="0" distB="0" distL="114300" distR="114300" simplePos="0" relativeHeight="251658245" behindDoc="0" locked="0" layoutInCell="1" allowOverlap="1" wp14:anchorId="499F282A" wp14:editId="153E5EEE">
            <wp:simplePos x="0" y="0"/>
            <wp:positionH relativeFrom="margin">
              <wp:posOffset>53975</wp:posOffset>
            </wp:positionH>
            <wp:positionV relativeFrom="page">
              <wp:posOffset>1450975</wp:posOffset>
            </wp:positionV>
            <wp:extent cx="2397600" cy="1198800"/>
            <wp:effectExtent l="0" t="0" r="0" b="0"/>
            <wp:wrapTopAndBottom/>
            <wp:docPr id="776657345" name="Picture 7" descr="British Association for Paediatric Neph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tish Association for Paediatric Nephrolog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6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20" w:rsidRPr="00963BDA">
        <w:t>Endorsements, including organisational logos</w:t>
      </w:r>
      <w:r w:rsidR="00CB43CE" w:rsidRPr="00CB43CE">
        <w:t xml:space="preserve"> </w:t>
      </w:r>
    </w:p>
    <w:p w14:paraId="03FC2F05" w14:textId="2DC024F4" w:rsidR="00077DC2" w:rsidRDefault="00A004BB" w:rsidP="00A004BB">
      <w:r>
        <w:t>British Association for Paediatric Nephrologists (BAPN) have agreed to endorse this guideline.</w:t>
      </w:r>
      <w:r w:rsidR="00E8502F">
        <w:t xml:space="preserve"> We are liaising with The British Transplantation Society (BTS) and hope </w:t>
      </w:r>
      <w:r w:rsidR="00443CEC">
        <w:t>they will agree to endorse.</w:t>
      </w:r>
    </w:p>
    <w:p w14:paraId="42CDDD84" w14:textId="2D270974" w:rsidR="00076320" w:rsidRPr="00963BDA" w:rsidRDefault="00076320" w:rsidP="00A004BB">
      <w:pPr>
        <w:pStyle w:val="GuidelineHeading2"/>
        <w:numPr>
          <w:ilvl w:val="0"/>
          <w:numId w:val="0"/>
        </w:numPr>
        <w:ind w:left="360" w:hanging="360"/>
      </w:pPr>
      <w:r w:rsidRPr="00963BDA">
        <w:t>Method used to arrive at a recommendation</w:t>
      </w:r>
    </w:p>
    <w:p w14:paraId="6EB7F3B5" w14:textId="3F566DD9" w:rsidR="00076320" w:rsidRDefault="00076320" w:rsidP="00A004BB">
      <w:r w:rsidRPr="004113CE">
        <w:t>The recommendations for the first draft of this guideline resulted from a collective decision reached by informal discussion by the authors and, whenever necessary, with input from the Chair</w:t>
      </w:r>
      <w:r w:rsidR="00443CEC">
        <w:t>s</w:t>
      </w:r>
      <w:r w:rsidRPr="004113CE">
        <w:t xml:space="preserve"> of the Clinical Practice Guidelines Committee. If no agreement had been reached on the appropriate grading of a recommendation, a vote would have been held and the majority opinion carried. However</w:t>
      </w:r>
      <w:r w:rsidR="00A004BB">
        <w:t>,</w:t>
      </w:r>
      <w:r w:rsidRPr="004113CE">
        <w:t xml:space="preserve"> this was not necessary for this guideline.</w:t>
      </w:r>
    </w:p>
    <w:p w14:paraId="220D5008" w14:textId="39A03636" w:rsidR="00076320" w:rsidRPr="00963BDA" w:rsidRDefault="00076320" w:rsidP="00A004BB">
      <w:pPr>
        <w:pStyle w:val="GuidelineHeading2"/>
        <w:numPr>
          <w:ilvl w:val="0"/>
          <w:numId w:val="0"/>
        </w:numPr>
        <w:ind w:left="360" w:hanging="360"/>
      </w:pPr>
      <w:r w:rsidRPr="00963BDA">
        <w:t xml:space="preserve">Conflicts of Interest Statement </w:t>
      </w:r>
    </w:p>
    <w:p w14:paraId="73C3FE52" w14:textId="77777777" w:rsidR="00076320" w:rsidRDefault="00076320" w:rsidP="00076320">
      <w:r>
        <w:t>All authors made declarations of interest in line with the policy in the UK Kidney Association Clinical Practice Guidelines Development Manual.  Further details can be obtained on request from The UK Kidney Association.</w:t>
      </w:r>
    </w:p>
    <w:p w14:paraId="41009191" w14:textId="77777777" w:rsidR="00076320" w:rsidRPr="00963BDA" w:rsidRDefault="00076320" w:rsidP="00A004BB">
      <w:pPr>
        <w:pStyle w:val="GuidelineHeading2"/>
        <w:numPr>
          <w:ilvl w:val="0"/>
          <w:numId w:val="0"/>
        </w:numPr>
        <w:ind w:left="360" w:hanging="360"/>
      </w:pPr>
      <w:r w:rsidRPr="00963BDA">
        <w:t>Grading the evidence</w:t>
      </w:r>
    </w:p>
    <w:p w14:paraId="4DDD323B" w14:textId="77777777" w:rsidR="00076320" w:rsidRDefault="00076320" w:rsidP="00076320">
      <w:r>
        <w:t>The evidence for these recommendations has been assessed using the modified GRADE system. (5) The modified GRADE system defines both the strength of the recommendations of the guideline authors and the level of evidence upon which each of the recommendations is based. This grading system classifies expert recommendations as “strong” (Grade 1) or “weak” (Grade 2) based upon the balance between the benefits and risks, burden and cost. The quality or level of evidence is designated as high (Grade A), moderate (Grade B), low (Grade C) or very low (D) depending on factors such as study design, directness of evidence and consistency of results. Grades of recommendation and quality of evidence may range from 1A to 2D.</w:t>
      </w:r>
    </w:p>
    <w:p w14:paraId="39DCD102" w14:textId="77777777" w:rsidR="00076320" w:rsidRDefault="00076320" w:rsidP="00076320">
      <w:r>
        <w:t>Authors reviewed the evidence and came to a collective decision on the guidance, with input from the chair of the guidelines committee as needed.</w:t>
      </w:r>
    </w:p>
    <w:p w14:paraId="674B0FD1" w14:textId="77777777" w:rsidR="00076320" w:rsidRPr="00963BDA" w:rsidRDefault="00076320" w:rsidP="00A004BB">
      <w:pPr>
        <w:pStyle w:val="GuidelineHeading2"/>
        <w:numPr>
          <w:ilvl w:val="0"/>
          <w:numId w:val="0"/>
        </w:numPr>
        <w:ind w:left="360" w:hanging="360"/>
      </w:pPr>
      <w:r w:rsidRPr="00963BDA">
        <w:t xml:space="preserve">Acknowledgements </w:t>
      </w:r>
    </w:p>
    <w:p w14:paraId="45AAB9D0" w14:textId="013D1AB1" w:rsidR="00076320" w:rsidRPr="00146D64" w:rsidRDefault="004B7D3E" w:rsidP="00076320">
      <w:pPr>
        <w:spacing w:after="0"/>
      </w:pPr>
      <w:r>
        <w:t>Fay Passey</w:t>
      </w:r>
      <w:r w:rsidR="00AB5A06">
        <w:t xml:space="preserve"> (The UK Kidney Association)</w:t>
      </w:r>
      <w:r w:rsidR="0027403B">
        <w:t>, who made it possible.</w:t>
      </w:r>
    </w:p>
    <w:p w14:paraId="41A74830" w14:textId="77777777" w:rsidR="00076320" w:rsidRPr="00F77D56" w:rsidRDefault="00076320" w:rsidP="00076320">
      <w:pPr>
        <w:rPr>
          <w:rFonts w:eastAsia="Arial Unicode MS" w:cstheme="minorHAnsi"/>
        </w:rPr>
      </w:pPr>
    </w:p>
    <w:p w14:paraId="49893B4B" w14:textId="77777777" w:rsidR="00076320" w:rsidRDefault="00076320" w:rsidP="00076320">
      <w:pPr>
        <w:rPr>
          <w:rFonts w:eastAsia="Arial Unicode MS" w:cstheme="minorHAnsi"/>
        </w:rPr>
      </w:pPr>
    </w:p>
    <w:sdt>
      <w:sdtPr>
        <w:rPr>
          <w:rFonts w:asciiTheme="minorHAnsi" w:hAnsiTheme="minorHAnsi"/>
          <w:b w:val="0"/>
          <w:color w:val="auto"/>
          <w:sz w:val="24"/>
          <w:szCs w:val="24"/>
          <w:lang w:val="en-GB" w:eastAsia="en-US"/>
        </w:rPr>
        <w:id w:val="-1305616835"/>
        <w:docPartObj>
          <w:docPartGallery w:val="Table of Contents"/>
          <w:docPartUnique/>
        </w:docPartObj>
      </w:sdtPr>
      <w:sdtEndPr>
        <w:rPr>
          <w:noProof/>
        </w:rPr>
      </w:sdtEndPr>
      <w:sdtContent>
        <w:p w14:paraId="49036954" w14:textId="74937C60" w:rsidR="00A004BB" w:rsidRDefault="00A004BB">
          <w:pPr>
            <w:pStyle w:val="TOCHeading"/>
          </w:pPr>
          <w:r>
            <w:t>Contents</w:t>
          </w:r>
        </w:p>
        <w:p w14:paraId="2497D5F6" w14:textId="01809F1F" w:rsidR="00A004BB" w:rsidRDefault="00A004BB">
          <w:pPr>
            <w:pStyle w:val="TOC1"/>
            <w:tabs>
              <w:tab w:val="right" w:leader="dot" w:pos="9742"/>
            </w:tabs>
            <w:rPr>
              <w:rFonts w:eastAsiaTheme="minorEastAsia"/>
              <w:noProof/>
              <w:kern w:val="2"/>
              <w:lang w:eastAsia="en-GB"/>
            </w:rPr>
          </w:pPr>
          <w:r>
            <w:fldChar w:fldCharType="begin"/>
          </w:r>
          <w:r>
            <w:instrText xml:space="preserve"> TOC \o "1-3" \h \z \u </w:instrText>
          </w:r>
          <w:r>
            <w:fldChar w:fldCharType="separate"/>
          </w:r>
          <w:hyperlink w:anchor="_Toc213749011" w:history="1">
            <w:r w:rsidRPr="001E4D49">
              <w:rPr>
                <w:rStyle w:val="Hyperlink"/>
                <w:noProof/>
              </w:rPr>
              <w:t>Summary of Clinical Practice Guideline Recommendations</w:t>
            </w:r>
            <w:r>
              <w:rPr>
                <w:noProof/>
                <w:webHidden/>
              </w:rPr>
              <w:tab/>
            </w:r>
            <w:r>
              <w:rPr>
                <w:noProof/>
                <w:webHidden/>
              </w:rPr>
              <w:fldChar w:fldCharType="begin"/>
            </w:r>
            <w:r>
              <w:rPr>
                <w:noProof/>
                <w:webHidden/>
              </w:rPr>
              <w:instrText xml:space="preserve"> PAGEREF _Toc213749011 \h </w:instrText>
            </w:r>
            <w:r>
              <w:rPr>
                <w:noProof/>
                <w:webHidden/>
              </w:rPr>
            </w:r>
            <w:r>
              <w:rPr>
                <w:noProof/>
                <w:webHidden/>
              </w:rPr>
              <w:fldChar w:fldCharType="separate"/>
            </w:r>
            <w:r w:rsidR="00583AE0">
              <w:rPr>
                <w:noProof/>
                <w:webHidden/>
              </w:rPr>
              <w:t>6</w:t>
            </w:r>
            <w:r>
              <w:rPr>
                <w:noProof/>
                <w:webHidden/>
              </w:rPr>
              <w:fldChar w:fldCharType="end"/>
            </w:r>
          </w:hyperlink>
        </w:p>
        <w:p w14:paraId="6FF7F61C" w14:textId="76897DBA" w:rsidR="00A004BB" w:rsidRDefault="00A004BB">
          <w:pPr>
            <w:pStyle w:val="TOC3"/>
            <w:tabs>
              <w:tab w:val="right" w:leader="dot" w:pos="9742"/>
            </w:tabs>
            <w:rPr>
              <w:noProof/>
            </w:rPr>
          </w:pPr>
          <w:hyperlink w:anchor="_Toc213749012" w:history="1">
            <w:r w:rsidRPr="001E4D49">
              <w:rPr>
                <w:rStyle w:val="Hyperlink"/>
                <w:noProof/>
              </w:rPr>
              <w:t>1. Kidney Transplant Recipient (KTR): Organisation of Outpatient Follow-up (Guidelines 1.1-1.4)</w:t>
            </w:r>
            <w:r>
              <w:rPr>
                <w:noProof/>
                <w:webHidden/>
              </w:rPr>
              <w:tab/>
            </w:r>
            <w:r>
              <w:rPr>
                <w:noProof/>
                <w:webHidden/>
              </w:rPr>
              <w:fldChar w:fldCharType="begin"/>
            </w:r>
            <w:r>
              <w:rPr>
                <w:noProof/>
                <w:webHidden/>
              </w:rPr>
              <w:instrText xml:space="preserve"> PAGEREF _Toc213749012 \h </w:instrText>
            </w:r>
            <w:r>
              <w:rPr>
                <w:noProof/>
                <w:webHidden/>
              </w:rPr>
            </w:r>
            <w:r>
              <w:rPr>
                <w:noProof/>
                <w:webHidden/>
              </w:rPr>
              <w:fldChar w:fldCharType="separate"/>
            </w:r>
            <w:r w:rsidR="00583AE0">
              <w:rPr>
                <w:noProof/>
                <w:webHidden/>
              </w:rPr>
              <w:t>6</w:t>
            </w:r>
            <w:r>
              <w:rPr>
                <w:noProof/>
                <w:webHidden/>
              </w:rPr>
              <w:fldChar w:fldCharType="end"/>
            </w:r>
          </w:hyperlink>
        </w:p>
        <w:p w14:paraId="16A995C6" w14:textId="09D39F55" w:rsidR="00A004BB" w:rsidRDefault="00A004BB">
          <w:pPr>
            <w:pStyle w:val="TOC3"/>
            <w:tabs>
              <w:tab w:val="right" w:leader="dot" w:pos="9742"/>
            </w:tabs>
            <w:rPr>
              <w:noProof/>
            </w:rPr>
          </w:pPr>
          <w:hyperlink w:anchor="_Toc213749013" w:history="1">
            <w:r w:rsidRPr="001E4D49">
              <w:rPr>
                <w:rStyle w:val="Hyperlink"/>
                <w:noProof/>
              </w:rPr>
              <w:t>2. Immunosuppression with non-adherence (Guidelines 2.1-2.6)</w:t>
            </w:r>
            <w:r>
              <w:rPr>
                <w:noProof/>
                <w:webHidden/>
              </w:rPr>
              <w:tab/>
            </w:r>
            <w:r>
              <w:rPr>
                <w:noProof/>
                <w:webHidden/>
              </w:rPr>
              <w:fldChar w:fldCharType="begin"/>
            </w:r>
            <w:r>
              <w:rPr>
                <w:noProof/>
                <w:webHidden/>
              </w:rPr>
              <w:instrText xml:space="preserve"> PAGEREF _Toc213749013 \h </w:instrText>
            </w:r>
            <w:r>
              <w:rPr>
                <w:noProof/>
                <w:webHidden/>
              </w:rPr>
            </w:r>
            <w:r>
              <w:rPr>
                <w:noProof/>
                <w:webHidden/>
              </w:rPr>
              <w:fldChar w:fldCharType="separate"/>
            </w:r>
            <w:r w:rsidR="00583AE0">
              <w:rPr>
                <w:noProof/>
                <w:webHidden/>
              </w:rPr>
              <w:t>7</w:t>
            </w:r>
            <w:r>
              <w:rPr>
                <w:noProof/>
                <w:webHidden/>
              </w:rPr>
              <w:fldChar w:fldCharType="end"/>
            </w:r>
          </w:hyperlink>
        </w:p>
        <w:p w14:paraId="02E37B50" w14:textId="59C03E92" w:rsidR="00A004BB" w:rsidRDefault="00A004BB">
          <w:pPr>
            <w:pStyle w:val="TOC3"/>
            <w:tabs>
              <w:tab w:val="right" w:leader="dot" w:pos="9742"/>
            </w:tabs>
            <w:rPr>
              <w:noProof/>
            </w:rPr>
          </w:pPr>
          <w:hyperlink w:anchor="_Toc213749014" w:history="1">
            <w:r w:rsidRPr="001E4D49">
              <w:rPr>
                <w:rStyle w:val="Hyperlink"/>
                <w:noProof/>
              </w:rPr>
              <w:t>3. Acute rejection, diagnosis and treatment (Guidelines 3.1-3.2.9)</w:t>
            </w:r>
            <w:r>
              <w:rPr>
                <w:noProof/>
                <w:webHidden/>
              </w:rPr>
              <w:tab/>
            </w:r>
            <w:r>
              <w:rPr>
                <w:noProof/>
                <w:webHidden/>
              </w:rPr>
              <w:fldChar w:fldCharType="begin"/>
            </w:r>
            <w:r>
              <w:rPr>
                <w:noProof/>
                <w:webHidden/>
              </w:rPr>
              <w:instrText xml:space="preserve"> PAGEREF _Toc213749014 \h </w:instrText>
            </w:r>
            <w:r>
              <w:rPr>
                <w:noProof/>
                <w:webHidden/>
              </w:rPr>
            </w:r>
            <w:r>
              <w:rPr>
                <w:noProof/>
                <w:webHidden/>
              </w:rPr>
              <w:fldChar w:fldCharType="separate"/>
            </w:r>
            <w:r w:rsidR="00583AE0">
              <w:rPr>
                <w:noProof/>
                <w:webHidden/>
              </w:rPr>
              <w:t>10</w:t>
            </w:r>
            <w:r>
              <w:rPr>
                <w:noProof/>
                <w:webHidden/>
              </w:rPr>
              <w:fldChar w:fldCharType="end"/>
            </w:r>
          </w:hyperlink>
        </w:p>
        <w:p w14:paraId="6BFE703F" w14:textId="570455CD" w:rsidR="00A004BB" w:rsidRDefault="00A004BB">
          <w:pPr>
            <w:pStyle w:val="TOC3"/>
            <w:tabs>
              <w:tab w:val="right" w:leader="dot" w:pos="9742"/>
            </w:tabs>
            <w:rPr>
              <w:noProof/>
            </w:rPr>
          </w:pPr>
          <w:hyperlink w:anchor="_Toc213749015" w:history="1">
            <w:r w:rsidRPr="001E4D49">
              <w:rPr>
                <w:rStyle w:val="Hyperlink"/>
                <w:noProof/>
              </w:rPr>
              <w:t>4. Chronic Allograft Injury (Guidelines 4.1 – 4.4)</w:t>
            </w:r>
            <w:r>
              <w:rPr>
                <w:noProof/>
                <w:webHidden/>
              </w:rPr>
              <w:tab/>
            </w:r>
            <w:r>
              <w:rPr>
                <w:noProof/>
                <w:webHidden/>
              </w:rPr>
              <w:fldChar w:fldCharType="begin"/>
            </w:r>
            <w:r>
              <w:rPr>
                <w:noProof/>
                <w:webHidden/>
              </w:rPr>
              <w:instrText xml:space="preserve"> PAGEREF _Toc213749015 \h </w:instrText>
            </w:r>
            <w:r>
              <w:rPr>
                <w:noProof/>
                <w:webHidden/>
              </w:rPr>
            </w:r>
            <w:r>
              <w:rPr>
                <w:noProof/>
                <w:webHidden/>
              </w:rPr>
              <w:fldChar w:fldCharType="separate"/>
            </w:r>
            <w:r w:rsidR="00583AE0">
              <w:rPr>
                <w:noProof/>
                <w:webHidden/>
              </w:rPr>
              <w:t>11</w:t>
            </w:r>
            <w:r>
              <w:rPr>
                <w:noProof/>
                <w:webHidden/>
              </w:rPr>
              <w:fldChar w:fldCharType="end"/>
            </w:r>
          </w:hyperlink>
        </w:p>
        <w:p w14:paraId="1B2505F8" w14:textId="16788AC4" w:rsidR="00A004BB" w:rsidRDefault="00A004BB">
          <w:pPr>
            <w:pStyle w:val="TOC3"/>
            <w:tabs>
              <w:tab w:val="right" w:leader="dot" w:pos="9742"/>
            </w:tabs>
            <w:rPr>
              <w:noProof/>
            </w:rPr>
          </w:pPr>
          <w:hyperlink w:anchor="_Toc213749016" w:history="1">
            <w:r w:rsidRPr="001E4D49">
              <w:rPr>
                <w:rStyle w:val="Hyperlink"/>
                <w:noProof/>
              </w:rPr>
              <w:t>5. Cardiovascular disease - hypertension, diabetes, cholesterol (including lifestyle and exercise)</w:t>
            </w:r>
            <w:r>
              <w:rPr>
                <w:noProof/>
                <w:webHidden/>
              </w:rPr>
              <w:tab/>
            </w:r>
            <w:r>
              <w:rPr>
                <w:noProof/>
                <w:webHidden/>
              </w:rPr>
              <w:fldChar w:fldCharType="begin"/>
            </w:r>
            <w:r>
              <w:rPr>
                <w:noProof/>
                <w:webHidden/>
              </w:rPr>
              <w:instrText xml:space="preserve"> PAGEREF _Toc213749016 \h </w:instrText>
            </w:r>
            <w:r>
              <w:rPr>
                <w:noProof/>
                <w:webHidden/>
              </w:rPr>
            </w:r>
            <w:r>
              <w:rPr>
                <w:noProof/>
                <w:webHidden/>
              </w:rPr>
              <w:fldChar w:fldCharType="separate"/>
            </w:r>
            <w:r w:rsidR="00583AE0">
              <w:rPr>
                <w:noProof/>
                <w:webHidden/>
              </w:rPr>
              <w:t>13</w:t>
            </w:r>
            <w:r>
              <w:rPr>
                <w:noProof/>
                <w:webHidden/>
              </w:rPr>
              <w:fldChar w:fldCharType="end"/>
            </w:r>
          </w:hyperlink>
        </w:p>
        <w:p w14:paraId="7662C6D8" w14:textId="0983F56F" w:rsidR="00A004BB" w:rsidRDefault="00A004BB">
          <w:pPr>
            <w:pStyle w:val="TOC3"/>
            <w:tabs>
              <w:tab w:val="right" w:leader="dot" w:pos="9742"/>
            </w:tabs>
            <w:rPr>
              <w:noProof/>
            </w:rPr>
          </w:pPr>
          <w:hyperlink w:anchor="_Toc213749017" w:history="1">
            <w:r w:rsidRPr="001E4D49">
              <w:rPr>
                <w:rStyle w:val="Hyperlink"/>
                <w:noProof/>
              </w:rPr>
              <w:t>6. Neoplasia</w:t>
            </w:r>
            <w:r>
              <w:rPr>
                <w:noProof/>
                <w:webHidden/>
              </w:rPr>
              <w:tab/>
            </w:r>
            <w:r>
              <w:rPr>
                <w:noProof/>
                <w:webHidden/>
              </w:rPr>
              <w:fldChar w:fldCharType="begin"/>
            </w:r>
            <w:r>
              <w:rPr>
                <w:noProof/>
                <w:webHidden/>
              </w:rPr>
              <w:instrText xml:space="preserve"> PAGEREF _Toc213749017 \h </w:instrText>
            </w:r>
            <w:r>
              <w:rPr>
                <w:noProof/>
                <w:webHidden/>
              </w:rPr>
            </w:r>
            <w:r>
              <w:rPr>
                <w:noProof/>
                <w:webHidden/>
              </w:rPr>
              <w:fldChar w:fldCharType="separate"/>
            </w:r>
            <w:r w:rsidR="00583AE0">
              <w:rPr>
                <w:noProof/>
                <w:webHidden/>
              </w:rPr>
              <w:t>18</w:t>
            </w:r>
            <w:r>
              <w:rPr>
                <w:noProof/>
                <w:webHidden/>
              </w:rPr>
              <w:fldChar w:fldCharType="end"/>
            </w:r>
          </w:hyperlink>
        </w:p>
        <w:p w14:paraId="46733ECF" w14:textId="1A224CC3" w:rsidR="00A004BB" w:rsidRDefault="00A004BB">
          <w:pPr>
            <w:pStyle w:val="TOC3"/>
            <w:tabs>
              <w:tab w:val="right" w:leader="dot" w:pos="9742"/>
            </w:tabs>
            <w:rPr>
              <w:noProof/>
            </w:rPr>
          </w:pPr>
          <w:hyperlink w:anchor="_Toc213749018" w:history="1">
            <w:r w:rsidRPr="001E4D49">
              <w:rPr>
                <w:rStyle w:val="Hyperlink"/>
                <w:noProof/>
              </w:rPr>
              <w:t>8. Kidney Transplant Recipient (KTR): Infection Complications (Guidelines 8.1-8.7)</w:t>
            </w:r>
            <w:r>
              <w:rPr>
                <w:noProof/>
                <w:webHidden/>
              </w:rPr>
              <w:tab/>
            </w:r>
            <w:r>
              <w:rPr>
                <w:noProof/>
                <w:webHidden/>
              </w:rPr>
              <w:fldChar w:fldCharType="begin"/>
            </w:r>
            <w:r>
              <w:rPr>
                <w:noProof/>
                <w:webHidden/>
              </w:rPr>
              <w:instrText xml:space="preserve"> PAGEREF _Toc213749018 \h </w:instrText>
            </w:r>
            <w:r>
              <w:rPr>
                <w:noProof/>
                <w:webHidden/>
              </w:rPr>
            </w:r>
            <w:r>
              <w:rPr>
                <w:noProof/>
                <w:webHidden/>
              </w:rPr>
              <w:fldChar w:fldCharType="separate"/>
            </w:r>
            <w:r w:rsidR="00583AE0">
              <w:rPr>
                <w:noProof/>
                <w:webHidden/>
              </w:rPr>
              <w:t>18</w:t>
            </w:r>
            <w:r>
              <w:rPr>
                <w:noProof/>
                <w:webHidden/>
              </w:rPr>
              <w:fldChar w:fldCharType="end"/>
            </w:r>
          </w:hyperlink>
        </w:p>
        <w:p w14:paraId="4E3D6C3B" w14:textId="1133788F" w:rsidR="00A004BB" w:rsidRDefault="00A004BB">
          <w:pPr>
            <w:pStyle w:val="TOC3"/>
            <w:tabs>
              <w:tab w:val="right" w:leader="dot" w:pos="9742"/>
            </w:tabs>
            <w:rPr>
              <w:noProof/>
            </w:rPr>
          </w:pPr>
          <w:hyperlink w:anchor="_Toc213749019" w:history="1">
            <w:r w:rsidRPr="001E4D49">
              <w:rPr>
                <w:rStyle w:val="Hyperlink"/>
                <w:noProof/>
              </w:rPr>
              <w:t>9. Kidney Transplant Recipient (KTR): Bone and Joint disease (Guidelines 9.1-8.7)</w:t>
            </w:r>
            <w:r>
              <w:rPr>
                <w:noProof/>
                <w:webHidden/>
              </w:rPr>
              <w:tab/>
            </w:r>
            <w:r>
              <w:rPr>
                <w:noProof/>
                <w:webHidden/>
              </w:rPr>
              <w:fldChar w:fldCharType="begin"/>
            </w:r>
            <w:r>
              <w:rPr>
                <w:noProof/>
                <w:webHidden/>
              </w:rPr>
              <w:instrText xml:space="preserve"> PAGEREF _Toc213749019 \h </w:instrText>
            </w:r>
            <w:r>
              <w:rPr>
                <w:noProof/>
                <w:webHidden/>
              </w:rPr>
            </w:r>
            <w:r>
              <w:rPr>
                <w:noProof/>
                <w:webHidden/>
              </w:rPr>
              <w:fldChar w:fldCharType="separate"/>
            </w:r>
            <w:r w:rsidR="00583AE0">
              <w:rPr>
                <w:noProof/>
                <w:webHidden/>
              </w:rPr>
              <w:t>22</w:t>
            </w:r>
            <w:r>
              <w:rPr>
                <w:noProof/>
                <w:webHidden/>
              </w:rPr>
              <w:fldChar w:fldCharType="end"/>
            </w:r>
          </w:hyperlink>
        </w:p>
        <w:p w14:paraId="256DF5E4" w14:textId="06C66B8B" w:rsidR="00A004BB" w:rsidRDefault="00A004BB">
          <w:pPr>
            <w:pStyle w:val="TOC3"/>
            <w:tabs>
              <w:tab w:val="right" w:leader="dot" w:pos="9742"/>
            </w:tabs>
            <w:rPr>
              <w:noProof/>
            </w:rPr>
          </w:pPr>
          <w:hyperlink w:anchor="_Toc213749020" w:history="1">
            <w:r w:rsidRPr="001E4D49">
              <w:rPr>
                <w:rStyle w:val="Hyperlink"/>
                <w:noProof/>
              </w:rPr>
              <w:t>10. Kidney Transplant – Haematological complications</w:t>
            </w:r>
            <w:r>
              <w:rPr>
                <w:noProof/>
                <w:webHidden/>
              </w:rPr>
              <w:tab/>
            </w:r>
            <w:r>
              <w:rPr>
                <w:noProof/>
                <w:webHidden/>
              </w:rPr>
              <w:fldChar w:fldCharType="begin"/>
            </w:r>
            <w:r>
              <w:rPr>
                <w:noProof/>
                <w:webHidden/>
              </w:rPr>
              <w:instrText xml:space="preserve"> PAGEREF _Toc213749020 \h </w:instrText>
            </w:r>
            <w:r>
              <w:rPr>
                <w:noProof/>
                <w:webHidden/>
              </w:rPr>
            </w:r>
            <w:r>
              <w:rPr>
                <w:noProof/>
                <w:webHidden/>
              </w:rPr>
              <w:fldChar w:fldCharType="separate"/>
            </w:r>
            <w:r w:rsidR="00583AE0">
              <w:rPr>
                <w:noProof/>
                <w:webHidden/>
              </w:rPr>
              <w:t>23</w:t>
            </w:r>
            <w:r>
              <w:rPr>
                <w:noProof/>
                <w:webHidden/>
              </w:rPr>
              <w:fldChar w:fldCharType="end"/>
            </w:r>
          </w:hyperlink>
        </w:p>
        <w:p w14:paraId="067EF93C" w14:textId="171A5ECC" w:rsidR="00A004BB" w:rsidRDefault="00A004BB">
          <w:pPr>
            <w:pStyle w:val="TOC3"/>
            <w:tabs>
              <w:tab w:val="right" w:leader="dot" w:pos="9742"/>
            </w:tabs>
            <w:rPr>
              <w:noProof/>
            </w:rPr>
          </w:pPr>
          <w:hyperlink w:anchor="_Toc213749021" w:history="1">
            <w:r w:rsidRPr="001E4D49">
              <w:rPr>
                <w:rStyle w:val="Hyperlink"/>
                <w:noProof/>
              </w:rPr>
              <w:t>11. Reproductive issues and sexual function in the renal transplant recipient</w:t>
            </w:r>
            <w:r>
              <w:rPr>
                <w:noProof/>
                <w:webHidden/>
              </w:rPr>
              <w:tab/>
            </w:r>
            <w:r>
              <w:rPr>
                <w:noProof/>
                <w:webHidden/>
              </w:rPr>
              <w:fldChar w:fldCharType="begin"/>
            </w:r>
            <w:r>
              <w:rPr>
                <w:noProof/>
                <w:webHidden/>
              </w:rPr>
              <w:instrText xml:space="preserve"> PAGEREF _Toc213749021 \h </w:instrText>
            </w:r>
            <w:r>
              <w:rPr>
                <w:noProof/>
                <w:webHidden/>
              </w:rPr>
            </w:r>
            <w:r>
              <w:rPr>
                <w:noProof/>
                <w:webHidden/>
              </w:rPr>
              <w:fldChar w:fldCharType="separate"/>
            </w:r>
            <w:r w:rsidR="00583AE0">
              <w:rPr>
                <w:noProof/>
                <w:webHidden/>
              </w:rPr>
              <w:t>23</w:t>
            </w:r>
            <w:r>
              <w:rPr>
                <w:noProof/>
                <w:webHidden/>
              </w:rPr>
              <w:fldChar w:fldCharType="end"/>
            </w:r>
          </w:hyperlink>
        </w:p>
        <w:p w14:paraId="502C1843" w14:textId="5990859A" w:rsidR="00A004BB" w:rsidRDefault="00A004BB">
          <w:pPr>
            <w:pStyle w:val="TOC1"/>
            <w:tabs>
              <w:tab w:val="right" w:leader="dot" w:pos="9742"/>
            </w:tabs>
            <w:rPr>
              <w:rFonts w:eastAsiaTheme="minorEastAsia"/>
              <w:noProof/>
              <w:kern w:val="2"/>
              <w:lang w:eastAsia="en-GB"/>
            </w:rPr>
          </w:pPr>
          <w:hyperlink w:anchor="_Toc213749022" w:history="1">
            <w:r w:rsidRPr="001E4D49">
              <w:rPr>
                <w:rStyle w:val="Hyperlink"/>
                <w:noProof/>
              </w:rPr>
              <w:t>Summary of Audit Measures</w:t>
            </w:r>
            <w:r>
              <w:rPr>
                <w:noProof/>
                <w:webHidden/>
              </w:rPr>
              <w:tab/>
            </w:r>
            <w:r>
              <w:rPr>
                <w:noProof/>
                <w:webHidden/>
              </w:rPr>
              <w:fldChar w:fldCharType="begin"/>
            </w:r>
            <w:r>
              <w:rPr>
                <w:noProof/>
                <w:webHidden/>
              </w:rPr>
              <w:instrText xml:space="preserve"> PAGEREF _Toc213749022 \h </w:instrText>
            </w:r>
            <w:r>
              <w:rPr>
                <w:noProof/>
                <w:webHidden/>
              </w:rPr>
            </w:r>
            <w:r>
              <w:rPr>
                <w:noProof/>
                <w:webHidden/>
              </w:rPr>
              <w:fldChar w:fldCharType="separate"/>
            </w:r>
            <w:r w:rsidR="00583AE0">
              <w:rPr>
                <w:noProof/>
                <w:webHidden/>
              </w:rPr>
              <w:t>25</w:t>
            </w:r>
            <w:r>
              <w:rPr>
                <w:noProof/>
                <w:webHidden/>
              </w:rPr>
              <w:fldChar w:fldCharType="end"/>
            </w:r>
          </w:hyperlink>
        </w:p>
        <w:p w14:paraId="46AB9549" w14:textId="5C34BE69" w:rsidR="00A004BB" w:rsidRDefault="00A004BB">
          <w:pPr>
            <w:pStyle w:val="TOC3"/>
            <w:tabs>
              <w:tab w:val="right" w:leader="dot" w:pos="9742"/>
            </w:tabs>
            <w:rPr>
              <w:noProof/>
            </w:rPr>
          </w:pPr>
          <w:hyperlink w:anchor="_Toc213749023" w:history="1">
            <w:r w:rsidRPr="001E4D49">
              <w:rPr>
                <w:rStyle w:val="Hyperlink"/>
                <w:noProof/>
              </w:rPr>
              <w:t>1. Kidney Transplant Recipient (KTR): Organisation of Outpatient Follow-up (Guidelines 1.1-1.4)</w:t>
            </w:r>
            <w:r>
              <w:rPr>
                <w:noProof/>
                <w:webHidden/>
              </w:rPr>
              <w:tab/>
            </w:r>
            <w:r>
              <w:rPr>
                <w:noProof/>
                <w:webHidden/>
              </w:rPr>
              <w:fldChar w:fldCharType="begin"/>
            </w:r>
            <w:r>
              <w:rPr>
                <w:noProof/>
                <w:webHidden/>
              </w:rPr>
              <w:instrText xml:space="preserve"> PAGEREF _Toc213749023 \h </w:instrText>
            </w:r>
            <w:r>
              <w:rPr>
                <w:noProof/>
                <w:webHidden/>
              </w:rPr>
            </w:r>
            <w:r>
              <w:rPr>
                <w:noProof/>
                <w:webHidden/>
              </w:rPr>
              <w:fldChar w:fldCharType="separate"/>
            </w:r>
            <w:r w:rsidR="00583AE0">
              <w:rPr>
                <w:noProof/>
                <w:webHidden/>
              </w:rPr>
              <w:t>26</w:t>
            </w:r>
            <w:r>
              <w:rPr>
                <w:noProof/>
                <w:webHidden/>
              </w:rPr>
              <w:fldChar w:fldCharType="end"/>
            </w:r>
          </w:hyperlink>
        </w:p>
        <w:p w14:paraId="3F8AEE48" w14:textId="147D4208" w:rsidR="00A004BB" w:rsidRDefault="00A004BB">
          <w:pPr>
            <w:pStyle w:val="TOC3"/>
            <w:tabs>
              <w:tab w:val="right" w:leader="dot" w:pos="9742"/>
            </w:tabs>
            <w:rPr>
              <w:noProof/>
            </w:rPr>
          </w:pPr>
          <w:hyperlink w:anchor="_Toc213749024" w:history="1">
            <w:r w:rsidRPr="001E4D49">
              <w:rPr>
                <w:rStyle w:val="Hyperlink"/>
                <w:noProof/>
              </w:rPr>
              <w:t>2. Immunosuppression with non-adherence (Guidelines 2.1-2.6)</w:t>
            </w:r>
            <w:r>
              <w:rPr>
                <w:noProof/>
                <w:webHidden/>
              </w:rPr>
              <w:tab/>
            </w:r>
            <w:r>
              <w:rPr>
                <w:noProof/>
                <w:webHidden/>
              </w:rPr>
              <w:fldChar w:fldCharType="begin"/>
            </w:r>
            <w:r>
              <w:rPr>
                <w:noProof/>
                <w:webHidden/>
              </w:rPr>
              <w:instrText xml:space="preserve"> PAGEREF _Toc213749024 \h </w:instrText>
            </w:r>
            <w:r>
              <w:rPr>
                <w:noProof/>
                <w:webHidden/>
              </w:rPr>
            </w:r>
            <w:r>
              <w:rPr>
                <w:noProof/>
                <w:webHidden/>
              </w:rPr>
              <w:fldChar w:fldCharType="separate"/>
            </w:r>
            <w:r w:rsidR="00583AE0">
              <w:rPr>
                <w:noProof/>
                <w:webHidden/>
              </w:rPr>
              <w:t>26</w:t>
            </w:r>
            <w:r>
              <w:rPr>
                <w:noProof/>
                <w:webHidden/>
              </w:rPr>
              <w:fldChar w:fldCharType="end"/>
            </w:r>
          </w:hyperlink>
        </w:p>
        <w:p w14:paraId="4FE4150D" w14:textId="0FEE6CBE" w:rsidR="00A004BB" w:rsidRDefault="00A004BB">
          <w:pPr>
            <w:pStyle w:val="TOC3"/>
            <w:tabs>
              <w:tab w:val="right" w:leader="dot" w:pos="9742"/>
            </w:tabs>
            <w:rPr>
              <w:noProof/>
            </w:rPr>
          </w:pPr>
          <w:hyperlink w:anchor="_Toc213749025" w:history="1">
            <w:r w:rsidRPr="001E4D49">
              <w:rPr>
                <w:rStyle w:val="Hyperlink"/>
                <w:noProof/>
              </w:rPr>
              <w:t>3. Acute rejection, diagnosis and treatment (Guidelines 3.1-3.2.9)</w:t>
            </w:r>
            <w:r>
              <w:rPr>
                <w:noProof/>
                <w:webHidden/>
              </w:rPr>
              <w:tab/>
            </w:r>
            <w:r>
              <w:rPr>
                <w:noProof/>
                <w:webHidden/>
              </w:rPr>
              <w:fldChar w:fldCharType="begin"/>
            </w:r>
            <w:r>
              <w:rPr>
                <w:noProof/>
                <w:webHidden/>
              </w:rPr>
              <w:instrText xml:space="preserve"> PAGEREF _Toc213749025 \h </w:instrText>
            </w:r>
            <w:r>
              <w:rPr>
                <w:noProof/>
                <w:webHidden/>
              </w:rPr>
            </w:r>
            <w:r>
              <w:rPr>
                <w:noProof/>
                <w:webHidden/>
              </w:rPr>
              <w:fldChar w:fldCharType="separate"/>
            </w:r>
            <w:r w:rsidR="00583AE0">
              <w:rPr>
                <w:noProof/>
                <w:webHidden/>
              </w:rPr>
              <w:t>26</w:t>
            </w:r>
            <w:r>
              <w:rPr>
                <w:noProof/>
                <w:webHidden/>
              </w:rPr>
              <w:fldChar w:fldCharType="end"/>
            </w:r>
          </w:hyperlink>
        </w:p>
        <w:p w14:paraId="7C0865D7" w14:textId="6B10D99A" w:rsidR="00A004BB" w:rsidRDefault="00A004BB">
          <w:pPr>
            <w:pStyle w:val="TOC3"/>
            <w:tabs>
              <w:tab w:val="right" w:leader="dot" w:pos="9742"/>
            </w:tabs>
            <w:rPr>
              <w:noProof/>
            </w:rPr>
          </w:pPr>
          <w:hyperlink w:anchor="_Toc213749026" w:history="1">
            <w:r w:rsidRPr="001E4D49">
              <w:rPr>
                <w:rStyle w:val="Hyperlink"/>
                <w:noProof/>
              </w:rPr>
              <w:t>4. Chronic Allograft Injury (Guidelines 4.1 – 4.4)</w:t>
            </w:r>
            <w:r>
              <w:rPr>
                <w:noProof/>
                <w:webHidden/>
              </w:rPr>
              <w:tab/>
            </w:r>
            <w:r>
              <w:rPr>
                <w:noProof/>
                <w:webHidden/>
              </w:rPr>
              <w:fldChar w:fldCharType="begin"/>
            </w:r>
            <w:r>
              <w:rPr>
                <w:noProof/>
                <w:webHidden/>
              </w:rPr>
              <w:instrText xml:space="preserve"> PAGEREF _Toc213749026 \h </w:instrText>
            </w:r>
            <w:r>
              <w:rPr>
                <w:noProof/>
                <w:webHidden/>
              </w:rPr>
            </w:r>
            <w:r>
              <w:rPr>
                <w:noProof/>
                <w:webHidden/>
              </w:rPr>
              <w:fldChar w:fldCharType="separate"/>
            </w:r>
            <w:r w:rsidR="00583AE0">
              <w:rPr>
                <w:noProof/>
                <w:webHidden/>
              </w:rPr>
              <w:t>26</w:t>
            </w:r>
            <w:r>
              <w:rPr>
                <w:noProof/>
                <w:webHidden/>
              </w:rPr>
              <w:fldChar w:fldCharType="end"/>
            </w:r>
          </w:hyperlink>
        </w:p>
        <w:p w14:paraId="6937EC4D" w14:textId="2CF247BB" w:rsidR="00A004BB" w:rsidRDefault="00A004BB">
          <w:pPr>
            <w:pStyle w:val="TOC3"/>
            <w:tabs>
              <w:tab w:val="right" w:leader="dot" w:pos="9742"/>
            </w:tabs>
            <w:rPr>
              <w:noProof/>
            </w:rPr>
          </w:pPr>
          <w:hyperlink w:anchor="_Toc213749027" w:history="1">
            <w:r w:rsidRPr="001E4D49">
              <w:rPr>
                <w:rStyle w:val="Hyperlink"/>
                <w:noProof/>
              </w:rPr>
              <w:t>5. Cardiovascular disease – hypertension, diabetes, cholesterol (including lifestyle and exercise)</w:t>
            </w:r>
            <w:r>
              <w:rPr>
                <w:noProof/>
                <w:webHidden/>
              </w:rPr>
              <w:tab/>
            </w:r>
            <w:r>
              <w:rPr>
                <w:noProof/>
                <w:webHidden/>
              </w:rPr>
              <w:fldChar w:fldCharType="begin"/>
            </w:r>
            <w:r>
              <w:rPr>
                <w:noProof/>
                <w:webHidden/>
              </w:rPr>
              <w:instrText xml:space="preserve"> PAGEREF _Toc213749027 \h </w:instrText>
            </w:r>
            <w:r>
              <w:rPr>
                <w:noProof/>
                <w:webHidden/>
              </w:rPr>
            </w:r>
            <w:r>
              <w:rPr>
                <w:noProof/>
                <w:webHidden/>
              </w:rPr>
              <w:fldChar w:fldCharType="separate"/>
            </w:r>
            <w:r w:rsidR="00583AE0">
              <w:rPr>
                <w:noProof/>
                <w:webHidden/>
              </w:rPr>
              <w:t>27</w:t>
            </w:r>
            <w:r>
              <w:rPr>
                <w:noProof/>
                <w:webHidden/>
              </w:rPr>
              <w:fldChar w:fldCharType="end"/>
            </w:r>
          </w:hyperlink>
        </w:p>
        <w:p w14:paraId="21714846" w14:textId="2E95140D" w:rsidR="00A004BB" w:rsidRDefault="00A004BB">
          <w:pPr>
            <w:pStyle w:val="TOC3"/>
            <w:tabs>
              <w:tab w:val="right" w:leader="dot" w:pos="9742"/>
            </w:tabs>
            <w:rPr>
              <w:noProof/>
            </w:rPr>
          </w:pPr>
          <w:hyperlink w:anchor="_Toc213749028" w:history="1">
            <w:r w:rsidRPr="001E4D49">
              <w:rPr>
                <w:rStyle w:val="Hyperlink"/>
                <w:noProof/>
              </w:rPr>
              <w:t>6. Neoplasia</w:t>
            </w:r>
            <w:r>
              <w:rPr>
                <w:noProof/>
                <w:webHidden/>
              </w:rPr>
              <w:tab/>
            </w:r>
            <w:r>
              <w:rPr>
                <w:noProof/>
                <w:webHidden/>
              </w:rPr>
              <w:fldChar w:fldCharType="begin"/>
            </w:r>
            <w:r>
              <w:rPr>
                <w:noProof/>
                <w:webHidden/>
              </w:rPr>
              <w:instrText xml:space="preserve"> PAGEREF _Toc213749028 \h </w:instrText>
            </w:r>
            <w:r>
              <w:rPr>
                <w:noProof/>
                <w:webHidden/>
              </w:rPr>
            </w:r>
            <w:r>
              <w:rPr>
                <w:noProof/>
                <w:webHidden/>
              </w:rPr>
              <w:fldChar w:fldCharType="separate"/>
            </w:r>
            <w:r w:rsidR="00583AE0">
              <w:rPr>
                <w:noProof/>
                <w:webHidden/>
              </w:rPr>
              <w:t>28</w:t>
            </w:r>
            <w:r>
              <w:rPr>
                <w:noProof/>
                <w:webHidden/>
              </w:rPr>
              <w:fldChar w:fldCharType="end"/>
            </w:r>
          </w:hyperlink>
        </w:p>
        <w:p w14:paraId="11EE7A67" w14:textId="7BE7FADF" w:rsidR="00A004BB" w:rsidRDefault="00A004BB">
          <w:pPr>
            <w:pStyle w:val="TOC3"/>
            <w:tabs>
              <w:tab w:val="right" w:leader="dot" w:pos="9742"/>
            </w:tabs>
            <w:rPr>
              <w:noProof/>
            </w:rPr>
          </w:pPr>
          <w:hyperlink w:anchor="_Toc213749029" w:history="1">
            <w:r w:rsidRPr="001E4D49">
              <w:rPr>
                <w:rStyle w:val="Hyperlink"/>
                <w:noProof/>
              </w:rPr>
              <w:t>8. Kidney Transplant Recipient (KTR): Infection Complications (Guidelines 8.1-8.7)</w:t>
            </w:r>
            <w:r>
              <w:rPr>
                <w:noProof/>
                <w:webHidden/>
              </w:rPr>
              <w:tab/>
            </w:r>
            <w:r>
              <w:rPr>
                <w:noProof/>
                <w:webHidden/>
              </w:rPr>
              <w:fldChar w:fldCharType="begin"/>
            </w:r>
            <w:r>
              <w:rPr>
                <w:noProof/>
                <w:webHidden/>
              </w:rPr>
              <w:instrText xml:space="preserve"> PAGEREF _Toc213749029 \h </w:instrText>
            </w:r>
            <w:r>
              <w:rPr>
                <w:noProof/>
                <w:webHidden/>
              </w:rPr>
            </w:r>
            <w:r>
              <w:rPr>
                <w:noProof/>
                <w:webHidden/>
              </w:rPr>
              <w:fldChar w:fldCharType="separate"/>
            </w:r>
            <w:r w:rsidR="00583AE0">
              <w:rPr>
                <w:noProof/>
                <w:webHidden/>
              </w:rPr>
              <w:t>28</w:t>
            </w:r>
            <w:r>
              <w:rPr>
                <w:noProof/>
                <w:webHidden/>
              </w:rPr>
              <w:fldChar w:fldCharType="end"/>
            </w:r>
          </w:hyperlink>
        </w:p>
        <w:p w14:paraId="04DA7426" w14:textId="24F516F1" w:rsidR="00A004BB" w:rsidRDefault="00A004BB">
          <w:pPr>
            <w:pStyle w:val="TOC3"/>
            <w:tabs>
              <w:tab w:val="right" w:leader="dot" w:pos="9742"/>
            </w:tabs>
            <w:rPr>
              <w:noProof/>
            </w:rPr>
          </w:pPr>
          <w:hyperlink w:anchor="_Toc213749030" w:history="1">
            <w:r w:rsidRPr="001E4D49">
              <w:rPr>
                <w:rStyle w:val="Hyperlink"/>
                <w:noProof/>
              </w:rPr>
              <w:t>9. Kidney Transplant Recipient (KTR): Bone and Joint disease (Guidelines 9.1-8.7)</w:t>
            </w:r>
            <w:r>
              <w:rPr>
                <w:noProof/>
                <w:webHidden/>
              </w:rPr>
              <w:tab/>
            </w:r>
            <w:r>
              <w:rPr>
                <w:noProof/>
                <w:webHidden/>
              </w:rPr>
              <w:fldChar w:fldCharType="begin"/>
            </w:r>
            <w:r>
              <w:rPr>
                <w:noProof/>
                <w:webHidden/>
              </w:rPr>
              <w:instrText xml:space="preserve"> PAGEREF _Toc213749030 \h </w:instrText>
            </w:r>
            <w:r>
              <w:rPr>
                <w:noProof/>
                <w:webHidden/>
              </w:rPr>
            </w:r>
            <w:r>
              <w:rPr>
                <w:noProof/>
                <w:webHidden/>
              </w:rPr>
              <w:fldChar w:fldCharType="separate"/>
            </w:r>
            <w:r w:rsidR="00583AE0">
              <w:rPr>
                <w:noProof/>
                <w:webHidden/>
              </w:rPr>
              <w:t>29</w:t>
            </w:r>
            <w:r>
              <w:rPr>
                <w:noProof/>
                <w:webHidden/>
              </w:rPr>
              <w:fldChar w:fldCharType="end"/>
            </w:r>
          </w:hyperlink>
        </w:p>
        <w:p w14:paraId="4BA68828" w14:textId="535A7857" w:rsidR="00A004BB" w:rsidRDefault="00A004BB">
          <w:pPr>
            <w:pStyle w:val="TOC3"/>
            <w:tabs>
              <w:tab w:val="right" w:leader="dot" w:pos="9742"/>
            </w:tabs>
            <w:rPr>
              <w:noProof/>
            </w:rPr>
          </w:pPr>
          <w:hyperlink w:anchor="_Toc213749031" w:history="1">
            <w:r w:rsidRPr="001E4D49">
              <w:rPr>
                <w:rStyle w:val="Hyperlink"/>
                <w:noProof/>
              </w:rPr>
              <w:t>10. Kidney Transplant – Haematological complications</w:t>
            </w:r>
            <w:r>
              <w:rPr>
                <w:noProof/>
                <w:webHidden/>
              </w:rPr>
              <w:tab/>
            </w:r>
            <w:r>
              <w:rPr>
                <w:noProof/>
                <w:webHidden/>
              </w:rPr>
              <w:fldChar w:fldCharType="begin"/>
            </w:r>
            <w:r>
              <w:rPr>
                <w:noProof/>
                <w:webHidden/>
              </w:rPr>
              <w:instrText xml:space="preserve"> PAGEREF _Toc213749031 \h </w:instrText>
            </w:r>
            <w:r>
              <w:rPr>
                <w:noProof/>
                <w:webHidden/>
              </w:rPr>
            </w:r>
            <w:r>
              <w:rPr>
                <w:noProof/>
                <w:webHidden/>
              </w:rPr>
              <w:fldChar w:fldCharType="separate"/>
            </w:r>
            <w:r w:rsidR="00583AE0">
              <w:rPr>
                <w:noProof/>
                <w:webHidden/>
              </w:rPr>
              <w:t>29</w:t>
            </w:r>
            <w:r>
              <w:rPr>
                <w:noProof/>
                <w:webHidden/>
              </w:rPr>
              <w:fldChar w:fldCharType="end"/>
            </w:r>
          </w:hyperlink>
        </w:p>
        <w:p w14:paraId="4EC242C4" w14:textId="24508181" w:rsidR="00A004BB" w:rsidRDefault="00A004BB">
          <w:pPr>
            <w:pStyle w:val="TOC3"/>
            <w:tabs>
              <w:tab w:val="right" w:leader="dot" w:pos="9742"/>
            </w:tabs>
            <w:rPr>
              <w:noProof/>
            </w:rPr>
          </w:pPr>
          <w:hyperlink w:anchor="_Toc213749032" w:history="1">
            <w:r w:rsidRPr="001E4D49">
              <w:rPr>
                <w:rStyle w:val="Hyperlink"/>
                <w:noProof/>
              </w:rPr>
              <w:t>11. Reproductive issues and sexual function in the renal transplant recipient</w:t>
            </w:r>
            <w:r>
              <w:rPr>
                <w:noProof/>
                <w:webHidden/>
              </w:rPr>
              <w:tab/>
            </w:r>
            <w:r>
              <w:rPr>
                <w:noProof/>
                <w:webHidden/>
              </w:rPr>
              <w:fldChar w:fldCharType="begin"/>
            </w:r>
            <w:r>
              <w:rPr>
                <w:noProof/>
                <w:webHidden/>
              </w:rPr>
              <w:instrText xml:space="preserve"> PAGEREF _Toc213749032 \h </w:instrText>
            </w:r>
            <w:r>
              <w:rPr>
                <w:noProof/>
                <w:webHidden/>
              </w:rPr>
            </w:r>
            <w:r>
              <w:rPr>
                <w:noProof/>
                <w:webHidden/>
              </w:rPr>
              <w:fldChar w:fldCharType="separate"/>
            </w:r>
            <w:r w:rsidR="00583AE0">
              <w:rPr>
                <w:noProof/>
                <w:webHidden/>
              </w:rPr>
              <w:t>29</w:t>
            </w:r>
            <w:r>
              <w:rPr>
                <w:noProof/>
                <w:webHidden/>
              </w:rPr>
              <w:fldChar w:fldCharType="end"/>
            </w:r>
          </w:hyperlink>
        </w:p>
        <w:p w14:paraId="0D884A0C" w14:textId="3D0451F3" w:rsidR="00A004BB" w:rsidRDefault="00A004BB">
          <w:pPr>
            <w:pStyle w:val="TOC1"/>
            <w:tabs>
              <w:tab w:val="right" w:leader="dot" w:pos="9742"/>
            </w:tabs>
            <w:rPr>
              <w:rFonts w:eastAsiaTheme="minorEastAsia"/>
              <w:noProof/>
              <w:kern w:val="2"/>
              <w:lang w:eastAsia="en-GB"/>
            </w:rPr>
          </w:pPr>
          <w:hyperlink w:anchor="_Toc213749033" w:history="1">
            <w:r w:rsidRPr="001E4D49">
              <w:rPr>
                <w:rStyle w:val="Hyperlink"/>
                <w:noProof/>
              </w:rPr>
              <w:t>Rationale for Clinical Practice Guidelines</w:t>
            </w:r>
            <w:r>
              <w:rPr>
                <w:noProof/>
                <w:webHidden/>
              </w:rPr>
              <w:tab/>
            </w:r>
            <w:r>
              <w:rPr>
                <w:noProof/>
                <w:webHidden/>
              </w:rPr>
              <w:fldChar w:fldCharType="begin"/>
            </w:r>
            <w:r>
              <w:rPr>
                <w:noProof/>
                <w:webHidden/>
              </w:rPr>
              <w:instrText xml:space="preserve"> PAGEREF _Toc213749033 \h </w:instrText>
            </w:r>
            <w:r>
              <w:rPr>
                <w:noProof/>
                <w:webHidden/>
              </w:rPr>
            </w:r>
            <w:r>
              <w:rPr>
                <w:noProof/>
                <w:webHidden/>
              </w:rPr>
              <w:fldChar w:fldCharType="separate"/>
            </w:r>
            <w:r w:rsidR="00583AE0">
              <w:rPr>
                <w:noProof/>
                <w:webHidden/>
              </w:rPr>
              <w:t>30</w:t>
            </w:r>
            <w:r>
              <w:rPr>
                <w:noProof/>
                <w:webHidden/>
              </w:rPr>
              <w:fldChar w:fldCharType="end"/>
            </w:r>
          </w:hyperlink>
        </w:p>
        <w:p w14:paraId="408D76F7" w14:textId="7436FF28" w:rsidR="00A004BB" w:rsidRDefault="00A004BB">
          <w:pPr>
            <w:pStyle w:val="TOC3"/>
            <w:tabs>
              <w:tab w:val="right" w:leader="dot" w:pos="9742"/>
            </w:tabs>
            <w:rPr>
              <w:noProof/>
            </w:rPr>
          </w:pPr>
          <w:hyperlink w:anchor="_Toc213749034" w:history="1">
            <w:r w:rsidRPr="001E4D49">
              <w:rPr>
                <w:rStyle w:val="Hyperlink"/>
                <w:noProof/>
              </w:rPr>
              <w:t>1. Kidney Transplant Recipient (KTR): Organisation of Outpatient Follow-up (Guidelines 1.1-1.4)</w:t>
            </w:r>
            <w:r>
              <w:rPr>
                <w:noProof/>
                <w:webHidden/>
              </w:rPr>
              <w:tab/>
            </w:r>
            <w:r>
              <w:rPr>
                <w:noProof/>
                <w:webHidden/>
              </w:rPr>
              <w:fldChar w:fldCharType="begin"/>
            </w:r>
            <w:r>
              <w:rPr>
                <w:noProof/>
                <w:webHidden/>
              </w:rPr>
              <w:instrText xml:space="preserve"> PAGEREF _Toc213749034 \h </w:instrText>
            </w:r>
            <w:r>
              <w:rPr>
                <w:noProof/>
                <w:webHidden/>
              </w:rPr>
            </w:r>
            <w:r>
              <w:rPr>
                <w:noProof/>
                <w:webHidden/>
              </w:rPr>
              <w:fldChar w:fldCharType="separate"/>
            </w:r>
            <w:r w:rsidR="00583AE0">
              <w:rPr>
                <w:noProof/>
                <w:webHidden/>
              </w:rPr>
              <w:t>30</w:t>
            </w:r>
            <w:r>
              <w:rPr>
                <w:noProof/>
                <w:webHidden/>
              </w:rPr>
              <w:fldChar w:fldCharType="end"/>
            </w:r>
          </w:hyperlink>
        </w:p>
        <w:p w14:paraId="0E19BBF3" w14:textId="59541FCD" w:rsidR="00A004BB" w:rsidRDefault="00A004BB">
          <w:pPr>
            <w:pStyle w:val="TOC3"/>
            <w:tabs>
              <w:tab w:val="right" w:leader="dot" w:pos="9742"/>
            </w:tabs>
            <w:rPr>
              <w:noProof/>
            </w:rPr>
          </w:pPr>
          <w:hyperlink w:anchor="_Toc213749035" w:history="1">
            <w:r w:rsidRPr="001E4D49">
              <w:rPr>
                <w:rStyle w:val="Hyperlink"/>
                <w:noProof/>
              </w:rPr>
              <w:t>2. Immunosuppression with non-adherence (Guidelines 2.1-2.6.4)</w:t>
            </w:r>
            <w:r>
              <w:rPr>
                <w:noProof/>
                <w:webHidden/>
              </w:rPr>
              <w:tab/>
            </w:r>
            <w:r>
              <w:rPr>
                <w:noProof/>
                <w:webHidden/>
              </w:rPr>
              <w:fldChar w:fldCharType="begin"/>
            </w:r>
            <w:r>
              <w:rPr>
                <w:noProof/>
                <w:webHidden/>
              </w:rPr>
              <w:instrText xml:space="preserve"> PAGEREF _Toc213749035 \h </w:instrText>
            </w:r>
            <w:r>
              <w:rPr>
                <w:noProof/>
                <w:webHidden/>
              </w:rPr>
            </w:r>
            <w:r>
              <w:rPr>
                <w:noProof/>
                <w:webHidden/>
              </w:rPr>
              <w:fldChar w:fldCharType="separate"/>
            </w:r>
            <w:r w:rsidR="00583AE0">
              <w:rPr>
                <w:noProof/>
                <w:webHidden/>
              </w:rPr>
              <w:t>30</w:t>
            </w:r>
            <w:r>
              <w:rPr>
                <w:noProof/>
                <w:webHidden/>
              </w:rPr>
              <w:fldChar w:fldCharType="end"/>
            </w:r>
          </w:hyperlink>
        </w:p>
        <w:p w14:paraId="0C4C0111" w14:textId="775E766B" w:rsidR="00A004BB" w:rsidRDefault="00A004BB">
          <w:pPr>
            <w:pStyle w:val="TOC3"/>
            <w:tabs>
              <w:tab w:val="right" w:leader="dot" w:pos="9742"/>
            </w:tabs>
            <w:rPr>
              <w:noProof/>
            </w:rPr>
          </w:pPr>
          <w:hyperlink w:anchor="_Toc213749036" w:history="1">
            <w:r w:rsidRPr="001E4D49">
              <w:rPr>
                <w:rStyle w:val="Hyperlink"/>
                <w:noProof/>
              </w:rPr>
              <w:t>3. Acute rejection, diagnosis and treatment (Guidelines 3.1-3.6)</w:t>
            </w:r>
            <w:r>
              <w:rPr>
                <w:noProof/>
                <w:webHidden/>
              </w:rPr>
              <w:tab/>
            </w:r>
            <w:r>
              <w:rPr>
                <w:noProof/>
                <w:webHidden/>
              </w:rPr>
              <w:fldChar w:fldCharType="begin"/>
            </w:r>
            <w:r>
              <w:rPr>
                <w:noProof/>
                <w:webHidden/>
              </w:rPr>
              <w:instrText xml:space="preserve"> PAGEREF _Toc213749036 \h </w:instrText>
            </w:r>
            <w:r>
              <w:rPr>
                <w:noProof/>
                <w:webHidden/>
              </w:rPr>
            </w:r>
            <w:r>
              <w:rPr>
                <w:noProof/>
                <w:webHidden/>
              </w:rPr>
              <w:fldChar w:fldCharType="separate"/>
            </w:r>
            <w:r w:rsidR="00583AE0">
              <w:rPr>
                <w:noProof/>
                <w:webHidden/>
              </w:rPr>
              <w:t>36</w:t>
            </w:r>
            <w:r>
              <w:rPr>
                <w:noProof/>
                <w:webHidden/>
              </w:rPr>
              <w:fldChar w:fldCharType="end"/>
            </w:r>
          </w:hyperlink>
        </w:p>
        <w:p w14:paraId="5AD1ADF5" w14:textId="24956A6E" w:rsidR="00A004BB" w:rsidRDefault="00A004BB">
          <w:pPr>
            <w:pStyle w:val="TOC3"/>
            <w:tabs>
              <w:tab w:val="right" w:leader="dot" w:pos="9742"/>
            </w:tabs>
            <w:rPr>
              <w:noProof/>
            </w:rPr>
          </w:pPr>
          <w:hyperlink w:anchor="_Toc213749037" w:history="1">
            <w:r w:rsidRPr="001E4D49">
              <w:rPr>
                <w:rStyle w:val="Hyperlink"/>
                <w:noProof/>
              </w:rPr>
              <w:t>4. Chronic Allograft Injury (Guidelines 4.1 – 4.4)</w:t>
            </w:r>
            <w:r>
              <w:rPr>
                <w:noProof/>
                <w:webHidden/>
              </w:rPr>
              <w:tab/>
            </w:r>
            <w:r>
              <w:rPr>
                <w:noProof/>
                <w:webHidden/>
              </w:rPr>
              <w:fldChar w:fldCharType="begin"/>
            </w:r>
            <w:r>
              <w:rPr>
                <w:noProof/>
                <w:webHidden/>
              </w:rPr>
              <w:instrText xml:space="preserve"> PAGEREF _Toc213749037 \h </w:instrText>
            </w:r>
            <w:r>
              <w:rPr>
                <w:noProof/>
                <w:webHidden/>
              </w:rPr>
            </w:r>
            <w:r>
              <w:rPr>
                <w:noProof/>
                <w:webHidden/>
              </w:rPr>
              <w:fldChar w:fldCharType="separate"/>
            </w:r>
            <w:r w:rsidR="00583AE0">
              <w:rPr>
                <w:noProof/>
                <w:webHidden/>
              </w:rPr>
              <w:t>47</w:t>
            </w:r>
            <w:r>
              <w:rPr>
                <w:noProof/>
                <w:webHidden/>
              </w:rPr>
              <w:fldChar w:fldCharType="end"/>
            </w:r>
          </w:hyperlink>
        </w:p>
        <w:p w14:paraId="390B8677" w14:textId="6C55B48E" w:rsidR="00A004BB" w:rsidRDefault="00A004BB">
          <w:pPr>
            <w:pStyle w:val="TOC3"/>
            <w:tabs>
              <w:tab w:val="right" w:leader="dot" w:pos="9742"/>
            </w:tabs>
            <w:rPr>
              <w:noProof/>
            </w:rPr>
          </w:pPr>
          <w:hyperlink w:anchor="_Toc213749038" w:history="1">
            <w:r w:rsidRPr="001E4D49">
              <w:rPr>
                <w:rStyle w:val="Hyperlink"/>
                <w:noProof/>
              </w:rPr>
              <w:t>5. Cardiovascular disease - hypertension, diabetes, cholesterol (including lifestyle and exercise)</w:t>
            </w:r>
            <w:r>
              <w:rPr>
                <w:noProof/>
                <w:webHidden/>
              </w:rPr>
              <w:tab/>
            </w:r>
            <w:r>
              <w:rPr>
                <w:noProof/>
                <w:webHidden/>
              </w:rPr>
              <w:fldChar w:fldCharType="begin"/>
            </w:r>
            <w:r>
              <w:rPr>
                <w:noProof/>
                <w:webHidden/>
              </w:rPr>
              <w:instrText xml:space="preserve"> PAGEREF _Toc213749038 \h </w:instrText>
            </w:r>
            <w:r>
              <w:rPr>
                <w:noProof/>
                <w:webHidden/>
              </w:rPr>
            </w:r>
            <w:r>
              <w:rPr>
                <w:noProof/>
                <w:webHidden/>
              </w:rPr>
              <w:fldChar w:fldCharType="separate"/>
            </w:r>
            <w:r w:rsidR="00583AE0">
              <w:rPr>
                <w:noProof/>
                <w:webHidden/>
              </w:rPr>
              <w:t>51</w:t>
            </w:r>
            <w:r>
              <w:rPr>
                <w:noProof/>
                <w:webHidden/>
              </w:rPr>
              <w:fldChar w:fldCharType="end"/>
            </w:r>
          </w:hyperlink>
        </w:p>
        <w:p w14:paraId="0A3263BE" w14:textId="30D7FE0D" w:rsidR="00A004BB" w:rsidRDefault="00A004BB">
          <w:pPr>
            <w:pStyle w:val="TOC3"/>
            <w:tabs>
              <w:tab w:val="right" w:leader="dot" w:pos="9742"/>
            </w:tabs>
            <w:rPr>
              <w:noProof/>
            </w:rPr>
          </w:pPr>
          <w:hyperlink w:anchor="_Toc213749039" w:history="1">
            <w:r w:rsidRPr="001E4D49">
              <w:rPr>
                <w:rStyle w:val="Hyperlink"/>
                <w:noProof/>
              </w:rPr>
              <w:t>6. Neoplasia</w:t>
            </w:r>
            <w:r>
              <w:rPr>
                <w:noProof/>
                <w:webHidden/>
              </w:rPr>
              <w:tab/>
            </w:r>
            <w:r>
              <w:rPr>
                <w:noProof/>
                <w:webHidden/>
              </w:rPr>
              <w:fldChar w:fldCharType="begin"/>
            </w:r>
            <w:r>
              <w:rPr>
                <w:noProof/>
                <w:webHidden/>
              </w:rPr>
              <w:instrText xml:space="preserve"> PAGEREF _Toc213749039 \h </w:instrText>
            </w:r>
            <w:r>
              <w:rPr>
                <w:noProof/>
                <w:webHidden/>
              </w:rPr>
            </w:r>
            <w:r>
              <w:rPr>
                <w:noProof/>
                <w:webHidden/>
              </w:rPr>
              <w:fldChar w:fldCharType="separate"/>
            </w:r>
            <w:r w:rsidR="00583AE0">
              <w:rPr>
                <w:noProof/>
                <w:webHidden/>
              </w:rPr>
              <w:t>63</w:t>
            </w:r>
            <w:r>
              <w:rPr>
                <w:noProof/>
                <w:webHidden/>
              </w:rPr>
              <w:fldChar w:fldCharType="end"/>
            </w:r>
          </w:hyperlink>
        </w:p>
        <w:p w14:paraId="4A2921B3" w14:textId="45F19948" w:rsidR="00A004BB" w:rsidRDefault="00A004BB">
          <w:pPr>
            <w:pStyle w:val="TOC3"/>
            <w:tabs>
              <w:tab w:val="right" w:leader="dot" w:pos="9742"/>
            </w:tabs>
            <w:rPr>
              <w:noProof/>
            </w:rPr>
          </w:pPr>
          <w:hyperlink w:anchor="_Toc213749040" w:history="1">
            <w:r w:rsidRPr="001E4D49">
              <w:rPr>
                <w:rStyle w:val="Hyperlink"/>
                <w:noProof/>
              </w:rPr>
              <w:t>8. Kidney Transplant Recipient (KTR): Infection Complications (Guidelines 8.1-8.7)</w:t>
            </w:r>
            <w:r>
              <w:rPr>
                <w:noProof/>
                <w:webHidden/>
              </w:rPr>
              <w:tab/>
            </w:r>
            <w:r>
              <w:rPr>
                <w:noProof/>
                <w:webHidden/>
              </w:rPr>
              <w:fldChar w:fldCharType="begin"/>
            </w:r>
            <w:r>
              <w:rPr>
                <w:noProof/>
                <w:webHidden/>
              </w:rPr>
              <w:instrText xml:space="preserve"> PAGEREF _Toc213749040 \h </w:instrText>
            </w:r>
            <w:r>
              <w:rPr>
                <w:noProof/>
                <w:webHidden/>
              </w:rPr>
            </w:r>
            <w:r>
              <w:rPr>
                <w:noProof/>
                <w:webHidden/>
              </w:rPr>
              <w:fldChar w:fldCharType="separate"/>
            </w:r>
            <w:r w:rsidR="00583AE0">
              <w:rPr>
                <w:noProof/>
                <w:webHidden/>
              </w:rPr>
              <w:t>66</w:t>
            </w:r>
            <w:r>
              <w:rPr>
                <w:noProof/>
                <w:webHidden/>
              </w:rPr>
              <w:fldChar w:fldCharType="end"/>
            </w:r>
          </w:hyperlink>
        </w:p>
        <w:p w14:paraId="26FEBA47" w14:textId="27BEB506" w:rsidR="00A004BB" w:rsidRDefault="00A004BB">
          <w:pPr>
            <w:pStyle w:val="TOC3"/>
            <w:tabs>
              <w:tab w:val="right" w:leader="dot" w:pos="9742"/>
            </w:tabs>
            <w:rPr>
              <w:noProof/>
            </w:rPr>
          </w:pPr>
          <w:hyperlink w:anchor="_Toc213749041" w:history="1">
            <w:r w:rsidRPr="001E4D49">
              <w:rPr>
                <w:rStyle w:val="Hyperlink"/>
                <w:noProof/>
              </w:rPr>
              <w:t>9. Kidney Transplant Recipient (KTR): Bone and Joint disease (Guidelines 9.1-8.7)</w:t>
            </w:r>
            <w:r>
              <w:rPr>
                <w:noProof/>
                <w:webHidden/>
              </w:rPr>
              <w:tab/>
            </w:r>
            <w:r>
              <w:rPr>
                <w:noProof/>
                <w:webHidden/>
              </w:rPr>
              <w:fldChar w:fldCharType="begin"/>
            </w:r>
            <w:r>
              <w:rPr>
                <w:noProof/>
                <w:webHidden/>
              </w:rPr>
              <w:instrText xml:space="preserve"> PAGEREF _Toc213749041 \h </w:instrText>
            </w:r>
            <w:r>
              <w:rPr>
                <w:noProof/>
                <w:webHidden/>
              </w:rPr>
            </w:r>
            <w:r>
              <w:rPr>
                <w:noProof/>
                <w:webHidden/>
              </w:rPr>
              <w:fldChar w:fldCharType="separate"/>
            </w:r>
            <w:r w:rsidR="00583AE0">
              <w:rPr>
                <w:noProof/>
                <w:webHidden/>
              </w:rPr>
              <w:t>76</w:t>
            </w:r>
            <w:r>
              <w:rPr>
                <w:noProof/>
                <w:webHidden/>
              </w:rPr>
              <w:fldChar w:fldCharType="end"/>
            </w:r>
          </w:hyperlink>
        </w:p>
        <w:p w14:paraId="153CFF00" w14:textId="05880AB6" w:rsidR="00A004BB" w:rsidRDefault="00A004BB">
          <w:pPr>
            <w:pStyle w:val="TOC3"/>
            <w:tabs>
              <w:tab w:val="right" w:leader="dot" w:pos="9742"/>
            </w:tabs>
            <w:rPr>
              <w:noProof/>
            </w:rPr>
          </w:pPr>
          <w:hyperlink w:anchor="_Toc213749042" w:history="1">
            <w:r w:rsidRPr="001E4D49">
              <w:rPr>
                <w:rStyle w:val="Hyperlink"/>
                <w:noProof/>
              </w:rPr>
              <w:t>10. Kidney Transplant – Haematological complications</w:t>
            </w:r>
            <w:r>
              <w:rPr>
                <w:noProof/>
                <w:webHidden/>
              </w:rPr>
              <w:tab/>
            </w:r>
            <w:r>
              <w:rPr>
                <w:noProof/>
                <w:webHidden/>
              </w:rPr>
              <w:fldChar w:fldCharType="begin"/>
            </w:r>
            <w:r>
              <w:rPr>
                <w:noProof/>
                <w:webHidden/>
              </w:rPr>
              <w:instrText xml:space="preserve"> PAGEREF _Toc213749042 \h </w:instrText>
            </w:r>
            <w:r>
              <w:rPr>
                <w:noProof/>
                <w:webHidden/>
              </w:rPr>
            </w:r>
            <w:r>
              <w:rPr>
                <w:noProof/>
                <w:webHidden/>
              </w:rPr>
              <w:fldChar w:fldCharType="separate"/>
            </w:r>
            <w:r w:rsidR="00583AE0">
              <w:rPr>
                <w:noProof/>
                <w:webHidden/>
              </w:rPr>
              <w:t>79</w:t>
            </w:r>
            <w:r>
              <w:rPr>
                <w:noProof/>
                <w:webHidden/>
              </w:rPr>
              <w:fldChar w:fldCharType="end"/>
            </w:r>
          </w:hyperlink>
        </w:p>
        <w:p w14:paraId="600F683B" w14:textId="3940B21F" w:rsidR="00A004BB" w:rsidRDefault="00A004BB">
          <w:pPr>
            <w:pStyle w:val="TOC3"/>
            <w:tabs>
              <w:tab w:val="right" w:leader="dot" w:pos="9742"/>
            </w:tabs>
            <w:rPr>
              <w:noProof/>
            </w:rPr>
          </w:pPr>
          <w:hyperlink w:anchor="_Toc213749043" w:history="1">
            <w:r w:rsidRPr="001E4D49">
              <w:rPr>
                <w:rStyle w:val="Hyperlink"/>
                <w:noProof/>
              </w:rPr>
              <w:t>11. Reproductive issues and sexual function in the renal transplant recipient</w:t>
            </w:r>
            <w:r>
              <w:rPr>
                <w:noProof/>
                <w:webHidden/>
              </w:rPr>
              <w:tab/>
            </w:r>
            <w:r>
              <w:rPr>
                <w:noProof/>
                <w:webHidden/>
              </w:rPr>
              <w:fldChar w:fldCharType="begin"/>
            </w:r>
            <w:r>
              <w:rPr>
                <w:noProof/>
                <w:webHidden/>
              </w:rPr>
              <w:instrText xml:space="preserve"> PAGEREF _Toc213749043 \h </w:instrText>
            </w:r>
            <w:r>
              <w:rPr>
                <w:noProof/>
                <w:webHidden/>
              </w:rPr>
            </w:r>
            <w:r>
              <w:rPr>
                <w:noProof/>
                <w:webHidden/>
              </w:rPr>
              <w:fldChar w:fldCharType="separate"/>
            </w:r>
            <w:r w:rsidR="00583AE0">
              <w:rPr>
                <w:noProof/>
                <w:webHidden/>
              </w:rPr>
              <w:t>82</w:t>
            </w:r>
            <w:r>
              <w:rPr>
                <w:noProof/>
                <w:webHidden/>
              </w:rPr>
              <w:fldChar w:fldCharType="end"/>
            </w:r>
          </w:hyperlink>
        </w:p>
        <w:p w14:paraId="4A1E9957" w14:textId="4F31742F" w:rsidR="00A004BB" w:rsidRDefault="00A004BB">
          <w:pPr>
            <w:pStyle w:val="TOC1"/>
            <w:tabs>
              <w:tab w:val="right" w:leader="dot" w:pos="9742"/>
            </w:tabs>
            <w:rPr>
              <w:rFonts w:eastAsiaTheme="minorEastAsia"/>
              <w:noProof/>
              <w:kern w:val="2"/>
              <w:lang w:eastAsia="en-GB"/>
            </w:rPr>
          </w:pPr>
          <w:hyperlink w:anchor="_Toc213749044" w:history="1">
            <w:r w:rsidRPr="001E4D49">
              <w:rPr>
                <w:rStyle w:val="Hyperlink"/>
                <w:noProof/>
              </w:rPr>
              <w:t>References</w:t>
            </w:r>
            <w:r>
              <w:rPr>
                <w:noProof/>
                <w:webHidden/>
              </w:rPr>
              <w:tab/>
            </w:r>
            <w:r>
              <w:rPr>
                <w:noProof/>
                <w:webHidden/>
              </w:rPr>
              <w:fldChar w:fldCharType="begin"/>
            </w:r>
            <w:r>
              <w:rPr>
                <w:noProof/>
                <w:webHidden/>
              </w:rPr>
              <w:instrText xml:space="preserve"> PAGEREF _Toc213749044 \h </w:instrText>
            </w:r>
            <w:r>
              <w:rPr>
                <w:noProof/>
                <w:webHidden/>
              </w:rPr>
            </w:r>
            <w:r>
              <w:rPr>
                <w:noProof/>
                <w:webHidden/>
              </w:rPr>
              <w:fldChar w:fldCharType="separate"/>
            </w:r>
            <w:r w:rsidR="00583AE0">
              <w:rPr>
                <w:noProof/>
                <w:webHidden/>
              </w:rPr>
              <w:t>86</w:t>
            </w:r>
            <w:r>
              <w:rPr>
                <w:noProof/>
                <w:webHidden/>
              </w:rPr>
              <w:fldChar w:fldCharType="end"/>
            </w:r>
          </w:hyperlink>
        </w:p>
        <w:p w14:paraId="22EC9CA0" w14:textId="66F8DF18" w:rsidR="00A004BB" w:rsidRDefault="00A004BB">
          <w:r>
            <w:rPr>
              <w:b/>
              <w:bCs/>
              <w:noProof/>
            </w:rPr>
            <w:fldChar w:fldCharType="end"/>
          </w:r>
        </w:p>
      </w:sdtContent>
    </w:sdt>
    <w:p w14:paraId="570888DF" w14:textId="77777777" w:rsidR="00076320" w:rsidRDefault="00076320" w:rsidP="00076320">
      <w:pPr>
        <w:rPr>
          <w:rFonts w:eastAsia="Arial Unicode MS" w:cstheme="minorHAnsi"/>
          <w:b/>
        </w:rPr>
      </w:pPr>
    </w:p>
    <w:p w14:paraId="7D77CA72" w14:textId="77777777" w:rsidR="00076320" w:rsidRPr="00856A0B" w:rsidRDefault="00076320" w:rsidP="00306FF4">
      <w:pPr>
        <w:pStyle w:val="GuidelineHeading2"/>
      </w:pPr>
      <w:r>
        <w:br w:type="page"/>
      </w:r>
    </w:p>
    <w:p w14:paraId="779E65C8" w14:textId="77777777" w:rsidR="00076320" w:rsidRPr="00214185" w:rsidRDefault="00076320" w:rsidP="00997326">
      <w:pPr>
        <w:pStyle w:val="Guidelineheading1NoLevel"/>
      </w:pPr>
      <w:r w:rsidRPr="00B5757D">
        <w:lastRenderedPageBreak/>
        <w:t>Introduction</w:t>
      </w:r>
    </w:p>
    <w:p w14:paraId="51B093CD" w14:textId="18C9104D" w:rsidR="00AA5E34" w:rsidRDefault="00AA5E34" w:rsidP="00AA5E34">
      <w:r>
        <w:t xml:space="preserve">Care for patients after kidney transplantation is aimed at preserving the allograft function with appropriate immunosuppression while preventing infection, cancer and cardiovascular and other complications. This care is increasing delivered by a multidisciplinary team. The team require specialist knowledge due to the unique needs of the kidney transplant recipient with their elevated risk of infection, cardiovascular disease, cancer, drug interactions, bone disease, haematological and reproductive complications.  </w:t>
      </w:r>
    </w:p>
    <w:p w14:paraId="20E56B2A" w14:textId="7EE619EF" w:rsidR="00AA5E34" w:rsidRDefault="00AA5E34" w:rsidP="00AA5E34">
      <w:r>
        <w:t xml:space="preserve">This guidance is for all healthcare professionals including transplant physicians, transplant surgeons, specialist nurses, pharmacists, </w:t>
      </w:r>
      <w:r w:rsidR="4FE9086A">
        <w:t>dietitian</w:t>
      </w:r>
      <w:r>
        <w:t xml:space="preserve">s, physiotherapists, hospital internists and community practitioners. Patients, healthcare managers and policy makers will also find it beneficial.  </w:t>
      </w:r>
    </w:p>
    <w:p w14:paraId="4F3620B0" w14:textId="5C7DEA25" w:rsidR="00AA5E34" w:rsidRDefault="00AA5E34" w:rsidP="00AA5E34">
      <w:r>
        <w:t xml:space="preserve">The aim of the guidance is to provide evidence-based guidance on optimal maintenance immunosuppression, treatment of rejection, prevention and treatment of cardiovascular disease, infection, malignancy, bone disease, blood disease and reproductive issues. The evidence was assessed modified GRADE system by a team including adult and paediatric transplant physicians, surgeons, pharmacists, nurses, </w:t>
      </w:r>
      <w:r w:rsidR="6B11CAD2">
        <w:t>dietitian</w:t>
      </w:r>
      <w:r>
        <w:t xml:space="preserve">s, physiotherapists and patients.  </w:t>
      </w:r>
    </w:p>
    <w:p w14:paraId="12B398EE" w14:textId="6A90E11E" w:rsidR="00076320" w:rsidRDefault="00AA5E34" w:rsidP="00AA5E34">
      <w:r>
        <w:t>The guidance is designed primarily for the National Health Service but may be applicable globally, providing excellent care, while reducing inequalities in care, utilising the available resources and evidence in the best possible way.</w:t>
      </w:r>
    </w:p>
    <w:p w14:paraId="3C8F9323" w14:textId="77777777" w:rsidR="00076320" w:rsidRPr="00214185" w:rsidRDefault="00076320" w:rsidP="004D550C">
      <w:pPr>
        <w:pStyle w:val="Heading1"/>
      </w:pPr>
      <w:bookmarkStart w:id="0" w:name="_Toc213749011"/>
      <w:r w:rsidRPr="00214185">
        <w:t xml:space="preserve">Summary of Clinical </w:t>
      </w:r>
      <w:r w:rsidRPr="004D550C">
        <w:t>Practice</w:t>
      </w:r>
      <w:r w:rsidRPr="00214185">
        <w:t xml:space="preserve"> Guideline Recommendations</w:t>
      </w:r>
      <w:bookmarkEnd w:id="0"/>
    </w:p>
    <w:p w14:paraId="6B0C74D6" w14:textId="79650B79" w:rsidR="00076320" w:rsidRPr="00306FF4" w:rsidRDefault="00306FF4" w:rsidP="00306FF4">
      <w:pPr>
        <w:pStyle w:val="GuidelineUpperHeadings"/>
      </w:pPr>
      <w:bookmarkStart w:id="1" w:name="_Toc213749012"/>
      <w:r w:rsidRPr="00306FF4">
        <w:t xml:space="preserve">1. </w:t>
      </w:r>
      <w:r w:rsidR="00076320" w:rsidRPr="00306FF4">
        <w:t>Kidney Transplant Recipient (KTR): Organisation of Outpatient Follow-up (Guidelines 1.1-1.4)</w:t>
      </w:r>
      <w:bookmarkEnd w:id="1"/>
    </w:p>
    <w:p w14:paraId="57EB2EC0" w14:textId="77777777" w:rsidR="00076320" w:rsidRPr="00493211" w:rsidRDefault="00076320" w:rsidP="004D550C">
      <w:pPr>
        <w:pStyle w:val="GuidelineHeadings"/>
      </w:pPr>
      <w:r w:rsidRPr="00493211">
        <w:t xml:space="preserve">Guideline 1.1 – KTR: Clinic infrastructure  </w:t>
      </w:r>
    </w:p>
    <w:p w14:paraId="746D6313" w14:textId="77777777" w:rsidR="00076320" w:rsidRPr="00493211" w:rsidRDefault="00076320" w:rsidP="00156C43">
      <w:pPr>
        <w:rPr>
          <w:lang w:eastAsia="en-GB" w:bidi="en-GB"/>
        </w:rPr>
      </w:pPr>
      <w:r w:rsidRPr="00493211">
        <w:rPr>
          <w:lang w:eastAsia="en-GB" w:bidi="en-GB"/>
        </w:rPr>
        <w:t>We suggest that the following infrastructure should be in place for KTR follow-up (2D):</w:t>
      </w:r>
    </w:p>
    <w:p w14:paraId="237EBC40" w14:textId="77777777" w:rsidR="00076320" w:rsidRPr="00156C43" w:rsidRDefault="00076320" w:rsidP="00067A88">
      <w:pPr>
        <w:pStyle w:val="ListParagraph"/>
        <w:numPr>
          <w:ilvl w:val="0"/>
          <w:numId w:val="20"/>
        </w:numPr>
        <w:rPr>
          <w:lang w:eastAsia="en-GB" w:bidi="en-GB"/>
        </w:rPr>
      </w:pPr>
      <w:r w:rsidRPr="00156C43">
        <w:rPr>
          <w:lang w:eastAsia="en-GB" w:bidi="en-GB"/>
        </w:rPr>
        <w:t xml:space="preserve">A healthcare professional with appropriate knowledge and experience should be available for every transplant clinic. </w:t>
      </w:r>
    </w:p>
    <w:p w14:paraId="5008AFE7" w14:textId="77777777" w:rsidR="00076320" w:rsidRPr="00156C43" w:rsidRDefault="00076320" w:rsidP="00067A88">
      <w:pPr>
        <w:pStyle w:val="ListParagraph"/>
        <w:numPr>
          <w:ilvl w:val="0"/>
          <w:numId w:val="20"/>
        </w:numPr>
        <w:rPr>
          <w:lang w:eastAsia="en-GB" w:bidi="en-GB"/>
        </w:rPr>
      </w:pPr>
      <w:r w:rsidRPr="00156C43">
        <w:rPr>
          <w:lang w:eastAsia="en-GB" w:bidi="en-GB"/>
        </w:rPr>
        <w:t>KTRs should be reviewed in a dedicated outpatient area.</w:t>
      </w:r>
    </w:p>
    <w:p w14:paraId="785103C9" w14:textId="77777777" w:rsidR="00076320" w:rsidRPr="00156C43" w:rsidRDefault="00076320" w:rsidP="00067A88">
      <w:pPr>
        <w:pStyle w:val="ListParagraph"/>
        <w:numPr>
          <w:ilvl w:val="0"/>
          <w:numId w:val="20"/>
        </w:numPr>
        <w:rPr>
          <w:lang w:eastAsia="en-GB" w:bidi="en-GB"/>
        </w:rPr>
      </w:pPr>
      <w:r w:rsidRPr="00156C43">
        <w:rPr>
          <w:lang w:eastAsia="en-GB" w:bidi="en-GB"/>
        </w:rPr>
        <w:t>The results of blood tests (including drug levels, if possible) should be available for review by healthcare professionals within 24 hours of a clinical appointment.</w:t>
      </w:r>
    </w:p>
    <w:p w14:paraId="570B322D" w14:textId="658C8540" w:rsidR="00076320" w:rsidRPr="00156C43" w:rsidRDefault="00076320" w:rsidP="00067A88">
      <w:pPr>
        <w:pStyle w:val="ListParagraph"/>
        <w:numPr>
          <w:ilvl w:val="0"/>
          <w:numId w:val="20"/>
        </w:numPr>
        <w:rPr>
          <w:lang w:eastAsia="en-GB" w:bidi="en-GB"/>
        </w:rPr>
      </w:pPr>
      <w:r w:rsidRPr="469C0160">
        <w:rPr>
          <w:lang w:eastAsia="en-GB" w:bidi="en-GB"/>
        </w:rPr>
        <w:t xml:space="preserve">There should be access to a multidisciplinary renal team, including a pharmacist, </w:t>
      </w:r>
      <w:r w:rsidR="2C3F5DDA" w:rsidRPr="469C0160">
        <w:rPr>
          <w:lang w:eastAsia="en-GB" w:bidi="en-GB"/>
        </w:rPr>
        <w:t>dietitian</w:t>
      </w:r>
      <w:r w:rsidRPr="469C0160">
        <w:rPr>
          <w:lang w:eastAsia="en-GB" w:bidi="en-GB"/>
        </w:rPr>
        <w:t>, social worker and psychologist.</w:t>
      </w:r>
    </w:p>
    <w:p w14:paraId="6390C170" w14:textId="77777777" w:rsidR="00076320" w:rsidRPr="00493211" w:rsidRDefault="00076320" w:rsidP="00076320">
      <w:pPr>
        <w:spacing w:after="5" w:line="249" w:lineRule="auto"/>
        <w:ind w:left="10" w:hanging="10"/>
        <w:jc w:val="both"/>
        <w:rPr>
          <w:rFonts w:ascii="Calibri" w:eastAsia="Calibri" w:hAnsi="Calibri" w:cs="Calibri"/>
          <w:color w:val="000000"/>
          <w:lang w:eastAsia="en-GB" w:bidi="en-GB"/>
        </w:rPr>
      </w:pPr>
    </w:p>
    <w:p w14:paraId="4359BE67" w14:textId="77777777" w:rsidR="00076320" w:rsidRPr="00493211" w:rsidRDefault="00076320" w:rsidP="004D550C">
      <w:pPr>
        <w:pStyle w:val="GuidelineHeadings"/>
      </w:pPr>
      <w:r w:rsidRPr="00493211">
        <w:lastRenderedPageBreak/>
        <w:t xml:space="preserve">Guideline 1.2 – KTR: Clinic frequency  </w:t>
      </w:r>
    </w:p>
    <w:p w14:paraId="64EA51A7" w14:textId="77777777" w:rsidR="00076320" w:rsidRPr="00493211" w:rsidRDefault="00076320" w:rsidP="00156C43">
      <w:pPr>
        <w:rPr>
          <w:lang w:eastAsia="en-GB" w:bidi="en-GB"/>
        </w:rPr>
      </w:pPr>
      <w:r w:rsidRPr="00493211">
        <w:rPr>
          <w:lang w:eastAsia="en-GB" w:bidi="en-GB"/>
        </w:rPr>
        <w:t xml:space="preserve">We suggest that uncomplicated patients, in general, may be reviewed progressively less frequently in the clinic (2C) </w:t>
      </w:r>
    </w:p>
    <w:p w14:paraId="0C4B6483" w14:textId="77777777" w:rsidR="00076320" w:rsidRPr="00156C43" w:rsidRDefault="00076320" w:rsidP="00067A88">
      <w:pPr>
        <w:pStyle w:val="ListParagraph"/>
        <w:numPr>
          <w:ilvl w:val="0"/>
          <w:numId w:val="19"/>
        </w:numPr>
        <w:rPr>
          <w:lang w:eastAsia="en-GB" w:bidi="en-GB"/>
        </w:rPr>
      </w:pPr>
      <w:r w:rsidRPr="00156C43">
        <w:rPr>
          <w:lang w:eastAsia="en-GB" w:bidi="en-GB"/>
        </w:rPr>
        <w:t>1-2 times weekly for the first month after transplantation</w:t>
      </w:r>
    </w:p>
    <w:p w14:paraId="435BBE32" w14:textId="77777777" w:rsidR="00076320" w:rsidRPr="00156C43" w:rsidRDefault="00076320" w:rsidP="00067A88">
      <w:pPr>
        <w:pStyle w:val="ListParagraph"/>
        <w:numPr>
          <w:ilvl w:val="0"/>
          <w:numId w:val="19"/>
        </w:numPr>
        <w:rPr>
          <w:lang w:eastAsia="en-GB" w:bidi="en-GB"/>
        </w:rPr>
      </w:pPr>
      <w:r w:rsidRPr="00156C43">
        <w:rPr>
          <w:lang w:eastAsia="en-GB" w:bidi="en-GB"/>
        </w:rPr>
        <w:t>1 time weekly for months 2-3</w:t>
      </w:r>
    </w:p>
    <w:p w14:paraId="319C5E61" w14:textId="77777777" w:rsidR="00076320" w:rsidRPr="00156C43" w:rsidRDefault="00076320" w:rsidP="00067A88">
      <w:pPr>
        <w:pStyle w:val="ListParagraph"/>
        <w:numPr>
          <w:ilvl w:val="0"/>
          <w:numId w:val="19"/>
        </w:numPr>
        <w:rPr>
          <w:lang w:eastAsia="en-GB" w:bidi="en-GB"/>
        </w:rPr>
      </w:pPr>
      <w:r w:rsidRPr="00156C43">
        <w:rPr>
          <w:lang w:eastAsia="en-GB" w:bidi="en-GB"/>
        </w:rPr>
        <w:t>Once a month for months 4-12</w:t>
      </w:r>
    </w:p>
    <w:p w14:paraId="0A202A1E" w14:textId="6D46586C" w:rsidR="00076320" w:rsidRPr="00156C43" w:rsidRDefault="00076320" w:rsidP="00067A88">
      <w:pPr>
        <w:pStyle w:val="ListParagraph"/>
        <w:numPr>
          <w:ilvl w:val="0"/>
          <w:numId w:val="19"/>
        </w:numPr>
        <w:rPr>
          <w:lang w:eastAsia="en-GB" w:bidi="en-GB"/>
        </w:rPr>
      </w:pPr>
      <w:r w:rsidRPr="00156C43">
        <w:rPr>
          <w:lang w:eastAsia="en-GB" w:bidi="en-GB"/>
        </w:rPr>
        <w:t>3-6 monthly thereafter</w:t>
      </w:r>
    </w:p>
    <w:p w14:paraId="0EFC6AA3" w14:textId="77777777" w:rsidR="00076320" w:rsidRPr="00493211" w:rsidRDefault="00076320" w:rsidP="004D550C">
      <w:pPr>
        <w:pStyle w:val="GuidelineHeadings"/>
      </w:pPr>
      <w:r w:rsidRPr="00493211">
        <w:t xml:space="preserve">Guideline 1.3 – KTR: Patient Access  </w:t>
      </w:r>
    </w:p>
    <w:p w14:paraId="0493A95D" w14:textId="77777777" w:rsidR="00076320" w:rsidRPr="00493211" w:rsidRDefault="00076320" w:rsidP="00156C43">
      <w:pPr>
        <w:rPr>
          <w:lang w:eastAsia="en-GB" w:bidi="en-GB"/>
        </w:rPr>
      </w:pPr>
      <w:r w:rsidRPr="00493211">
        <w:rPr>
          <w:lang w:eastAsia="en-GB" w:bidi="en-GB"/>
        </w:rPr>
        <w:t>We suggest that all patients should have access to support services and results. (2C)</w:t>
      </w:r>
    </w:p>
    <w:p w14:paraId="2FD50677" w14:textId="77777777" w:rsidR="00076320" w:rsidRPr="00156C43" w:rsidRDefault="00076320" w:rsidP="00067A88">
      <w:pPr>
        <w:pStyle w:val="ListParagraph"/>
        <w:numPr>
          <w:ilvl w:val="0"/>
          <w:numId w:val="18"/>
        </w:numPr>
        <w:rPr>
          <w:lang w:eastAsia="en-GB" w:bidi="en-GB"/>
        </w:rPr>
      </w:pPr>
      <w:r w:rsidRPr="00156C43">
        <w:rPr>
          <w:lang w:eastAsia="en-GB" w:bidi="en-GB"/>
        </w:rPr>
        <w:t>All patients should have access to the renal transplant outpatient service and an established point of contact for enquiries.</w:t>
      </w:r>
    </w:p>
    <w:p w14:paraId="1A65C71E" w14:textId="77777777" w:rsidR="00076320" w:rsidRPr="00156C43" w:rsidRDefault="00076320" w:rsidP="00067A88">
      <w:pPr>
        <w:pStyle w:val="ListParagraph"/>
        <w:numPr>
          <w:ilvl w:val="0"/>
          <w:numId w:val="18"/>
        </w:numPr>
        <w:rPr>
          <w:lang w:eastAsia="en-GB" w:bidi="en-GB"/>
        </w:rPr>
      </w:pPr>
      <w:r w:rsidRPr="00156C43">
        <w:rPr>
          <w:lang w:eastAsia="en-GB" w:bidi="en-GB"/>
        </w:rPr>
        <w:t>Patient information should be available in both written and electronic formats.</w:t>
      </w:r>
    </w:p>
    <w:p w14:paraId="4D94931A" w14:textId="77777777" w:rsidR="00076320" w:rsidRPr="00493211" w:rsidRDefault="00076320" w:rsidP="00076320">
      <w:pPr>
        <w:spacing w:after="5" w:line="249" w:lineRule="auto"/>
        <w:ind w:left="10" w:hanging="10"/>
        <w:jc w:val="both"/>
        <w:rPr>
          <w:rFonts w:ascii="Calibri" w:eastAsia="Calibri" w:hAnsi="Calibri" w:cs="Calibri"/>
          <w:color w:val="000000"/>
          <w:lang w:eastAsia="en-GB" w:bidi="en-GB"/>
        </w:rPr>
      </w:pPr>
    </w:p>
    <w:p w14:paraId="57DC380B" w14:textId="77777777" w:rsidR="00076320" w:rsidRPr="00493211" w:rsidRDefault="00076320" w:rsidP="00306FF4">
      <w:pPr>
        <w:pStyle w:val="GuidelineHeadings"/>
      </w:pPr>
      <w:r w:rsidRPr="00493211">
        <w:t xml:space="preserve">Guideline 1.4 – KTR: Chronic transplant care review  </w:t>
      </w:r>
    </w:p>
    <w:p w14:paraId="56FE51D2" w14:textId="0D610CEF" w:rsidR="00076320" w:rsidRPr="00493211" w:rsidRDefault="00076320" w:rsidP="00FE7D75">
      <w:pPr>
        <w:pStyle w:val="ListParagraph"/>
        <w:numPr>
          <w:ilvl w:val="0"/>
          <w:numId w:val="17"/>
        </w:numPr>
        <w:rPr>
          <w:lang w:eastAsia="en-GB" w:bidi="en-GB"/>
        </w:rPr>
      </w:pPr>
      <w:r w:rsidRPr="00493211">
        <w:rPr>
          <w:lang w:eastAsia="en-GB" w:bidi="en-GB"/>
        </w:rPr>
        <w:t xml:space="preserve">We suggest that a detailed review should be performed annually post-operatively </w:t>
      </w:r>
      <w:r w:rsidR="00FE7D75">
        <w:rPr>
          <w:lang w:eastAsia="en-GB" w:bidi="en-GB"/>
        </w:rPr>
        <w:t xml:space="preserve">in </w:t>
      </w:r>
      <w:r w:rsidRPr="00493211">
        <w:rPr>
          <w:lang w:eastAsia="en-GB" w:bidi="en-GB"/>
        </w:rPr>
        <w:t xml:space="preserve">a </w:t>
      </w:r>
      <w:r w:rsidR="006877A5" w:rsidRPr="00493211">
        <w:rPr>
          <w:lang w:eastAsia="en-GB" w:bidi="en-GB"/>
        </w:rPr>
        <w:t xml:space="preserve">patient-centred </w:t>
      </w:r>
      <w:r w:rsidRPr="00493211">
        <w:rPr>
          <w:lang w:eastAsia="en-GB" w:bidi="en-GB"/>
        </w:rPr>
        <w:t xml:space="preserve">clinic </w:t>
      </w:r>
      <w:r w:rsidR="006877A5">
        <w:rPr>
          <w:lang w:eastAsia="en-GB" w:bidi="en-GB"/>
        </w:rPr>
        <w:t>following</w:t>
      </w:r>
      <w:r w:rsidRPr="00493211">
        <w:rPr>
          <w:lang w:eastAsia="en-GB" w:bidi="en-GB"/>
        </w:rPr>
        <w:t xml:space="preserve"> “Care plan model</w:t>
      </w:r>
      <w:r w:rsidR="00DD04FE">
        <w:rPr>
          <w:lang w:eastAsia="en-GB" w:bidi="en-GB"/>
        </w:rPr>
        <w:t xml:space="preserve">” </w:t>
      </w:r>
      <w:r w:rsidRPr="00493211">
        <w:rPr>
          <w:lang w:eastAsia="en-GB" w:bidi="en-GB"/>
        </w:rPr>
        <w:t>facilitated by healthcare professionals</w:t>
      </w:r>
      <w:r w:rsidR="00480A8E">
        <w:rPr>
          <w:lang w:eastAsia="en-GB" w:bidi="en-GB"/>
        </w:rPr>
        <w:t xml:space="preserve"> </w:t>
      </w:r>
      <w:r w:rsidRPr="00493211">
        <w:rPr>
          <w:lang w:eastAsia="en-GB" w:bidi="en-GB"/>
        </w:rPr>
        <w:t>address</w:t>
      </w:r>
      <w:r w:rsidR="00480A8E">
        <w:rPr>
          <w:lang w:eastAsia="en-GB" w:bidi="en-GB"/>
        </w:rPr>
        <w:t>ing</w:t>
      </w:r>
      <w:r w:rsidRPr="00493211">
        <w:rPr>
          <w:lang w:eastAsia="en-GB" w:bidi="en-GB"/>
        </w:rPr>
        <w:t xml:space="preserve"> medical, social, psychological, </w:t>
      </w:r>
      <w:r w:rsidR="0045786B">
        <w:rPr>
          <w:lang w:eastAsia="en-GB" w:bidi="en-GB"/>
        </w:rPr>
        <w:t>nutr</w:t>
      </w:r>
      <w:r w:rsidR="002C7BA0">
        <w:rPr>
          <w:lang w:eastAsia="en-GB" w:bidi="en-GB"/>
        </w:rPr>
        <w:t>itional</w:t>
      </w:r>
      <w:r w:rsidR="0045786B" w:rsidRPr="00493211">
        <w:rPr>
          <w:lang w:eastAsia="en-GB" w:bidi="en-GB"/>
        </w:rPr>
        <w:t xml:space="preserve"> </w:t>
      </w:r>
      <w:r w:rsidRPr="00493211">
        <w:rPr>
          <w:lang w:eastAsia="en-GB" w:bidi="en-GB"/>
        </w:rPr>
        <w:t xml:space="preserve">and sexual </w:t>
      </w:r>
      <w:r w:rsidR="00480A8E">
        <w:rPr>
          <w:lang w:eastAsia="en-GB" w:bidi="en-GB"/>
        </w:rPr>
        <w:t>concerns.</w:t>
      </w:r>
      <w:r w:rsidR="006877A5">
        <w:rPr>
          <w:lang w:eastAsia="en-GB" w:bidi="en-GB"/>
        </w:rPr>
        <w:t xml:space="preserve"> (</w:t>
      </w:r>
      <w:r w:rsidR="005A7ADA">
        <w:rPr>
          <w:lang w:eastAsia="en-GB" w:bidi="en-GB"/>
        </w:rPr>
        <w:t>2</w:t>
      </w:r>
      <w:r w:rsidR="006877A5">
        <w:rPr>
          <w:lang w:eastAsia="en-GB" w:bidi="en-GB"/>
        </w:rPr>
        <w:t>C)</w:t>
      </w:r>
    </w:p>
    <w:p w14:paraId="0FD763E0" w14:textId="65E901A7" w:rsidR="00076320" w:rsidRPr="00493211" w:rsidRDefault="00076320" w:rsidP="00067A88">
      <w:pPr>
        <w:pStyle w:val="ListParagraph"/>
        <w:numPr>
          <w:ilvl w:val="0"/>
          <w:numId w:val="17"/>
        </w:numPr>
        <w:rPr>
          <w:lang w:eastAsia="en-GB" w:bidi="en-GB"/>
        </w:rPr>
      </w:pPr>
      <w:r w:rsidRPr="00493211">
        <w:rPr>
          <w:lang w:eastAsia="en-GB" w:bidi="en-GB"/>
        </w:rPr>
        <w:t>In non-diabetics continue to monitor Hb1Ac and FBG every 12 months.</w:t>
      </w:r>
      <w:r w:rsidR="006877A5">
        <w:rPr>
          <w:lang w:eastAsia="en-GB" w:bidi="en-GB"/>
        </w:rPr>
        <w:t xml:space="preserve"> (2C)</w:t>
      </w:r>
    </w:p>
    <w:p w14:paraId="551F3F72" w14:textId="77777777" w:rsidR="00076320" w:rsidRPr="009B6CF7" w:rsidRDefault="00076320" w:rsidP="00067A88">
      <w:pPr>
        <w:pStyle w:val="ListParagraph"/>
        <w:numPr>
          <w:ilvl w:val="0"/>
          <w:numId w:val="17"/>
        </w:numPr>
        <w:rPr>
          <w:lang w:eastAsia="en-GB" w:bidi="en-GB"/>
        </w:rPr>
      </w:pPr>
      <w:r w:rsidRPr="00493211">
        <w:rPr>
          <w:lang w:eastAsia="en-GB" w:bidi="en-GB"/>
        </w:rPr>
        <w:t>There should be a protocol for recognising malnutrition risk and clinically significant increases or decreases in body weight and providing individualised intervention to reduce the risk of malnutrition or obesity. (2C)</w:t>
      </w:r>
    </w:p>
    <w:p w14:paraId="2AD1E5A9" w14:textId="5387B31B" w:rsidR="00076320" w:rsidRDefault="00306FF4" w:rsidP="00306FF4">
      <w:pPr>
        <w:pStyle w:val="GuidelineUpperHeadings"/>
      </w:pPr>
      <w:bookmarkStart w:id="2" w:name="_Toc213749013"/>
      <w:r>
        <w:t xml:space="preserve">2. </w:t>
      </w:r>
      <w:r w:rsidR="009B0CA8" w:rsidRPr="00306FF4">
        <w:t xml:space="preserve">Kidney Transplant Recipient (KTR): </w:t>
      </w:r>
      <w:r w:rsidR="00076320">
        <w:t xml:space="preserve">Immunosuppression </w:t>
      </w:r>
      <w:r w:rsidR="00123497">
        <w:t>and</w:t>
      </w:r>
      <w:r w:rsidR="00076320">
        <w:t xml:space="preserve"> non-adherence</w:t>
      </w:r>
      <w:r w:rsidR="00123497">
        <w:t xml:space="preserve"> to medicines</w:t>
      </w:r>
      <w:r w:rsidR="00076320">
        <w:t xml:space="preserve"> (Guidelines 2.1-2.6)</w:t>
      </w:r>
      <w:bookmarkEnd w:id="2"/>
    </w:p>
    <w:p w14:paraId="516457CA" w14:textId="77777777" w:rsidR="00076320" w:rsidRDefault="00076320" w:rsidP="00306FF4">
      <w:pPr>
        <w:pStyle w:val="GuidelineHeadings"/>
      </w:pPr>
      <w:r w:rsidRPr="00DE0C4D">
        <w:t>Guideline 2.1 – KTR: Recognising non-adherence</w:t>
      </w:r>
    </w:p>
    <w:p w14:paraId="1188C098" w14:textId="77777777" w:rsidR="00076320" w:rsidRPr="0026572F" w:rsidRDefault="00076320" w:rsidP="00076320">
      <w:pPr>
        <w:spacing w:line="240" w:lineRule="auto"/>
        <w:jc w:val="both"/>
        <w:rPr>
          <w:rFonts w:cstheme="minorHAnsi"/>
          <w:bCs/>
        </w:rPr>
      </w:pPr>
      <w:r w:rsidRPr="00B15C4F">
        <w:rPr>
          <w:bCs/>
        </w:rPr>
        <w:t xml:space="preserve">We </w:t>
      </w:r>
      <w:r w:rsidRPr="0026572F">
        <w:rPr>
          <w:rFonts w:cstheme="minorHAnsi"/>
          <w:bCs/>
        </w:rPr>
        <w:t>suggest that it is important to detect and prevent medical non-adherence in kidney transplant recipients. (2C)</w:t>
      </w:r>
    </w:p>
    <w:p w14:paraId="46514363" w14:textId="77777777" w:rsidR="00076320" w:rsidRPr="0026572F" w:rsidRDefault="00076320" w:rsidP="00067A88">
      <w:pPr>
        <w:pStyle w:val="ListParagraph"/>
        <w:numPr>
          <w:ilvl w:val="0"/>
          <w:numId w:val="16"/>
        </w:numPr>
      </w:pPr>
      <w:r w:rsidRPr="0026572F">
        <w:t xml:space="preserve">Factors associated with non-adherence should be identified. </w:t>
      </w:r>
    </w:p>
    <w:p w14:paraId="36930156" w14:textId="77777777" w:rsidR="00076320" w:rsidRPr="0026572F" w:rsidRDefault="00076320" w:rsidP="00067A88">
      <w:pPr>
        <w:pStyle w:val="ListParagraph"/>
        <w:numPr>
          <w:ilvl w:val="0"/>
          <w:numId w:val="16"/>
        </w:numPr>
      </w:pPr>
      <w:r w:rsidRPr="0026572F">
        <w:t>An individualised interventional pathway should be in place for those at high risk of or with proven non-adherence.</w:t>
      </w:r>
    </w:p>
    <w:p w14:paraId="62E8C899" w14:textId="6F178A90" w:rsidR="00076320" w:rsidRPr="00156C43" w:rsidRDefault="00076320" w:rsidP="00067A88">
      <w:pPr>
        <w:pStyle w:val="ListParagraph"/>
        <w:numPr>
          <w:ilvl w:val="0"/>
          <w:numId w:val="16"/>
        </w:numPr>
      </w:pPr>
      <w:r w:rsidRPr="0026572F">
        <w:t>Pathways should be in place for paediatric KTRs in transition and for adolescent KTRs.</w:t>
      </w:r>
    </w:p>
    <w:p w14:paraId="02FC54F2" w14:textId="192A178A" w:rsidR="00076320" w:rsidRPr="005C6866" w:rsidRDefault="00076320" w:rsidP="00156C43">
      <w:pPr>
        <w:pStyle w:val="GuidelineHeadings"/>
        <w:rPr>
          <w:rFonts w:ascii="Calibri" w:hAnsi="Calibri"/>
        </w:rPr>
      </w:pPr>
      <w:r w:rsidRPr="005C6866">
        <w:lastRenderedPageBreak/>
        <w:t xml:space="preserve">Guideline </w:t>
      </w:r>
      <w:r>
        <w:t>2.2</w:t>
      </w:r>
      <w:r w:rsidRPr="005C6866">
        <w:t xml:space="preserve"> – KTR: immunosuppression regimen </w:t>
      </w:r>
    </w:p>
    <w:p w14:paraId="0DD14718" w14:textId="7FB9403D" w:rsidR="00076320" w:rsidRPr="00156C43" w:rsidRDefault="00076320" w:rsidP="00156C43">
      <w:pPr>
        <w:rPr>
          <w:lang w:eastAsia="en-GB" w:bidi="en-GB"/>
        </w:rPr>
      </w:pPr>
      <w:r w:rsidRPr="005C6866">
        <w:rPr>
          <w:lang w:eastAsia="en-GB" w:bidi="en-GB"/>
        </w:rPr>
        <w:t xml:space="preserve">We recommend that the patient and/or carer should be engaged in the decisions around selection of induction agent and maintenance immunosuppression (1D) </w:t>
      </w:r>
    </w:p>
    <w:p w14:paraId="2ED2CD09" w14:textId="5BD539AE" w:rsidR="00076320" w:rsidRPr="00AA3B76" w:rsidRDefault="00076320" w:rsidP="00156C43">
      <w:pPr>
        <w:pStyle w:val="GuidelineHeadings"/>
        <w:rPr>
          <w:rFonts w:ascii="Calibri" w:hAnsi="Calibri"/>
        </w:rPr>
      </w:pPr>
      <w:r w:rsidRPr="00AA3B76">
        <w:t xml:space="preserve">Guideline </w:t>
      </w:r>
      <w:r>
        <w:t>2.3</w:t>
      </w:r>
      <w:r w:rsidRPr="00AA3B76">
        <w:t xml:space="preserve"> – KTR: Induction Immunosuppression </w:t>
      </w:r>
    </w:p>
    <w:p w14:paraId="6810A4FD" w14:textId="77777777" w:rsidR="00076320" w:rsidRDefault="00076320" w:rsidP="003635AC">
      <w:pPr>
        <w:pStyle w:val="GuidelineSubheadings"/>
      </w:pPr>
      <w:r w:rsidRPr="00AA3B76">
        <w:t xml:space="preserve">Guideline </w:t>
      </w:r>
      <w:r>
        <w:t>2.3.1</w:t>
      </w:r>
    </w:p>
    <w:p w14:paraId="61966C21" w14:textId="77777777" w:rsidR="00076320" w:rsidRPr="00AA3B76" w:rsidRDefault="00076320" w:rsidP="00156C43">
      <w:pPr>
        <w:rPr>
          <w:lang w:eastAsia="en-GB" w:bidi="en-GB"/>
        </w:rPr>
      </w:pPr>
      <w:r w:rsidRPr="00AA3B76">
        <w:rPr>
          <w:lang w:eastAsia="en-GB" w:bidi="en-GB"/>
        </w:rPr>
        <w:t xml:space="preserve">We recommend induction therapy should </w:t>
      </w:r>
      <w:proofErr w:type="gramStart"/>
      <w:r w:rsidRPr="00AA3B76">
        <w:rPr>
          <w:lang w:eastAsia="en-GB" w:bidi="en-GB"/>
        </w:rPr>
        <w:t>take into account</w:t>
      </w:r>
      <w:proofErr w:type="gramEnd"/>
      <w:r w:rsidRPr="00AA3B76">
        <w:rPr>
          <w:lang w:eastAsia="en-GB" w:bidi="en-GB"/>
        </w:rPr>
        <w:t xml:space="preserve"> the following: </w:t>
      </w:r>
    </w:p>
    <w:p w14:paraId="62BF0F3E" w14:textId="77777777" w:rsidR="00076320" w:rsidRPr="00156C43" w:rsidRDefault="00076320" w:rsidP="00067A88">
      <w:pPr>
        <w:pStyle w:val="ListParagraph"/>
        <w:numPr>
          <w:ilvl w:val="0"/>
          <w:numId w:val="15"/>
        </w:numPr>
        <w:rPr>
          <w:lang w:eastAsia="en-GB" w:bidi="en-GB"/>
        </w:rPr>
      </w:pPr>
      <w:r w:rsidRPr="00156C43">
        <w:rPr>
          <w:lang w:eastAsia="en-GB" w:bidi="en-GB"/>
        </w:rPr>
        <w:t xml:space="preserve">Immunosuppressive drugs should be started before or at the time of renal transplantation (1B) </w:t>
      </w:r>
    </w:p>
    <w:p w14:paraId="56B8B4E2" w14:textId="77777777" w:rsidR="00076320" w:rsidRPr="00156C43" w:rsidRDefault="00076320" w:rsidP="00067A88">
      <w:pPr>
        <w:pStyle w:val="ListParagraph"/>
        <w:numPr>
          <w:ilvl w:val="0"/>
          <w:numId w:val="15"/>
        </w:numPr>
        <w:rPr>
          <w:lang w:eastAsia="en-GB" w:bidi="en-GB"/>
        </w:rPr>
      </w:pPr>
      <w:r w:rsidRPr="00156C43">
        <w:rPr>
          <w:lang w:eastAsia="en-GB" w:bidi="en-GB"/>
        </w:rPr>
        <w:t>Induction therapy with biological agents should be administered to all KTRs (1B). This will generally involve an interleukin-2 receptor antagonist (IL2-RA) as a first choice in patients at low immunological risk. Recipients at higher immunological risk may be considered for T-cell (lymphocyte) Depleting Antibodies (</w:t>
      </w:r>
      <w:proofErr w:type="gramStart"/>
      <w:r w:rsidRPr="00156C43">
        <w:rPr>
          <w:lang w:eastAsia="en-GB" w:bidi="en-GB"/>
        </w:rPr>
        <w:t>TDAs;</w:t>
      </w:r>
      <w:proofErr w:type="gramEnd"/>
      <w:r w:rsidRPr="00156C43">
        <w:rPr>
          <w:lang w:eastAsia="en-GB" w:bidi="en-GB"/>
        </w:rPr>
        <w:t xml:space="preserve"> e.g. antilymphocyte preparations [anti-thymocyte globulin (ATG) or alemtuzumab]) </w:t>
      </w:r>
    </w:p>
    <w:p w14:paraId="2C4506D1" w14:textId="5A57F7A8" w:rsidR="00076320" w:rsidRPr="00156C43" w:rsidRDefault="00076320" w:rsidP="00067A88">
      <w:pPr>
        <w:pStyle w:val="ListParagraph"/>
        <w:numPr>
          <w:ilvl w:val="0"/>
          <w:numId w:val="15"/>
        </w:numPr>
        <w:rPr>
          <w:lang w:eastAsia="en-GB" w:bidi="en-GB"/>
        </w:rPr>
      </w:pPr>
      <w:r w:rsidRPr="00156C43">
        <w:rPr>
          <w:lang w:eastAsia="en-GB" w:bidi="en-GB"/>
        </w:rPr>
        <w:t xml:space="preserve">Induction therapy with TDAs may also be useful for lower immunological risk patients with the intention of either steroid or CNI avoidance (1C)   </w:t>
      </w:r>
    </w:p>
    <w:p w14:paraId="6F23484E" w14:textId="77777777" w:rsidR="00076320" w:rsidRDefault="00076320" w:rsidP="003635AC">
      <w:pPr>
        <w:pStyle w:val="GuidelineSubheadings"/>
      </w:pPr>
      <w:r w:rsidRPr="00AA3B76">
        <w:t xml:space="preserve">Guideline </w:t>
      </w:r>
      <w:r>
        <w:t>2.3.2</w:t>
      </w:r>
    </w:p>
    <w:p w14:paraId="21015B51" w14:textId="26EFC9D0" w:rsidR="00076320" w:rsidRPr="00156C43" w:rsidRDefault="00076320" w:rsidP="00156C43">
      <w:pPr>
        <w:rPr>
          <w:lang w:eastAsia="en-GB" w:bidi="en-GB"/>
        </w:rPr>
      </w:pPr>
      <w:r w:rsidRPr="00AA3B76">
        <w:rPr>
          <w:lang w:eastAsia="en-GB" w:bidi="en-GB"/>
        </w:rPr>
        <w:t xml:space="preserve">We suggest that a CNI should be started at the time of transplantation and not delayed until the graft is functioning (2C) </w:t>
      </w:r>
    </w:p>
    <w:p w14:paraId="4C18FD0E" w14:textId="77777777" w:rsidR="00076320" w:rsidRPr="00423875" w:rsidRDefault="00076320" w:rsidP="003635AC">
      <w:pPr>
        <w:pStyle w:val="GuidelineHeadings"/>
      </w:pPr>
      <w:r w:rsidRPr="00423875">
        <w:t xml:space="preserve">Guideline </w:t>
      </w:r>
      <w:r>
        <w:t>2.4</w:t>
      </w:r>
      <w:r w:rsidRPr="00423875">
        <w:t xml:space="preserve"> – KTR: Maintenance immunosuppression</w:t>
      </w:r>
    </w:p>
    <w:p w14:paraId="75B0D8A0" w14:textId="77777777" w:rsidR="00076320" w:rsidRDefault="00076320" w:rsidP="003635AC">
      <w:pPr>
        <w:pStyle w:val="GuidelineSubheadings"/>
      </w:pPr>
      <w:r w:rsidRPr="00423875">
        <w:t xml:space="preserve">Guideline </w:t>
      </w:r>
      <w:r>
        <w:t xml:space="preserve">2.4.1 </w:t>
      </w:r>
    </w:p>
    <w:p w14:paraId="1C736A76" w14:textId="77777777" w:rsidR="00076320" w:rsidRPr="00423875" w:rsidRDefault="00076320" w:rsidP="00156C43">
      <w:pPr>
        <w:rPr>
          <w:b/>
          <w:bCs/>
        </w:rPr>
      </w:pPr>
      <w:r w:rsidRPr="00423875">
        <w:t>We recommend that maintenance immunosuppression should normally consist of a calcineurin inhibitor (CNI) and an anti-proliferative agent, with or without corticosteroids in low and medium immunological risk KTRs (1B)</w:t>
      </w:r>
    </w:p>
    <w:p w14:paraId="12C7FFEB" w14:textId="77777777" w:rsidR="00076320" w:rsidRDefault="00076320" w:rsidP="003635AC">
      <w:pPr>
        <w:pStyle w:val="GuidelineSubheadings"/>
      </w:pPr>
      <w:r w:rsidRPr="00423875">
        <w:t xml:space="preserve">Guideline </w:t>
      </w:r>
      <w:r>
        <w:t>2.4.2</w:t>
      </w:r>
    </w:p>
    <w:p w14:paraId="1DB1A60D" w14:textId="77777777" w:rsidR="00076320" w:rsidRPr="00423875" w:rsidRDefault="00076320" w:rsidP="00156C43">
      <w:r w:rsidRPr="00423875">
        <w:t>We suggest tacrolimus should be the CNI of choice with levels tailored to patient factors such as previous transplants and rejection and transplant match (2C).</w:t>
      </w:r>
    </w:p>
    <w:p w14:paraId="433C05BB" w14:textId="77777777" w:rsidR="00076320" w:rsidRDefault="00076320" w:rsidP="003635AC">
      <w:pPr>
        <w:pStyle w:val="GuidelineSubheadings"/>
      </w:pPr>
      <w:r w:rsidRPr="00423875">
        <w:t xml:space="preserve">Guideline </w:t>
      </w:r>
      <w:r>
        <w:t>2.4.3</w:t>
      </w:r>
    </w:p>
    <w:p w14:paraId="70B4BBEF" w14:textId="2621B0A2" w:rsidR="00076320" w:rsidRPr="00423875" w:rsidRDefault="00076320" w:rsidP="00076320">
      <w:pPr>
        <w:spacing w:after="200" w:line="240" w:lineRule="auto"/>
        <w:rPr>
          <w:rFonts w:cstheme="minorHAnsi"/>
          <w:color w:val="000000" w:themeColor="text1"/>
        </w:rPr>
      </w:pPr>
      <w:r w:rsidRPr="00423875">
        <w:rPr>
          <w:rFonts w:cstheme="minorHAnsi"/>
          <w:color w:val="000000" w:themeColor="text1"/>
        </w:rPr>
        <w:t xml:space="preserve">We suggest that mycophenolic acid-based </w:t>
      </w:r>
      <w:r w:rsidR="00123497">
        <w:rPr>
          <w:rFonts w:cstheme="minorHAnsi"/>
          <w:color w:val="000000" w:themeColor="text1"/>
        </w:rPr>
        <w:t xml:space="preserve">(MPA) </w:t>
      </w:r>
      <w:r w:rsidRPr="00423875">
        <w:rPr>
          <w:rFonts w:cstheme="minorHAnsi"/>
          <w:color w:val="000000" w:themeColor="text1"/>
        </w:rPr>
        <w:t>drugs should be the first-line anti-proliferative agent in preference to azathioprine, except in fertile KTRs who are unwilling to use reliable contraception (2B)</w:t>
      </w:r>
    </w:p>
    <w:p w14:paraId="609ABA55" w14:textId="77777777" w:rsidR="00076320" w:rsidRDefault="00076320" w:rsidP="003635AC">
      <w:pPr>
        <w:pStyle w:val="GuidelineSubheadings"/>
      </w:pPr>
      <w:r w:rsidRPr="00423875">
        <w:t xml:space="preserve">Guideline </w:t>
      </w:r>
      <w:r>
        <w:t>2.4.4</w:t>
      </w:r>
    </w:p>
    <w:p w14:paraId="2AEB281F" w14:textId="77777777" w:rsidR="00076320" w:rsidRPr="00423875" w:rsidRDefault="00076320" w:rsidP="00156C43">
      <w:r w:rsidRPr="00423875">
        <w:rPr>
          <w:color w:val="000000" w:themeColor="text1"/>
        </w:rPr>
        <w:t xml:space="preserve">We suggest that modified release tacrolimus may be trialled </w:t>
      </w:r>
      <w:r w:rsidRPr="00423875">
        <w:t>as an option as second line agents for patients who suffer intolerable side effects related to peak dose toxicity (2C)</w:t>
      </w:r>
    </w:p>
    <w:p w14:paraId="1A6EED8E" w14:textId="77777777" w:rsidR="00076320" w:rsidRDefault="00076320" w:rsidP="003635AC">
      <w:pPr>
        <w:pStyle w:val="GuidelineSubheadings"/>
      </w:pPr>
      <w:r w:rsidRPr="00423875">
        <w:t xml:space="preserve">Guideline </w:t>
      </w:r>
      <w:r>
        <w:t>2.4.5</w:t>
      </w:r>
    </w:p>
    <w:p w14:paraId="2C9C0E38" w14:textId="4CC1AE02" w:rsidR="00076320" w:rsidRPr="00423875" w:rsidRDefault="00076320" w:rsidP="00156C43">
      <w:r w:rsidRPr="00423875">
        <w:lastRenderedPageBreak/>
        <w:t xml:space="preserve">We suggest that KTRs who are unable to tolerate tacrolimus or who suffer serious adverse reactions related to its use be considered for the use of alternative agents such as ciclosporin, sirolimus, everolimus, or </w:t>
      </w:r>
      <w:proofErr w:type="spellStart"/>
      <w:r w:rsidRPr="00423875">
        <w:t>belatacept</w:t>
      </w:r>
      <w:proofErr w:type="spellEnd"/>
      <w:r w:rsidRPr="00423875">
        <w:t xml:space="preserve"> (1B)</w:t>
      </w:r>
      <w:r w:rsidR="00156C43">
        <w:t>.</w:t>
      </w:r>
    </w:p>
    <w:p w14:paraId="79DA4592" w14:textId="77777777" w:rsidR="00076320" w:rsidRDefault="00076320" w:rsidP="003635AC">
      <w:pPr>
        <w:pStyle w:val="GuidelineSubheadings"/>
      </w:pPr>
      <w:r w:rsidRPr="00423875">
        <w:t xml:space="preserve">Guideline </w:t>
      </w:r>
      <w:r>
        <w:t>2.4.6</w:t>
      </w:r>
    </w:p>
    <w:p w14:paraId="45ABD9F7" w14:textId="77777777" w:rsidR="00076320" w:rsidRPr="00423875" w:rsidRDefault="00076320" w:rsidP="00156C43">
      <w:pPr>
        <w:rPr>
          <w:color w:val="000000" w:themeColor="text1"/>
        </w:rPr>
      </w:pPr>
      <w:r w:rsidRPr="00423875">
        <w:t xml:space="preserve">We suggest aiming for minimum target levels for CNIs in uncomplicated renal transplantation </w:t>
      </w:r>
      <w:r w:rsidRPr="00423875">
        <w:rPr>
          <w:color w:val="000000" w:themeColor="text1"/>
        </w:rPr>
        <w:t xml:space="preserve">after 3 to 6 months (2C) </w:t>
      </w:r>
    </w:p>
    <w:p w14:paraId="6CD5B02B" w14:textId="77777777" w:rsidR="00076320" w:rsidRDefault="00076320" w:rsidP="003635AC">
      <w:pPr>
        <w:pStyle w:val="GuidelineSubheadings"/>
      </w:pPr>
      <w:r w:rsidRPr="00423875">
        <w:t xml:space="preserve">Guideline </w:t>
      </w:r>
      <w:r>
        <w:t>2.4.7</w:t>
      </w:r>
    </w:p>
    <w:p w14:paraId="5CD460D9" w14:textId="77777777" w:rsidR="00076320" w:rsidRPr="00423875" w:rsidRDefault="00076320" w:rsidP="00156C43">
      <w:r w:rsidRPr="00423875">
        <w:t>We suggest that CNIs should not be withdrawn (2B)</w:t>
      </w:r>
    </w:p>
    <w:p w14:paraId="5A944F27" w14:textId="77777777" w:rsidR="00076320" w:rsidRDefault="00076320" w:rsidP="003635AC">
      <w:pPr>
        <w:pStyle w:val="GuidelineSubheadings"/>
      </w:pPr>
      <w:r w:rsidRPr="00423875">
        <w:t xml:space="preserve">Guideline </w:t>
      </w:r>
      <w:r>
        <w:t>2.4.8</w:t>
      </w:r>
    </w:p>
    <w:p w14:paraId="06AD81B5" w14:textId="77777777" w:rsidR="00076320" w:rsidRDefault="00076320" w:rsidP="00156C43">
      <w:r w:rsidRPr="00423875">
        <w:t>We suggest that if steroids are not withdrawn during the initiation phase, then they may be continued at low dose (prednisolone 5 mg per day or less) after taking patient factors and wishes into consideration (2C)</w:t>
      </w:r>
    </w:p>
    <w:p w14:paraId="4955BDDE" w14:textId="77777777" w:rsidR="00076320" w:rsidRPr="00631890" w:rsidRDefault="00076320" w:rsidP="003635AC">
      <w:pPr>
        <w:pStyle w:val="GuidelineHeadings"/>
      </w:pPr>
      <w:r w:rsidRPr="00631890">
        <w:t xml:space="preserve">Guideline </w:t>
      </w:r>
      <w:r>
        <w:t>2.5</w:t>
      </w:r>
      <w:r w:rsidRPr="00631890">
        <w:t xml:space="preserve"> – KTR: Monitoring </w:t>
      </w:r>
      <w:r>
        <w:t>o</w:t>
      </w:r>
      <w:r w:rsidRPr="00631890">
        <w:t>f immunosuppression</w:t>
      </w:r>
    </w:p>
    <w:p w14:paraId="7961C191" w14:textId="77777777" w:rsidR="00076320" w:rsidRPr="006D6927" w:rsidRDefault="00076320" w:rsidP="00076320">
      <w:pPr>
        <w:spacing w:before="100" w:beforeAutospacing="1" w:after="100" w:afterAutospacing="1" w:line="240" w:lineRule="auto"/>
      </w:pPr>
      <w:r w:rsidRPr="006D6927">
        <w:rPr>
          <w:rFonts w:ascii="Calibri" w:hAnsi="Calibri" w:cs="Calibri"/>
        </w:rPr>
        <w:t xml:space="preserve">We suggest that long-term monitoring of immunosuppression levels is required as follows: </w:t>
      </w:r>
    </w:p>
    <w:p w14:paraId="364BC24D" w14:textId="782CBF1B" w:rsidR="00076320" w:rsidRPr="00AB72EF" w:rsidRDefault="00076320" w:rsidP="00067A88">
      <w:pPr>
        <w:pStyle w:val="ListParagraph"/>
        <w:numPr>
          <w:ilvl w:val="0"/>
          <w:numId w:val="7"/>
        </w:numPr>
        <w:spacing w:before="100" w:beforeAutospacing="1" w:after="100" w:afterAutospacing="1" w:line="240" w:lineRule="auto"/>
      </w:pPr>
      <w:r w:rsidRPr="00D6621D">
        <w:rPr>
          <w:rFonts w:ascii="Calibri" w:hAnsi="Calibri" w:cs="Calibri"/>
        </w:rPr>
        <w:t>Tacrolimus and ciclosporin levels should be monitored at every clinic post-transplant, as well as when any medications with possible interactions are prescribed</w:t>
      </w:r>
      <w:r>
        <w:rPr>
          <w:rFonts w:ascii="Calibri" w:hAnsi="Calibri" w:cs="Calibri"/>
        </w:rPr>
        <w:t>, after a do</w:t>
      </w:r>
      <w:r w:rsidR="00334F3C">
        <w:rPr>
          <w:rFonts w:ascii="Calibri" w:hAnsi="Calibri" w:cs="Calibri"/>
        </w:rPr>
        <w:t>s</w:t>
      </w:r>
      <w:r>
        <w:rPr>
          <w:rFonts w:ascii="Calibri" w:hAnsi="Calibri" w:cs="Calibri"/>
        </w:rPr>
        <w:t>e change</w:t>
      </w:r>
      <w:r w:rsidRPr="00D6621D">
        <w:rPr>
          <w:rFonts w:ascii="Calibri" w:hAnsi="Calibri" w:cs="Calibri"/>
        </w:rPr>
        <w:t xml:space="preserve"> or when there is unexplained graft dysfunction (2C) </w:t>
      </w:r>
    </w:p>
    <w:p w14:paraId="1369C9BC" w14:textId="77777777" w:rsidR="00076320" w:rsidRPr="00D6621D" w:rsidRDefault="00076320" w:rsidP="00067A88">
      <w:pPr>
        <w:pStyle w:val="ListParagraph"/>
        <w:numPr>
          <w:ilvl w:val="0"/>
          <w:numId w:val="7"/>
        </w:numPr>
        <w:spacing w:before="100" w:beforeAutospacing="1" w:after="100" w:afterAutospacing="1" w:line="240" w:lineRule="auto"/>
        <w:rPr>
          <w:rFonts w:ascii="Calibri" w:hAnsi="Calibri" w:cs="Calibri"/>
        </w:rPr>
      </w:pPr>
      <w:r w:rsidRPr="00D6621D">
        <w:rPr>
          <w:rFonts w:ascii="Calibri" w:hAnsi="Calibri" w:cs="Calibri"/>
        </w:rPr>
        <w:t>Tacrolimus</w:t>
      </w:r>
      <w:r>
        <w:rPr>
          <w:rFonts w:ascii="Calibri" w:hAnsi="Calibri" w:cs="Calibri"/>
        </w:rPr>
        <w:t xml:space="preserve">, ciclosporin and sirolimus </w:t>
      </w:r>
      <w:r w:rsidRPr="00D6621D">
        <w:rPr>
          <w:rFonts w:ascii="Calibri" w:hAnsi="Calibri" w:cs="Calibri"/>
        </w:rPr>
        <w:t>should be monitored by the C</w:t>
      </w:r>
      <w:r w:rsidRPr="00D6621D">
        <w:rPr>
          <w:rFonts w:ascii="Calibri" w:hAnsi="Calibri" w:cs="Calibri"/>
          <w:position w:val="-4"/>
          <w:sz w:val="14"/>
          <w:szCs w:val="14"/>
        </w:rPr>
        <w:t xml:space="preserve">0 </w:t>
      </w:r>
      <w:r w:rsidRPr="00D6621D">
        <w:rPr>
          <w:rFonts w:ascii="Calibri" w:hAnsi="Calibri" w:cs="Calibri"/>
        </w:rPr>
        <w:t>trough level</w:t>
      </w:r>
      <w:r>
        <w:rPr>
          <w:rFonts w:ascii="Calibri" w:hAnsi="Calibri" w:cs="Calibri"/>
        </w:rPr>
        <w:t xml:space="preserve"> (2C)</w:t>
      </w:r>
    </w:p>
    <w:p w14:paraId="5C6CE8E4" w14:textId="77777777" w:rsidR="00076320" w:rsidRPr="007F422B" w:rsidRDefault="00076320" w:rsidP="00067A88">
      <w:pPr>
        <w:pStyle w:val="ListParagraph"/>
        <w:numPr>
          <w:ilvl w:val="0"/>
          <w:numId w:val="7"/>
        </w:numPr>
        <w:spacing w:before="100" w:beforeAutospacing="1" w:after="100" w:afterAutospacing="1" w:line="240" w:lineRule="auto"/>
        <w:rPr>
          <w:color w:val="000000" w:themeColor="text1"/>
        </w:rPr>
      </w:pPr>
      <w:r w:rsidRPr="00D6621D">
        <w:rPr>
          <w:rFonts w:ascii="Calibri" w:hAnsi="Calibri" w:cs="Calibri"/>
        </w:rPr>
        <w:t xml:space="preserve">Tacrolimus, ciclosporin and sirolimus </w:t>
      </w:r>
      <w:r w:rsidRPr="007F422B">
        <w:rPr>
          <w:rFonts w:ascii="Calibri" w:hAnsi="Calibri" w:cs="Calibri"/>
          <w:color w:val="000000" w:themeColor="text1"/>
        </w:rPr>
        <w:t xml:space="preserve">levels should ideally be available within 24 hours of taking blood samples (2D) </w:t>
      </w:r>
    </w:p>
    <w:p w14:paraId="592F6A7D" w14:textId="77777777" w:rsidR="00076320" w:rsidRPr="007F422B" w:rsidRDefault="00076320" w:rsidP="00067A88">
      <w:pPr>
        <w:pStyle w:val="ListParagraph"/>
        <w:numPr>
          <w:ilvl w:val="0"/>
          <w:numId w:val="7"/>
        </w:numPr>
        <w:spacing w:before="100" w:beforeAutospacing="1" w:after="100" w:afterAutospacing="1" w:line="240" w:lineRule="auto"/>
        <w:rPr>
          <w:rFonts w:ascii="Calibri" w:hAnsi="Calibri" w:cs="Calibri"/>
          <w:color w:val="000000" w:themeColor="text1"/>
        </w:rPr>
      </w:pPr>
      <w:r w:rsidRPr="007F422B">
        <w:rPr>
          <w:rFonts w:ascii="Calibri" w:hAnsi="Calibri" w:cs="Calibri"/>
          <w:color w:val="000000" w:themeColor="text1"/>
        </w:rPr>
        <w:t>The utility of monitoring mycophenolic acid (MPA) C</w:t>
      </w:r>
      <w:r w:rsidRPr="007F422B">
        <w:rPr>
          <w:rFonts w:ascii="Calibri" w:hAnsi="Calibri" w:cs="Calibri"/>
          <w:color w:val="000000" w:themeColor="text1"/>
          <w:position w:val="-4"/>
          <w:sz w:val="14"/>
          <w:szCs w:val="14"/>
        </w:rPr>
        <w:t xml:space="preserve">0 </w:t>
      </w:r>
      <w:r w:rsidRPr="007F422B">
        <w:rPr>
          <w:rFonts w:ascii="Calibri" w:hAnsi="Calibri" w:cs="Calibri"/>
          <w:color w:val="000000" w:themeColor="text1"/>
        </w:rPr>
        <w:t xml:space="preserve">levels is uncertain (2D) </w:t>
      </w:r>
      <w:r w:rsidRPr="007F422B">
        <w:rPr>
          <w:rFonts w:ascii="Symbol" w:hAnsi="Symbol"/>
          <w:color w:val="000000" w:themeColor="text1"/>
        </w:rPr>
        <w:t xml:space="preserve"> </w:t>
      </w:r>
      <w:r w:rsidRPr="007F422B">
        <w:rPr>
          <w:rFonts w:ascii="Symbol"/>
          <w:color w:val="000000" w:themeColor="text1"/>
        </w:rPr>
        <w:t> </w:t>
      </w:r>
    </w:p>
    <w:p w14:paraId="0B151A53" w14:textId="77777777" w:rsidR="00076320" w:rsidRDefault="00076320" w:rsidP="00067A88">
      <w:pPr>
        <w:pStyle w:val="ListParagraph"/>
        <w:numPr>
          <w:ilvl w:val="0"/>
          <w:numId w:val="7"/>
        </w:numPr>
        <w:spacing w:before="100" w:beforeAutospacing="1" w:after="100" w:afterAutospacing="1" w:line="240" w:lineRule="auto"/>
        <w:rPr>
          <w:color w:val="000000" w:themeColor="text1"/>
        </w:rPr>
      </w:pPr>
      <w:r w:rsidRPr="007F422B">
        <w:rPr>
          <w:color w:val="000000" w:themeColor="text1"/>
        </w:rPr>
        <w:t>Patients should have access to their immunosuppressant levels (2D)</w:t>
      </w:r>
    </w:p>
    <w:p w14:paraId="439F9E9F" w14:textId="46239AB4" w:rsidR="00076320" w:rsidRPr="00631890" w:rsidRDefault="00076320" w:rsidP="00156C43">
      <w:pPr>
        <w:pStyle w:val="GuidelineHeadings"/>
      </w:pPr>
      <w:r w:rsidRPr="00631890">
        <w:t xml:space="preserve">Guideline </w:t>
      </w:r>
      <w:r>
        <w:t>2.6</w:t>
      </w:r>
      <w:r w:rsidRPr="00631890">
        <w:t xml:space="preserve"> – KTR: Prescribing and the use of Generic agents </w:t>
      </w:r>
    </w:p>
    <w:p w14:paraId="5D9503A4" w14:textId="77777777" w:rsidR="00076320" w:rsidRDefault="00076320" w:rsidP="00156C43">
      <w:pPr>
        <w:pStyle w:val="GuidelineSubheadings"/>
      </w:pPr>
      <w:r w:rsidRPr="00631890">
        <w:t xml:space="preserve">Guideline </w:t>
      </w:r>
      <w:r>
        <w:t>2.6.1</w:t>
      </w:r>
    </w:p>
    <w:p w14:paraId="38B9882A" w14:textId="77777777" w:rsidR="00076320" w:rsidRPr="00B27A4F" w:rsidRDefault="00076320" w:rsidP="00076320">
      <w:pPr>
        <w:spacing w:before="100" w:beforeAutospacing="1" w:after="100" w:afterAutospacing="1" w:line="240" w:lineRule="auto"/>
        <w:rPr>
          <w:rFonts w:cstheme="minorHAnsi"/>
        </w:rPr>
      </w:pPr>
      <w:r w:rsidRPr="00631890">
        <w:rPr>
          <w:rFonts w:cstheme="minorHAnsi"/>
        </w:rPr>
        <w:t xml:space="preserve">We suggest that </w:t>
      </w:r>
      <w:r>
        <w:rPr>
          <w:rFonts w:cstheme="minorHAnsi"/>
        </w:rPr>
        <w:t>g</w:t>
      </w:r>
      <w:r w:rsidRPr="00B27A4F">
        <w:rPr>
          <w:rFonts w:cstheme="minorHAnsi"/>
        </w:rPr>
        <w:t xml:space="preserve">eneric immunosuppression compounds should not be used unless they have been shown to be bioequivalent and approved by the European Agency for the Evaluation of Medicinal Products (2D) </w:t>
      </w:r>
    </w:p>
    <w:p w14:paraId="40A98814" w14:textId="77777777" w:rsidR="00076320" w:rsidRDefault="00076320" w:rsidP="00156C43">
      <w:pPr>
        <w:pStyle w:val="GuidelineSubheadings"/>
      </w:pPr>
      <w:r w:rsidRPr="00631890">
        <w:t xml:space="preserve">Guideline </w:t>
      </w:r>
      <w:r>
        <w:t>2.6.2</w:t>
      </w:r>
    </w:p>
    <w:p w14:paraId="42D6326B" w14:textId="77777777" w:rsidR="00076320" w:rsidRPr="00B27A4F" w:rsidRDefault="00076320" w:rsidP="00076320">
      <w:pPr>
        <w:spacing w:before="100" w:beforeAutospacing="1" w:after="100" w:afterAutospacing="1" w:line="240" w:lineRule="auto"/>
        <w:rPr>
          <w:rFonts w:cstheme="minorHAnsi"/>
        </w:rPr>
      </w:pPr>
      <w:r w:rsidRPr="00631890">
        <w:rPr>
          <w:rFonts w:ascii="Calibri,Bold" w:hAnsi="Calibri,Bold"/>
          <w:b/>
          <w:bCs/>
        </w:rPr>
        <w:t xml:space="preserve"> </w:t>
      </w:r>
      <w:r w:rsidRPr="00631890">
        <w:rPr>
          <w:rFonts w:cstheme="minorHAnsi"/>
        </w:rPr>
        <w:t xml:space="preserve">We suggest that </w:t>
      </w:r>
      <w:r w:rsidRPr="00B27A4F">
        <w:rPr>
          <w:rFonts w:cstheme="minorHAnsi"/>
        </w:rPr>
        <w:t xml:space="preserve">KTRs should be made aware of the existence of generics and the dangers of indiscriminate usage (2D) </w:t>
      </w:r>
    </w:p>
    <w:p w14:paraId="2E5913D4" w14:textId="77777777" w:rsidR="00076320" w:rsidRDefault="00076320" w:rsidP="00156C43">
      <w:pPr>
        <w:pStyle w:val="GuidelineSubheadings"/>
      </w:pPr>
      <w:r w:rsidRPr="00631890">
        <w:t xml:space="preserve">Guideline </w:t>
      </w:r>
      <w:r>
        <w:t>2.6.3</w:t>
      </w:r>
    </w:p>
    <w:p w14:paraId="2A5A8781" w14:textId="77777777" w:rsidR="00076320" w:rsidRDefault="00076320" w:rsidP="00076320">
      <w:pPr>
        <w:spacing w:before="100" w:beforeAutospacing="1" w:after="100" w:afterAutospacing="1" w:line="240" w:lineRule="auto"/>
        <w:rPr>
          <w:rFonts w:cstheme="minorHAnsi"/>
        </w:rPr>
      </w:pPr>
      <w:r w:rsidRPr="00631890">
        <w:rPr>
          <w:rFonts w:cstheme="minorHAnsi"/>
        </w:rPr>
        <w:t xml:space="preserve">We suggest that </w:t>
      </w:r>
      <w:r>
        <w:rPr>
          <w:rFonts w:cstheme="minorHAnsi"/>
        </w:rPr>
        <w:t>i</w:t>
      </w:r>
      <w:r w:rsidRPr="00B27A4F">
        <w:rPr>
          <w:rFonts w:cstheme="minorHAnsi"/>
        </w:rPr>
        <w:t xml:space="preserve">mmunosuppressants should be prescribed by brand name or branded generic if different formulations are available (2D) </w:t>
      </w:r>
    </w:p>
    <w:p w14:paraId="6E0D3162" w14:textId="77777777" w:rsidR="00076320" w:rsidRDefault="00076320" w:rsidP="00156C43">
      <w:pPr>
        <w:pStyle w:val="GuidelineSubheadings"/>
      </w:pPr>
      <w:r w:rsidRPr="00CC783D">
        <w:lastRenderedPageBreak/>
        <w:t xml:space="preserve">Guideline </w:t>
      </w:r>
      <w:r>
        <w:t>2.6.4</w:t>
      </w:r>
    </w:p>
    <w:p w14:paraId="0B2C6E6C" w14:textId="77777777" w:rsidR="00076320" w:rsidRPr="00213B51" w:rsidRDefault="00076320" w:rsidP="00076320">
      <w:pPr>
        <w:spacing w:before="100" w:beforeAutospacing="1" w:after="100" w:afterAutospacing="1" w:line="240" w:lineRule="auto"/>
        <w:rPr>
          <w:rFonts w:cstheme="minorHAnsi"/>
        </w:rPr>
      </w:pPr>
      <w:r w:rsidRPr="00631890">
        <w:rPr>
          <w:rFonts w:cstheme="minorHAnsi"/>
        </w:rPr>
        <w:t>We suggest that</w:t>
      </w:r>
      <w:r>
        <w:rPr>
          <w:rFonts w:cstheme="minorHAnsi"/>
        </w:rPr>
        <w:t xml:space="preserve"> K</w:t>
      </w:r>
      <w:r w:rsidRPr="00213B51">
        <w:rPr>
          <w:rFonts w:cstheme="minorHAnsi"/>
        </w:rPr>
        <w:t xml:space="preserve">TRs should be monitored closely after switching to a generic preparation until a new steady state is established (2D) </w:t>
      </w:r>
    </w:p>
    <w:p w14:paraId="4294D56A" w14:textId="17EEF86A" w:rsidR="00076320" w:rsidRDefault="00156C43" w:rsidP="00156C43">
      <w:pPr>
        <w:pStyle w:val="GuidelineUpperHeadings"/>
      </w:pPr>
      <w:bookmarkStart w:id="3" w:name="_Toc213749014"/>
      <w:r>
        <w:t xml:space="preserve">3. </w:t>
      </w:r>
      <w:r w:rsidR="009B0CA8" w:rsidRPr="00306FF4">
        <w:t xml:space="preserve">Kidney Transplant Recipient (KTR): </w:t>
      </w:r>
      <w:r w:rsidR="00076320">
        <w:t>Acute rejection, diagnosis and treatment (Guidelines 3.1-3.</w:t>
      </w:r>
      <w:r w:rsidR="00076320" w:rsidRPr="008B0E08">
        <w:t>2.9)</w:t>
      </w:r>
      <w:bookmarkEnd w:id="3"/>
    </w:p>
    <w:p w14:paraId="62CC157A" w14:textId="77777777" w:rsidR="00076320" w:rsidRPr="00D24B56" w:rsidRDefault="00076320" w:rsidP="00156C43">
      <w:pPr>
        <w:pStyle w:val="GuidelineHeadings"/>
      </w:pPr>
      <w:r w:rsidRPr="00D24B56">
        <w:t>Guideline 3.1 – KTR: Diagnosis of acute rejection</w:t>
      </w:r>
    </w:p>
    <w:p w14:paraId="4A60DE95" w14:textId="77777777" w:rsidR="00076320" w:rsidRDefault="00076320" w:rsidP="00156C43">
      <w:pPr>
        <w:pStyle w:val="GuidelineSubheadings"/>
      </w:pPr>
      <w:r w:rsidRPr="00D24B56">
        <w:t>Guideline 3.1</w:t>
      </w:r>
      <w:r>
        <w:t>.1</w:t>
      </w:r>
    </w:p>
    <w:p w14:paraId="0147DE3D" w14:textId="77777777" w:rsidR="00076320" w:rsidRPr="00B15C4F" w:rsidRDefault="00076320" w:rsidP="00076320">
      <w:pPr>
        <w:spacing w:line="240" w:lineRule="auto"/>
        <w:jc w:val="both"/>
      </w:pPr>
      <w:r w:rsidRPr="0012666B">
        <w:t xml:space="preserve">We recommend that a transplant renal biopsy should be carried out before treating an acute rejection episode </w:t>
      </w:r>
      <w:r w:rsidRPr="00B15C4F">
        <w:t>unless this will substantially delay treatment or pose a significant risk to the patient. (1C)</w:t>
      </w:r>
    </w:p>
    <w:p w14:paraId="3D25710C" w14:textId="77777777" w:rsidR="00076320" w:rsidRDefault="00076320" w:rsidP="00156C43">
      <w:pPr>
        <w:pStyle w:val="GuidelineSubheadings"/>
      </w:pPr>
      <w:r w:rsidRPr="00D24B56">
        <w:t>Guideline 3.1</w:t>
      </w:r>
      <w:r>
        <w:t>.2</w:t>
      </w:r>
    </w:p>
    <w:p w14:paraId="606EBD9D" w14:textId="77777777" w:rsidR="00076320" w:rsidRPr="00D24B56" w:rsidRDefault="00076320" w:rsidP="00076320">
      <w:pPr>
        <w:spacing w:line="240" w:lineRule="auto"/>
        <w:jc w:val="both"/>
        <w:rPr>
          <w:bCs/>
        </w:rPr>
      </w:pPr>
      <w:r w:rsidRPr="00D24B56">
        <w:rPr>
          <w:bCs/>
        </w:rPr>
        <w:t>We suggest that two cores of renal tissue should be obtained if possible since this will increase the sensitivity of the investigation. (2C)</w:t>
      </w:r>
    </w:p>
    <w:p w14:paraId="136D16B1" w14:textId="77777777" w:rsidR="00076320" w:rsidRDefault="00076320" w:rsidP="00156C43">
      <w:pPr>
        <w:pStyle w:val="GuidelineSubheadings"/>
      </w:pPr>
      <w:r w:rsidRPr="00D24B56">
        <w:t>Guideline 3.1</w:t>
      </w:r>
      <w:r>
        <w:t>.3</w:t>
      </w:r>
    </w:p>
    <w:p w14:paraId="5B0C31EE" w14:textId="77777777" w:rsidR="00076320" w:rsidRPr="00D24B56" w:rsidRDefault="00076320" w:rsidP="00076320">
      <w:pPr>
        <w:spacing w:line="240" w:lineRule="auto"/>
        <w:jc w:val="both"/>
        <w:rPr>
          <w:bCs/>
        </w:rPr>
      </w:pPr>
      <w:r w:rsidRPr="00D24B56">
        <w:rPr>
          <w:bCs/>
        </w:rPr>
        <w:t xml:space="preserve">We recommend that a </w:t>
      </w:r>
      <w:proofErr w:type="gramStart"/>
      <w:r w:rsidRPr="00D24B56">
        <w:rPr>
          <w:bCs/>
        </w:rPr>
        <w:t>16 gauge</w:t>
      </w:r>
      <w:proofErr w:type="gramEnd"/>
      <w:r w:rsidRPr="00D24B56">
        <w:rPr>
          <w:bCs/>
        </w:rPr>
        <w:t xml:space="preserve"> automated core biopsy needle is used where possible to provide the best compromise between diagnostic usefulness and patient tolerance of the procedure. (1C)</w:t>
      </w:r>
    </w:p>
    <w:p w14:paraId="7DE4690C" w14:textId="77777777" w:rsidR="00076320" w:rsidRDefault="00076320" w:rsidP="00156C43">
      <w:pPr>
        <w:pStyle w:val="GuidelineSubheadings"/>
      </w:pPr>
      <w:r w:rsidRPr="00D24B56">
        <w:t>Guideline 3.1</w:t>
      </w:r>
      <w:r>
        <w:t>.4</w:t>
      </w:r>
    </w:p>
    <w:p w14:paraId="3E9EFFA6" w14:textId="77777777" w:rsidR="00076320" w:rsidRPr="00D24B56" w:rsidRDefault="00076320" w:rsidP="00076320">
      <w:pPr>
        <w:spacing w:line="240" w:lineRule="auto"/>
        <w:jc w:val="both"/>
        <w:rPr>
          <w:bCs/>
        </w:rPr>
      </w:pPr>
      <w:r w:rsidRPr="00D24B56">
        <w:rPr>
          <w:bCs/>
        </w:rPr>
        <w:t>We recommend that a protocol transplant renal biopsy, defined as a biopsy performed in a stable graft without clinical evidence of acute rejection (proteinuria, rising creatinine), be considered in the setting of persisting delayed graft function (DGF). (1C)</w:t>
      </w:r>
    </w:p>
    <w:p w14:paraId="74C25ABE" w14:textId="77777777" w:rsidR="00076320" w:rsidRDefault="00076320" w:rsidP="00156C43">
      <w:pPr>
        <w:pStyle w:val="GuidelineSubheadings"/>
      </w:pPr>
      <w:r w:rsidRPr="00D24B56">
        <w:t>Guideline 3.1</w:t>
      </w:r>
      <w:r>
        <w:t>.5</w:t>
      </w:r>
    </w:p>
    <w:p w14:paraId="5F202A40" w14:textId="3B10B2C5" w:rsidR="00076320" w:rsidRPr="00D24B56" w:rsidRDefault="00076320" w:rsidP="00076320">
      <w:pPr>
        <w:spacing w:line="240" w:lineRule="auto"/>
        <w:jc w:val="both"/>
        <w:rPr>
          <w:rFonts w:cstheme="minorHAnsi"/>
          <w:bCs/>
        </w:rPr>
      </w:pPr>
      <w:r w:rsidRPr="00D24B56">
        <w:rPr>
          <w:rFonts w:cstheme="minorHAnsi"/>
          <w:bCs/>
        </w:rPr>
        <w:t xml:space="preserve">We recommend transplant biopsies are reported according to Banff criteria and that routine C4d </w:t>
      </w:r>
      <w:r w:rsidRPr="00D24B56">
        <w:rPr>
          <w:rFonts w:cstheme="minorHAnsi"/>
          <w:bCs/>
          <w:color w:val="000000" w:themeColor="text1"/>
        </w:rPr>
        <w:t xml:space="preserve">and SV40 </w:t>
      </w:r>
      <w:r w:rsidRPr="00D24B56">
        <w:rPr>
          <w:rFonts w:cstheme="minorHAnsi"/>
          <w:bCs/>
        </w:rPr>
        <w:t xml:space="preserve">staining should be performed </w:t>
      </w:r>
      <w:r w:rsidR="00334F3C">
        <w:rPr>
          <w:rFonts w:cstheme="minorHAnsi"/>
          <w:bCs/>
        </w:rPr>
        <w:t>on</w:t>
      </w:r>
      <w:r w:rsidRPr="00D24B56">
        <w:rPr>
          <w:rFonts w:cstheme="minorHAnsi"/>
          <w:bCs/>
        </w:rPr>
        <w:t xml:space="preserve"> transplant biopsy samples. (1C)</w:t>
      </w:r>
    </w:p>
    <w:p w14:paraId="7001C392" w14:textId="77777777" w:rsidR="00076320" w:rsidRDefault="00076320" w:rsidP="00156C43">
      <w:pPr>
        <w:pStyle w:val="GuidelineSubheadings"/>
      </w:pPr>
      <w:r w:rsidRPr="00D24B56">
        <w:t>Guideline 3.1</w:t>
      </w:r>
      <w:r>
        <w:t>.6</w:t>
      </w:r>
    </w:p>
    <w:p w14:paraId="0EB8AE94" w14:textId="02BA324C" w:rsidR="00076320" w:rsidRDefault="00076320" w:rsidP="00076320">
      <w:pPr>
        <w:spacing w:line="240" w:lineRule="auto"/>
        <w:rPr>
          <w:rFonts w:cstheme="minorHAnsi"/>
        </w:rPr>
      </w:pPr>
      <w:r w:rsidRPr="00D24B56">
        <w:rPr>
          <w:rFonts w:cstheme="minorHAnsi"/>
        </w:rPr>
        <w:t xml:space="preserve">We suggest that a serum sample be sent at the time of transplant biopsy (for graft dysfunction) to look </w:t>
      </w:r>
      <w:r w:rsidR="00656F35">
        <w:rPr>
          <w:rFonts w:cstheme="minorHAnsi"/>
        </w:rPr>
        <w:t>for donor specific HLA antibodies</w:t>
      </w:r>
      <w:r w:rsidRPr="00D24B56">
        <w:rPr>
          <w:rFonts w:cstheme="minorHAnsi"/>
        </w:rPr>
        <w:t xml:space="preserve"> </w:t>
      </w:r>
      <w:r w:rsidR="00656F35">
        <w:rPr>
          <w:rFonts w:cstheme="minorHAnsi"/>
        </w:rPr>
        <w:t xml:space="preserve">(DSA) </w:t>
      </w:r>
      <w:r w:rsidRPr="00D24B56">
        <w:rPr>
          <w:rFonts w:cstheme="minorHAnsi"/>
        </w:rPr>
        <w:t>(2C).</w:t>
      </w:r>
    </w:p>
    <w:p w14:paraId="5E0E2507" w14:textId="77777777" w:rsidR="00076320" w:rsidRDefault="00076320" w:rsidP="00156C43">
      <w:pPr>
        <w:pStyle w:val="GuidelineHeadings"/>
      </w:pPr>
      <w:r w:rsidRPr="00D24B56">
        <w:t>Guideline 3.</w:t>
      </w:r>
      <w:r>
        <w:t>2</w:t>
      </w:r>
      <w:r w:rsidRPr="00D24B56">
        <w:t xml:space="preserve"> – KTR: </w:t>
      </w:r>
      <w:r>
        <w:t>Treatment</w:t>
      </w:r>
      <w:r w:rsidRPr="00D24B56">
        <w:t xml:space="preserve"> of acute rejection</w:t>
      </w:r>
    </w:p>
    <w:p w14:paraId="5FAF5F66" w14:textId="77777777" w:rsidR="00076320" w:rsidRDefault="00076320" w:rsidP="00156C43">
      <w:pPr>
        <w:pStyle w:val="GuidelineSubheadings"/>
      </w:pPr>
      <w:r w:rsidRPr="00D24B56">
        <w:t>Guideline 3.</w:t>
      </w:r>
      <w:r>
        <w:t>2.1</w:t>
      </w:r>
    </w:p>
    <w:p w14:paraId="65EBAE6F" w14:textId="77777777" w:rsidR="00076320" w:rsidRPr="005C435A" w:rsidRDefault="00076320" w:rsidP="00076320">
      <w:r w:rsidRPr="005C435A">
        <w:t>We suggest that borderline acute cellular rejection should be treated in the context of acute graft dysfunction (2D)</w:t>
      </w:r>
    </w:p>
    <w:p w14:paraId="1D8FC51F" w14:textId="77777777" w:rsidR="00076320" w:rsidRDefault="00076320" w:rsidP="00156C43">
      <w:pPr>
        <w:pStyle w:val="GuidelineSubheadings"/>
      </w:pPr>
      <w:r w:rsidRPr="00D24B56">
        <w:t>Guideline 3.</w:t>
      </w:r>
      <w:r>
        <w:t>2.2</w:t>
      </w:r>
    </w:p>
    <w:p w14:paraId="2F8A0636" w14:textId="77777777" w:rsidR="00076320" w:rsidRPr="005C435A" w:rsidRDefault="00076320" w:rsidP="00076320">
      <w:pPr>
        <w:jc w:val="both"/>
      </w:pPr>
      <w:r w:rsidRPr="005C435A">
        <w:t>We recommend that maintenance steroids should be added or restarted in steroid-free patients undergoing acute rejection of any type (1D)</w:t>
      </w:r>
    </w:p>
    <w:p w14:paraId="5D1D1830" w14:textId="77777777" w:rsidR="00076320" w:rsidRDefault="00076320" w:rsidP="00156C43">
      <w:pPr>
        <w:pStyle w:val="GuidelineSubheadings"/>
      </w:pPr>
      <w:r w:rsidRPr="00D24B56">
        <w:t>Guideline 3.</w:t>
      </w:r>
      <w:r>
        <w:t>2.3</w:t>
      </w:r>
    </w:p>
    <w:p w14:paraId="4035C9B8" w14:textId="77777777" w:rsidR="00076320" w:rsidRPr="005C435A" w:rsidRDefault="00076320" w:rsidP="00076320">
      <w:pPr>
        <w:jc w:val="both"/>
      </w:pPr>
      <w:r w:rsidRPr="005C435A">
        <w:lastRenderedPageBreak/>
        <w:t xml:space="preserve">We recommend that high dose intravenous corticosteroids should be the first line treatment for acute cellular rejection (1C) </w:t>
      </w:r>
    </w:p>
    <w:p w14:paraId="6A888157" w14:textId="77777777" w:rsidR="00076320" w:rsidRDefault="00076320" w:rsidP="00156C43">
      <w:pPr>
        <w:pStyle w:val="GuidelineSubheadings"/>
      </w:pPr>
      <w:r w:rsidRPr="00D24B56">
        <w:t>Guideline 3.</w:t>
      </w:r>
      <w:r>
        <w:t>2.4</w:t>
      </w:r>
    </w:p>
    <w:p w14:paraId="11D6DD38" w14:textId="77777777" w:rsidR="00076320" w:rsidRPr="005C435A" w:rsidRDefault="00076320" w:rsidP="00076320">
      <w:pPr>
        <w:jc w:val="both"/>
      </w:pPr>
      <w:r w:rsidRPr="005C435A">
        <w:t xml:space="preserve">We recommend </w:t>
      </w:r>
      <w:r w:rsidRPr="005C435A">
        <w:rPr>
          <w:color w:val="000000" w:themeColor="text1"/>
        </w:rPr>
        <w:t xml:space="preserve">that T-cell depleting </w:t>
      </w:r>
      <w:r w:rsidRPr="005C435A">
        <w:t>agents are considered for refractory acute cellular rejection or aggressive vascular cellular rejection (i.e. Banff category 4 Type II and III</w:t>
      </w:r>
      <w:proofErr w:type="gramStart"/>
      <w:r w:rsidRPr="005C435A">
        <w:t>)  (</w:t>
      </w:r>
      <w:proofErr w:type="gramEnd"/>
      <w:r w:rsidRPr="005C435A">
        <w:t>1B)</w:t>
      </w:r>
    </w:p>
    <w:p w14:paraId="7AF1756C" w14:textId="77777777" w:rsidR="00076320" w:rsidRDefault="00076320" w:rsidP="00156C43">
      <w:pPr>
        <w:pStyle w:val="GuidelineSubheadings"/>
      </w:pPr>
      <w:r w:rsidRPr="00D24B56">
        <w:t>Guideline 3.</w:t>
      </w:r>
      <w:r>
        <w:t>2.5</w:t>
      </w:r>
    </w:p>
    <w:p w14:paraId="1C32A666" w14:textId="77777777" w:rsidR="00076320" w:rsidRPr="005C435A" w:rsidRDefault="00076320" w:rsidP="00076320">
      <w:pPr>
        <w:jc w:val="both"/>
        <w:rPr>
          <w:color w:val="FF0000"/>
        </w:rPr>
      </w:pPr>
      <w:r w:rsidRPr="005C435A">
        <w:t>We suggest that acute antibody mediated rejection (</w:t>
      </w:r>
      <w:proofErr w:type="spellStart"/>
      <w:r w:rsidRPr="005C435A">
        <w:t>aAMR</w:t>
      </w:r>
      <w:proofErr w:type="spellEnd"/>
      <w:r w:rsidRPr="005C435A">
        <w:t xml:space="preserve">) should be treated with one or more of the following modalities: steroids; plasma exchange; intravenous immunoglobulin; lymphocyte depleting antibody (2B) </w:t>
      </w:r>
    </w:p>
    <w:p w14:paraId="5E265BC3" w14:textId="77777777" w:rsidR="00076320" w:rsidRDefault="00076320" w:rsidP="00156C43">
      <w:pPr>
        <w:pStyle w:val="GuidelineSubheadings"/>
      </w:pPr>
      <w:r w:rsidRPr="00D24B56">
        <w:t>Guideline 3.</w:t>
      </w:r>
      <w:r>
        <w:t>2.6</w:t>
      </w:r>
    </w:p>
    <w:p w14:paraId="009B3756" w14:textId="77777777" w:rsidR="00076320" w:rsidRPr="005C435A" w:rsidRDefault="00076320" w:rsidP="00076320">
      <w:pPr>
        <w:jc w:val="both"/>
        <w:rPr>
          <w:i/>
          <w:iCs/>
        </w:rPr>
      </w:pPr>
      <w:r w:rsidRPr="005C435A">
        <w:t>We recommend that the BTS guidelines on antibody incompatible transplantation should be followed for management of rejection in the context of antibody incompatible transplantation (1A-D)</w:t>
      </w:r>
    </w:p>
    <w:p w14:paraId="5DA69C82" w14:textId="77777777" w:rsidR="00076320" w:rsidRDefault="00076320" w:rsidP="00156C43">
      <w:pPr>
        <w:pStyle w:val="GuidelineSubheadings"/>
      </w:pPr>
      <w:r w:rsidRPr="00D24B56">
        <w:t>Guideline 3.</w:t>
      </w:r>
      <w:r>
        <w:t>2.7</w:t>
      </w:r>
    </w:p>
    <w:p w14:paraId="5BCEFEE4" w14:textId="77777777" w:rsidR="00076320" w:rsidRPr="005C435A" w:rsidRDefault="00076320" w:rsidP="00076320">
      <w:pPr>
        <w:jc w:val="both"/>
      </w:pPr>
      <w:r w:rsidRPr="005C435A">
        <w:t>We recommend after an episode of rejection (unless associated with low CNI levels) that azathioprine should be switched to MPA-based immunosuppression, MPA should be started or the existing dose of MPA maximised and ciclosporin and sirolimus should be switched to tacrolimus (1C)</w:t>
      </w:r>
    </w:p>
    <w:p w14:paraId="2F156A10" w14:textId="77777777" w:rsidR="00076320" w:rsidRDefault="00076320" w:rsidP="00156C43">
      <w:pPr>
        <w:pStyle w:val="GuidelineSubheadings"/>
      </w:pPr>
      <w:r w:rsidRPr="00D24B56">
        <w:t>Guideline 3.</w:t>
      </w:r>
      <w:r>
        <w:t>2.8</w:t>
      </w:r>
    </w:p>
    <w:p w14:paraId="6392BD9B" w14:textId="77777777" w:rsidR="00076320" w:rsidRPr="005C435A" w:rsidRDefault="00076320" w:rsidP="00076320">
      <w:pPr>
        <w:jc w:val="both"/>
      </w:pPr>
      <w:r w:rsidRPr="005C435A">
        <w:t>We recommend that patients with acute AMR receive (or are switched to) baseline immunosuppression including tacrolimus, mycophenolate mofetil and corticosteroids, and are treated with high dose steroids (1C)</w:t>
      </w:r>
    </w:p>
    <w:p w14:paraId="0F80BC54" w14:textId="77777777" w:rsidR="00076320" w:rsidRDefault="00076320" w:rsidP="00156C43">
      <w:pPr>
        <w:pStyle w:val="GuidelineSubheadings"/>
      </w:pPr>
      <w:r w:rsidRPr="00D24B56">
        <w:t>Guideline 3.</w:t>
      </w:r>
      <w:r>
        <w:t>2.9</w:t>
      </w:r>
    </w:p>
    <w:p w14:paraId="58C58DE6" w14:textId="77777777" w:rsidR="00076320" w:rsidRPr="005C435A" w:rsidRDefault="00076320" w:rsidP="00076320">
      <w:pPr>
        <w:jc w:val="both"/>
      </w:pPr>
      <w:r w:rsidRPr="005C435A">
        <w:t xml:space="preserve">We recommend patients with acute AMR in the presence of a detectable DSA receive extracorporeal antibody removal with five cycles of treatment or until the DSA is no longer detectable (1C) </w:t>
      </w:r>
    </w:p>
    <w:p w14:paraId="2DE190EA" w14:textId="45BCB9AC" w:rsidR="00076320" w:rsidRPr="00D24B56" w:rsidRDefault="00156C43" w:rsidP="00156C43">
      <w:pPr>
        <w:pStyle w:val="GuidelineUpperHeadings"/>
      </w:pPr>
      <w:bookmarkStart w:id="4" w:name="_Toc213749015"/>
      <w:r>
        <w:t xml:space="preserve">4. </w:t>
      </w:r>
      <w:r w:rsidR="009B0CA8" w:rsidRPr="00306FF4">
        <w:t xml:space="preserve">Kidney Transplant Recipient (KTR): </w:t>
      </w:r>
      <w:r w:rsidR="00076320">
        <w:t>Chronic Allograft Injury (Guidelines 4.1 – 4.4)</w:t>
      </w:r>
      <w:bookmarkEnd w:id="4"/>
    </w:p>
    <w:p w14:paraId="41812B1D" w14:textId="53213BA5" w:rsidR="00076320" w:rsidRDefault="009314E9" w:rsidP="00D45F7B">
      <w:pPr>
        <w:pStyle w:val="GuidelineHeadings"/>
      </w:pPr>
      <w:r>
        <w:t>Guideline</w:t>
      </w:r>
      <w:r w:rsidR="00D45F7B">
        <w:t xml:space="preserve"> 4.1 – Definition of Chronic Allograft Injury</w:t>
      </w:r>
    </w:p>
    <w:p w14:paraId="0D3D7F97" w14:textId="631D1ED7" w:rsidR="00337CD3" w:rsidRDefault="00337CD3" w:rsidP="00067A88">
      <w:pPr>
        <w:pStyle w:val="ListParagraph"/>
        <w:numPr>
          <w:ilvl w:val="0"/>
          <w:numId w:val="22"/>
        </w:numPr>
      </w:pPr>
      <w:r w:rsidRPr="00337CD3">
        <w:t>Chronic allograft injury</w:t>
      </w:r>
      <w:r w:rsidR="007E61D7">
        <w:t xml:space="preserve"> (CAI)</w:t>
      </w:r>
      <w:r w:rsidRPr="00337CD3">
        <w:t xml:space="preserve"> is defined as a slowly progressive decline in graft function beyond the first year of transplantation, ultimately resulting in graft failure. It is thought to be a multifactorial process mediated via persistent alloimmune injury, recurrent/de-novo glomerular disease, infections, calcineurin (CNI) toxicity, and other recipient/donor-related factors. </w:t>
      </w:r>
      <w:r w:rsidR="00453536">
        <w:t>(</w:t>
      </w:r>
      <w:r w:rsidRPr="00337CD3">
        <w:t>1B</w:t>
      </w:r>
      <w:r w:rsidR="00453536">
        <w:t>)</w:t>
      </w:r>
    </w:p>
    <w:p w14:paraId="238AC5BA" w14:textId="77777777" w:rsidR="007E61D7" w:rsidRDefault="007E61D7" w:rsidP="00337CD3">
      <w:pPr>
        <w:spacing w:after="0" w:line="276" w:lineRule="auto"/>
        <w:jc w:val="both"/>
        <w:rPr>
          <w:rFonts w:cstheme="minorHAnsi"/>
          <w:sz w:val="22"/>
          <w:szCs w:val="22"/>
        </w:rPr>
      </w:pPr>
    </w:p>
    <w:p w14:paraId="59A9BC7D" w14:textId="5F2DA300" w:rsidR="007E61D7" w:rsidRDefault="007E61D7" w:rsidP="007E61D7">
      <w:pPr>
        <w:pStyle w:val="GuidelineHeadings"/>
      </w:pPr>
      <w:r>
        <w:lastRenderedPageBreak/>
        <w:t>Guideline 4.2 – Detection of CAI</w:t>
      </w:r>
    </w:p>
    <w:p w14:paraId="2F0204BE" w14:textId="755D00C8" w:rsidR="00421E18" w:rsidRPr="00421E18" w:rsidRDefault="00850EC8" w:rsidP="00067A88">
      <w:pPr>
        <w:pStyle w:val="ListParagraph"/>
        <w:numPr>
          <w:ilvl w:val="0"/>
          <w:numId w:val="21"/>
        </w:numPr>
      </w:pPr>
      <w:r>
        <w:t>We recommend</w:t>
      </w:r>
      <w:r w:rsidR="00421E18">
        <w:t xml:space="preserve"> </w:t>
      </w:r>
      <w:r w:rsidR="00421E18" w:rsidRPr="00421E18">
        <w:rPr>
          <w:rFonts w:cstheme="minorHAnsi"/>
        </w:rPr>
        <w:t xml:space="preserve">early identification of graft injury is desirable to identify reversible causes early and maximise the potential for intervention. </w:t>
      </w:r>
      <w:r w:rsidR="00453536">
        <w:rPr>
          <w:rFonts w:cstheme="minorHAnsi"/>
        </w:rPr>
        <w:t>(</w:t>
      </w:r>
      <w:r w:rsidR="00421E18" w:rsidRPr="00421E18">
        <w:rPr>
          <w:rFonts w:cstheme="minorHAnsi"/>
        </w:rPr>
        <w:t>1A</w:t>
      </w:r>
      <w:r w:rsidR="00453536">
        <w:rPr>
          <w:rFonts w:cstheme="minorHAnsi"/>
        </w:rPr>
        <w:t>)</w:t>
      </w:r>
    </w:p>
    <w:p w14:paraId="058AAFFE" w14:textId="77777777" w:rsidR="00052F01" w:rsidRDefault="00052F01" w:rsidP="00067A88">
      <w:pPr>
        <w:pStyle w:val="ListParagraph"/>
        <w:numPr>
          <w:ilvl w:val="0"/>
          <w:numId w:val="21"/>
        </w:numPr>
      </w:pPr>
      <w:r w:rsidRPr="00052F01">
        <w:t xml:space="preserve">We suggest that renal function should be monitored at each clinic visit by assessment of serum creatinine and qualitative evaluation of urine protein excretion by dipstick, supplemented by urinary </w:t>
      </w:r>
      <w:proofErr w:type="spellStart"/>
      <w:r w:rsidRPr="00052F01">
        <w:t>protein:creatinine</w:t>
      </w:r>
      <w:proofErr w:type="spellEnd"/>
      <w:r w:rsidRPr="00052F01">
        <w:t xml:space="preserve"> ratio (</w:t>
      </w:r>
      <w:proofErr w:type="spellStart"/>
      <w:r w:rsidRPr="00052F01">
        <w:t>uPCR</w:t>
      </w:r>
      <w:proofErr w:type="spellEnd"/>
      <w:r w:rsidRPr="00052F01">
        <w:t xml:space="preserve">) or </w:t>
      </w:r>
      <w:proofErr w:type="spellStart"/>
      <w:r w:rsidRPr="00052F01">
        <w:t>albumin:creatinine</w:t>
      </w:r>
      <w:proofErr w:type="spellEnd"/>
      <w:r w:rsidRPr="00052F01">
        <w:t xml:space="preserve"> ratio (</w:t>
      </w:r>
      <w:proofErr w:type="spellStart"/>
      <w:r w:rsidRPr="00052F01">
        <w:t>uACR</w:t>
      </w:r>
      <w:proofErr w:type="spellEnd"/>
      <w:r w:rsidRPr="00052F01">
        <w:t>) if positive (2C)</w:t>
      </w:r>
    </w:p>
    <w:p w14:paraId="7E200F90" w14:textId="788D7469" w:rsidR="00421E18" w:rsidRDefault="00961519" w:rsidP="00961519">
      <w:pPr>
        <w:pStyle w:val="GuidelineHeadings"/>
      </w:pPr>
      <w:r>
        <w:t>Guideline 4.3 – Investigation of CAI</w:t>
      </w:r>
    </w:p>
    <w:p w14:paraId="2FB9046A" w14:textId="6F621881" w:rsidR="008F5CCC" w:rsidRDefault="008F5CCC" w:rsidP="00067A88">
      <w:pPr>
        <w:pStyle w:val="ListParagraph"/>
        <w:numPr>
          <w:ilvl w:val="0"/>
          <w:numId w:val="23"/>
        </w:numPr>
      </w:pPr>
      <w:r>
        <w:t xml:space="preserve">We recommend that worsening renal function and proteinuria should be investigated by a biopsy to distinguish between the underlying aetiology and identify potentially reversible causes. </w:t>
      </w:r>
      <w:r w:rsidR="00453536">
        <w:t>(</w:t>
      </w:r>
      <w:r>
        <w:t>1C</w:t>
      </w:r>
      <w:r w:rsidR="00453536">
        <w:t>)</w:t>
      </w:r>
    </w:p>
    <w:p w14:paraId="419CBB2E" w14:textId="52812BC5" w:rsidR="008F5CCC" w:rsidRDefault="008F5CCC" w:rsidP="00067A88">
      <w:pPr>
        <w:pStyle w:val="ListParagraph"/>
        <w:numPr>
          <w:ilvl w:val="0"/>
          <w:numId w:val="23"/>
        </w:numPr>
      </w:pPr>
      <w:r>
        <w:t xml:space="preserve">We suggest that serum samples should be sent for HLA antibody screening and BK PCR at the same time as a kidney biopsy. </w:t>
      </w:r>
      <w:r w:rsidR="00453536">
        <w:t>(</w:t>
      </w:r>
      <w:r>
        <w:t>1B</w:t>
      </w:r>
      <w:r w:rsidR="00453536">
        <w:t>)</w:t>
      </w:r>
    </w:p>
    <w:p w14:paraId="1FD07E30" w14:textId="7626AFAF" w:rsidR="008F5CCC" w:rsidRDefault="008F5CCC" w:rsidP="00067A88">
      <w:pPr>
        <w:pStyle w:val="ListParagraph"/>
        <w:numPr>
          <w:ilvl w:val="0"/>
          <w:numId w:val="23"/>
        </w:numPr>
      </w:pPr>
      <w:r>
        <w:t xml:space="preserve">We suggest that kidney biopsies be reported using current Banff criteria and transplant kidney biopsies should be stained for C4d and SV40. </w:t>
      </w:r>
      <w:r w:rsidR="00453536">
        <w:t>(</w:t>
      </w:r>
      <w:r>
        <w:t>2C</w:t>
      </w:r>
      <w:r w:rsidR="00453536">
        <w:t>)</w:t>
      </w:r>
    </w:p>
    <w:p w14:paraId="526FFCD9" w14:textId="3000067A" w:rsidR="008F5CCC" w:rsidRDefault="008F5CCC" w:rsidP="00067A88">
      <w:pPr>
        <w:pStyle w:val="ListParagraph"/>
        <w:numPr>
          <w:ilvl w:val="0"/>
          <w:numId w:val="23"/>
        </w:numPr>
      </w:pPr>
      <w:r>
        <w:t xml:space="preserve">We suggest analysing historical and current CNI trough levels to identify possible CNI toxicity and possible non-adherence. </w:t>
      </w:r>
      <w:r w:rsidR="00453536">
        <w:t>(</w:t>
      </w:r>
      <w:r>
        <w:t>2B</w:t>
      </w:r>
      <w:r w:rsidR="00453536">
        <w:t>)</w:t>
      </w:r>
    </w:p>
    <w:p w14:paraId="6315917F" w14:textId="2CE36B9C" w:rsidR="00850EC8" w:rsidRDefault="008F5CCC" w:rsidP="00067A88">
      <w:pPr>
        <w:pStyle w:val="ListParagraph"/>
        <w:numPr>
          <w:ilvl w:val="0"/>
          <w:numId w:val="23"/>
        </w:numPr>
      </w:pPr>
      <w:r>
        <w:t>There is insufficient evidence to recommend magnetic resonance imaging to establish the degree of interstitial fibrosis as part of the investigations of chronic allograft nephropathy.</w:t>
      </w:r>
    </w:p>
    <w:p w14:paraId="369E75A1" w14:textId="15D51271" w:rsidR="008F5CCC" w:rsidRDefault="008F5CCC" w:rsidP="008F5CCC">
      <w:pPr>
        <w:pStyle w:val="GuidelineHeadings"/>
      </w:pPr>
      <w:r>
        <w:t>Guideline 4.4 – Management of CAI</w:t>
      </w:r>
    </w:p>
    <w:p w14:paraId="094F2FE1" w14:textId="4A20CE06" w:rsidR="002C4007" w:rsidRPr="00524CA4" w:rsidRDefault="00C30484" w:rsidP="00C30484">
      <w:pPr>
        <w:pStyle w:val="GuidelineSubheadings"/>
      </w:pPr>
      <w:r>
        <w:t xml:space="preserve">Guideline 4.4.1 - </w:t>
      </w:r>
      <w:r w:rsidR="002C4007" w:rsidRPr="00524CA4">
        <w:t xml:space="preserve">Chronic </w:t>
      </w:r>
      <w:r w:rsidR="002C4007">
        <w:t>antibody-mediated</w:t>
      </w:r>
      <w:r w:rsidR="002C4007" w:rsidRPr="00524CA4">
        <w:t xml:space="preserve"> rejection</w:t>
      </w:r>
    </w:p>
    <w:p w14:paraId="33B5E109" w14:textId="227A2D19" w:rsidR="002C4007" w:rsidRPr="00524CA4" w:rsidRDefault="002C4007" w:rsidP="00067A88">
      <w:pPr>
        <w:pStyle w:val="ListParagraph"/>
        <w:numPr>
          <w:ilvl w:val="0"/>
          <w:numId w:val="24"/>
        </w:numPr>
      </w:pPr>
      <w:r w:rsidRPr="00524CA4">
        <w:t xml:space="preserve">Chronic </w:t>
      </w:r>
      <w:r>
        <w:t>antibody-mediated</w:t>
      </w:r>
      <w:r w:rsidRPr="00524CA4">
        <w:t xml:space="preserve"> rejection (</w:t>
      </w:r>
      <w:proofErr w:type="spellStart"/>
      <w:r w:rsidRPr="00524CA4">
        <w:t>cABMR</w:t>
      </w:r>
      <w:proofErr w:type="spellEnd"/>
      <w:r w:rsidRPr="00524CA4">
        <w:t xml:space="preserve">) is the commonest cause of graft loss amongst transplant recipients. There is currently no evidence to make specific recommendations for </w:t>
      </w:r>
      <w:r>
        <w:t xml:space="preserve">the </w:t>
      </w:r>
      <w:r w:rsidRPr="00524CA4">
        <w:t xml:space="preserve">treatment of </w:t>
      </w:r>
      <w:proofErr w:type="spellStart"/>
      <w:r w:rsidRPr="00524CA4">
        <w:t>cABMR</w:t>
      </w:r>
      <w:proofErr w:type="spellEnd"/>
      <w:r w:rsidRPr="00524CA4">
        <w:t>, including IVIG and PLEX with or without rituximab. (</w:t>
      </w:r>
      <w:r w:rsidR="00453536">
        <w:t>2</w:t>
      </w:r>
      <w:r w:rsidRPr="00524CA4">
        <w:t>C)</w:t>
      </w:r>
    </w:p>
    <w:p w14:paraId="478018D5" w14:textId="00523829" w:rsidR="002C4007" w:rsidRDefault="002C4007" w:rsidP="00067A88">
      <w:pPr>
        <w:pStyle w:val="ListParagraph"/>
        <w:numPr>
          <w:ilvl w:val="0"/>
          <w:numId w:val="24"/>
        </w:numPr>
      </w:pPr>
      <w:r w:rsidRPr="00524CA4">
        <w:t>We suggest that patients receive intensification of their maintenance immunosuppression where possible</w:t>
      </w:r>
      <w:r>
        <w:t>,</w:t>
      </w:r>
      <w:r w:rsidRPr="00524CA4">
        <w:t xml:space="preserve"> and treatment non-adherence should be addressed. </w:t>
      </w:r>
      <w:r w:rsidR="00F872E4">
        <w:t>(</w:t>
      </w:r>
      <w:r w:rsidRPr="00524CA4">
        <w:t>1C</w:t>
      </w:r>
      <w:r w:rsidR="00F872E4">
        <w:t>)</w:t>
      </w:r>
    </w:p>
    <w:p w14:paraId="737EA75E" w14:textId="02F52783" w:rsidR="00231184" w:rsidRDefault="00231184" w:rsidP="00231184">
      <w:pPr>
        <w:pStyle w:val="ListParagraph"/>
        <w:numPr>
          <w:ilvl w:val="0"/>
          <w:numId w:val="24"/>
        </w:numPr>
      </w:pPr>
      <w:r>
        <w:t>We suggest that recurrence of primary glomerulonephritis should be managed in line with international guidelines published by other reputable bodies.</w:t>
      </w:r>
      <w:r w:rsidR="2DC6FFB2">
        <w:t xml:space="preserve"> (Not graded)</w:t>
      </w:r>
    </w:p>
    <w:p w14:paraId="7614D6D3" w14:textId="2A30D11D" w:rsidR="00231184" w:rsidRPr="00524CA4" w:rsidRDefault="00231184" w:rsidP="0091722E">
      <w:pPr>
        <w:pStyle w:val="ListParagraph"/>
        <w:numPr>
          <w:ilvl w:val="0"/>
          <w:numId w:val="24"/>
        </w:numPr>
      </w:pPr>
      <w:r>
        <w:t xml:space="preserve">We suggest that in patients with </w:t>
      </w:r>
      <w:proofErr w:type="spellStart"/>
      <w:r>
        <w:t>cABMR</w:t>
      </w:r>
      <w:proofErr w:type="spellEnd"/>
      <w:r>
        <w:t xml:space="preserve">, supportive care should be provided to optimise blood pressure, blood glucose and lipid control, as per Chapter 5 in this guideline. </w:t>
      </w:r>
      <w:r w:rsidR="0A8FF366">
        <w:t>(Not graded)</w:t>
      </w:r>
    </w:p>
    <w:p w14:paraId="18457222" w14:textId="6ED89266" w:rsidR="002C4007" w:rsidRPr="00524CA4" w:rsidRDefault="00C30484" w:rsidP="00C30484">
      <w:pPr>
        <w:pStyle w:val="GuidelineSubheadings"/>
      </w:pPr>
      <w:r>
        <w:t xml:space="preserve">Guideline 4.4.2 - </w:t>
      </w:r>
      <w:r w:rsidR="002C4007" w:rsidRPr="00524CA4">
        <w:t xml:space="preserve">CNI Toxicity </w:t>
      </w:r>
    </w:p>
    <w:p w14:paraId="75E8FE05" w14:textId="3BA53B67" w:rsidR="002C4007" w:rsidRPr="00524CA4" w:rsidRDefault="002C4007" w:rsidP="00067A88">
      <w:pPr>
        <w:pStyle w:val="ListParagraph"/>
        <w:numPr>
          <w:ilvl w:val="0"/>
          <w:numId w:val="25"/>
        </w:numPr>
      </w:pPr>
      <w:r w:rsidRPr="00524CA4">
        <w:lastRenderedPageBreak/>
        <w:t xml:space="preserve">We suggest that in patients with evidence of CNI toxicity on a biopsy, particularly if there is no evidence of alloimmune injury, a reduction in CNI dose should be considered. </w:t>
      </w:r>
      <w:r w:rsidR="00F872E4">
        <w:t>(</w:t>
      </w:r>
      <w:r w:rsidRPr="00524CA4">
        <w:t>2C</w:t>
      </w:r>
      <w:r w:rsidR="00F872E4">
        <w:t>)</w:t>
      </w:r>
    </w:p>
    <w:p w14:paraId="06660FB0" w14:textId="63D10714" w:rsidR="002C4007" w:rsidRPr="00524CA4" w:rsidRDefault="002C4007" w:rsidP="00067A88">
      <w:pPr>
        <w:pStyle w:val="ListParagraph"/>
        <w:numPr>
          <w:ilvl w:val="0"/>
          <w:numId w:val="25"/>
        </w:numPr>
      </w:pPr>
      <w:r w:rsidRPr="00524CA4">
        <w:t xml:space="preserve">We suggest that in patients with evidence of CNI toxicity on a biopsy, conversion to </w:t>
      </w:r>
      <w:proofErr w:type="spellStart"/>
      <w:r w:rsidRPr="00524CA4">
        <w:t>belatacept</w:t>
      </w:r>
      <w:proofErr w:type="spellEnd"/>
      <w:r w:rsidRPr="00524CA4">
        <w:t xml:space="preserve"> may be considered. </w:t>
      </w:r>
      <w:r w:rsidR="00164FBB">
        <w:t>(</w:t>
      </w:r>
      <w:r w:rsidRPr="00524CA4">
        <w:t>1B</w:t>
      </w:r>
      <w:r w:rsidR="00164FBB">
        <w:t>)</w:t>
      </w:r>
    </w:p>
    <w:p w14:paraId="569753B2" w14:textId="51B19F50" w:rsidR="002C4007" w:rsidRPr="00524CA4" w:rsidRDefault="00C30484" w:rsidP="00C30484">
      <w:pPr>
        <w:pStyle w:val="GuidelineSubheadings"/>
      </w:pPr>
      <w:r>
        <w:t xml:space="preserve">Guideline 4.4.3 - </w:t>
      </w:r>
      <w:r w:rsidR="002C4007" w:rsidRPr="00524CA4">
        <w:t xml:space="preserve">BK Nephropathy </w:t>
      </w:r>
    </w:p>
    <w:p w14:paraId="7837C261" w14:textId="34F04A5E" w:rsidR="002C4007" w:rsidRPr="00524CA4" w:rsidRDefault="002C4007" w:rsidP="00067A88">
      <w:pPr>
        <w:pStyle w:val="ListParagraph"/>
        <w:numPr>
          <w:ilvl w:val="0"/>
          <w:numId w:val="26"/>
        </w:numPr>
      </w:pPr>
      <w:r w:rsidRPr="00524CA4">
        <w:t xml:space="preserve">We recommend </w:t>
      </w:r>
      <w:r>
        <w:t xml:space="preserve">that </w:t>
      </w:r>
      <w:r w:rsidRPr="00524CA4">
        <w:t xml:space="preserve">patients with evidence of BK nephropathy should initially be managed with a reduction in immunosuppression, as is discussed in Section 8.6 of this guideline. </w:t>
      </w:r>
      <w:r w:rsidR="00164FBB">
        <w:t>(</w:t>
      </w:r>
      <w:r w:rsidRPr="00524CA4">
        <w:t>1D</w:t>
      </w:r>
      <w:r w:rsidR="00164FBB">
        <w:t>)</w:t>
      </w:r>
    </w:p>
    <w:p w14:paraId="2902F1E8" w14:textId="0CBDEE60" w:rsidR="009D4BB2" w:rsidRDefault="002C4007" w:rsidP="009D4BB2">
      <w:pPr>
        <w:pStyle w:val="ListParagraph"/>
        <w:numPr>
          <w:ilvl w:val="0"/>
          <w:numId w:val="26"/>
        </w:numPr>
      </w:pPr>
      <w:r w:rsidRPr="00524CA4">
        <w:t xml:space="preserve">Increased surveillance </w:t>
      </w:r>
      <w:r>
        <w:t>should be undertaken to detect worsening kidney dysfunction or the occurrence of de novo DSAs after a reduction in immunosuppression</w:t>
      </w:r>
      <w:r w:rsidRPr="00524CA4">
        <w:t xml:space="preserve">. </w:t>
      </w:r>
      <w:r w:rsidR="00164FBB">
        <w:t>(</w:t>
      </w:r>
      <w:r w:rsidRPr="00524CA4">
        <w:t>2B</w:t>
      </w:r>
      <w:r w:rsidR="00164FBB">
        <w:t>)</w:t>
      </w:r>
    </w:p>
    <w:p w14:paraId="135FC3AA" w14:textId="742BDA0B" w:rsidR="00076320" w:rsidRDefault="00587685" w:rsidP="00587685">
      <w:pPr>
        <w:pStyle w:val="GuidelineUpperHeadings"/>
      </w:pPr>
      <w:bookmarkStart w:id="5" w:name="_Toc213749016"/>
      <w:r>
        <w:t xml:space="preserve">5. </w:t>
      </w:r>
      <w:r w:rsidR="009B0CA8" w:rsidRPr="00306FF4">
        <w:t xml:space="preserve">Kidney Transplant Recipient (KTR): </w:t>
      </w:r>
      <w:r w:rsidRPr="00587685">
        <w:t>Cardiovascular disease</w:t>
      </w:r>
      <w:r w:rsidR="006711CD">
        <w:t xml:space="preserve"> preventive management of</w:t>
      </w:r>
      <w:r w:rsidRPr="00587685">
        <w:t xml:space="preserve"> hypertension, diabetes, cholesterol</w:t>
      </w:r>
      <w:r w:rsidR="006711CD">
        <w:t xml:space="preserve">, </w:t>
      </w:r>
      <w:r w:rsidRPr="00587685">
        <w:t>lifestyle</w:t>
      </w:r>
      <w:r w:rsidR="006711CD">
        <w:t>,</w:t>
      </w:r>
      <w:r w:rsidRPr="00587685">
        <w:t xml:space="preserve"> and exercise</w:t>
      </w:r>
      <w:bookmarkEnd w:id="5"/>
    </w:p>
    <w:p w14:paraId="43EAABD3" w14:textId="138F4AEF" w:rsidR="00587685" w:rsidRDefault="00587685" w:rsidP="00587685">
      <w:pPr>
        <w:pStyle w:val="GuidelineHeadings"/>
      </w:pPr>
      <w:r>
        <w:t>Guideline 5.1</w:t>
      </w:r>
      <w:r w:rsidR="00B7112B">
        <w:t>–</w:t>
      </w:r>
      <w:r>
        <w:t xml:space="preserve"> Hypertension</w:t>
      </w:r>
    </w:p>
    <w:p w14:paraId="762A62DC" w14:textId="7AA90B85" w:rsidR="00587685" w:rsidRDefault="00587685" w:rsidP="00067A88">
      <w:pPr>
        <w:pStyle w:val="ListParagraph"/>
        <w:numPr>
          <w:ilvl w:val="0"/>
          <w:numId w:val="30"/>
        </w:numPr>
      </w:pPr>
      <w:r>
        <w:t>We recommend that blood pressure should be recorded at each clinic visit using a standardised office measurement (1C)</w:t>
      </w:r>
    </w:p>
    <w:p w14:paraId="531F8D67" w14:textId="0DE84793" w:rsidR="00587685" w:rsidRDefault="00587685" w:rsidP="00067A88">
      <w:pPr>
        <w:pStyle w:val="ListParagraph"/>
        <w:numPr>
          <w:ilvl w:val="0"/>
          <w:numId w:val="30"/>
        </w:numPr>
      </w:pPr>
      <w:r>
        <w:t>We suggest that ambulatory blood pressure monitoring (ABPM) can be used to assist in the diagnosis or management of hypertension (</w:t>
      </w:r>
      <w:r w:rsidR="00990304">
        <w:t>2</w:t>
      </w:r>
      <w:r>
        <w:t>C)</w:t>
      </w:r>
    </w:p>
    <w:p w14:paraId="7C808F71" w14:textId="7D5E4F7D" w:rsidR="00587685" w:rsidRDefault="00587685" w:rsidP="00067A88">
      <w:pPr>
        <w:pStyle w:val="ListParagraph"/>
        <w:numPr>
          <w:ilvl w:val="0"/>
          <w:numId w:val="30"/>
        </w:numPr>
      </w:pPr>
      <w:r>
        <w:t>We suggest a target clinic blood pressure of less than 130/80mmHg (</w:t>
      </w:r>
      <w:r w:rsidR="00990304">
        <w:t>2</w:t>
      </w:r>
      <w:r>
        <w:t>C)</w:t>
      </w:r>
    </w:p>
    <w:p w14:paraId="6B0BD8E2" w14:textId="77CC1AA7" w:rsidR="00587685" w:rsidRDefault="00587685" w:rsidP="00067A88">
      <w:pPr>
        <w:pStyle w:val="ListParagraph"/>
        <w:numPr>
          <w:ilvl w:val="0"/>
          <w:numId w:val="30"/>
        </w:numPr>
      </w:pPr>
      <w:r>
        <w:t>We suggest that home blood pressure readings can be used to aid management of hypertension (2D)</w:t>
      </w:r>
    </w:p>
    <w:p w14:paraId="63563A64" w14:textId="137103AE" w:rsidR="00587685" w:rsidRDefault="00587685" w:rsidP="00067A88">
      <w:pPr>
        <w:pStyle w:val="ListParagraph"/>
        <w:numPr>
          <w:ilvl w:val="0"/>
          <w:numId w:val="30"/>
        </w:numPr>
      </w:pPr>
      <w:r>
        <w:t>We suggest that a dihydropyridine calcium channel blocker may be preferably used as a first-line antihypertensive agent, esp. during the first 3 months post-transplant (2C)</w:t>
      </w:r>
    </w:p>
    <w:p w14:paraId="7E0AF92C" w14:textId="48B22EE1" w:rsidR="00587685" w:rsidRDefault="00587685" w:rsidP="00067A88">
      <w:pPr>
        <w:pStyle w:val="ListParagraph"/>
        <w:numPr>
          <w:ilvl w:val="0"/>
          <w:numId w:val="30"/>
        </w:numPr>
      </w:pPr>
      <w:r>
        <w:t>We suggest inhibitors of the renin-angiotensin system should be used with caution within the first 3 months post-transplant (2C)</w:t>
      </w:r>
    </w:p>
    <w:p w14:paraId="06060DF1" w14:textId="557B08C5" w:rsidR="00587685" w:rsidRDefault="00587685" w:rsidP="00067A88">
      <w:pPr>
        <w:pStyle w:val="ListParagraph"/>
        <w:numPr>
          <w:ilvl w:val="0"/>
          <w:numId w:val="30"/>
        </w:numPr>
      </w:pPr>
      <w:r>
        <w:t>We suggest that priority should be given to attaining optimal BP control in a patient-tailored approach (2C)</w:t>
      </w:r>
    </w:p>
    <w:p w14:paraId="62A77639" w14:textId="0A89F99B" w:rsidR="00587685" w:rsidRPr="00C70533" w:rsidRDefault="00587685" w:rsidP="00067A88">
      <w:pPr>
        <w:pStyle w:val="ListParagraph"/>
        <w:numPr>
          <w:ilvl w:val="0"/>
          <w:numId w:val="30"/>
        </w:numPr>
        <w:rPr>
          <w:b/>
        </w:rPr>
      </w:pPr>
      <w:r>
        <w:t>We suggest that in the presence of resistant hypertension, non-adherence, renal artery stenosis, and other causes of secondary hypertension should be considered (2D)</w:t>
      </w:r>
    </w:p>
    <w:p w14:paraId="0B171F37" w14:textId="65294EB9" w:rsidR="00C70533" w:rsidRPr="00C70533" w:rsidRDefault="00C70533" w:rsidP="00C70533">
      <w:pPr>
        <w:pStyle w:val="GuidelineHeadings"/>
      </w:pPr>
      <w:r w:rsidRPr="00C70533">
        <w:t xml:space="preserve">Guideline 5.2 </w:t>
      </w:r>
      <w:r w:rsidR="00932D5D">
        <w:t>–</w:t>
      </w:r>
      <w:r w:rsidRPr="00C70533">
        <w:t xml:space="preserve"> Dyslipidaemia</w:t>
      </w:r>
    </w:p>
    <w:p w14:paraId="11153B94" w14:textId="7456352D" w:rsidR="00C70533" w:rsidRPr="00C70533" w:rsidRDefault="00C70533" w:rsidP="00067A88">
      <w:pPr>
        <w:pStyle w:val="ListParagraph"/>
        <w:numPr>
          <w:ilvl w:val="0"/>
          <w:numId w:val="32"/>
        </w:numPr>
      </w:pPr>
      <w:r w:rsidRPr="00C70533">
        <w:t>We suggest that lipid levels are measured in fasting or non-fasting serum samples at baseline, no earlier than 3 months post-transplant (2C)</w:t>
      </w:r>
    </w:p>
    <w:p w14:paraId="769B51E3" w14:textId="5168ED23" w:rsidR="00C70533" w:rsidRPr="00C70533" w:rsidRDefault="00C70533" w:rsidP="00067A88">
      <w:pPr>
        <w:pStyle w:val="ListParagraph"/>
        <w:numPr>
          <w:ilvl w:val="0"/>
          <w:numId w:val="32"/>
        </w:numPr>
      </w:pPr>
      <w:r w:rsidRPr="00C70533">
        <w:t>We suggest that fasting or non-fasting lipid levels be measured annually in all renal transplant recipients. (2C)</w:t>
      </w:r>
    </w:p>
    <w:p w14:paraId="3FA1695A" w14:textId="3E4854CB" w:rsidR="00C70533" w:rsidRPr="00C70533" w:rsidRDefault="00C70533" w:rsidP="00067A88">
      <w:pPr>
        <w:pStyle w:val="ListParagraph"/>
        <w:numPr>
          <w:ilvl w:val="0"/>
          <w:numId w:val="32"/>
        </w:numPr>
      </w:pPr>
      <w:r w:rsidRPr="00C70533">
        <w:t>We suggest that kidney transplant recipients with dyslipidaemia are treated with statins unless there is intolerance (2C)</w:t>
      </w:r>
    </w:p>
    <w:p w14:paraId="2E536D26" w14:textId="2DD31C14" w:rsidR="00C70533" w:rsidRPr="00C70533" w:rsidRDefault="00C70533" w:rsidP="00067A88">
      <w:pPr>
        <w:pStyle w:val="ListParagraph"/>
        <w:numPr>
          <w:ilvl w:val="0"/>
          <w:numId w:val="32"/>
        </w:numPr>
      </w:pPr>
      <w:r>
        <w:lastRenderedPageBreak/>
        <w:t>We suggest that therapeutic targets of LDL-cholesterol are defined as per high/very high cardiovascular risk patient categories</w:t>
      </w:r>
      <w:r w:rsidR="6F9F9E13">
        <w:t>:</w:t>
      </w:r>
    </w:p>
    <w:p w14:paraId="12CE6B76" w14:textId="77777777" w:rsidR="00A0249D" w:rsidRPr="00C70533" w:rsidRDefault="00C70533" w:rsidP="00A0249D">
      <w:pPr>
        <w:pStyle w:val="ListParagraph"/>
      </w:pPr>
      <w:r w:rsidRPr="00C70533">
        <w:t>aim LDL-C &lt;2.6 mmol/l as an initial step</w:t>
      </w:r>
      <w:r w:rsidR="00A0249D">
        <w:t xml:space="preserve">, </w:t>
      </w:r>
      <w:r w:rsidR="00A0249D" w:rsidRPr="00C70533">
        <w:t xml:space="preserve">aim LDL-C&lt;1.8 mmol/l for intensified prevention, </w:t>
      </w:r>
      <w:proofErr w:type="gramStart"/>
      <w:r w:rsidR="00A0249D" w:rsidRPr="00C70533">
        <w:t>taking into account</w:t>
      </w:r>
      <w:proofErr w:type="gramEnd"/>
      <w:r w:rsidR="00A0249D" w:rsidRPr="00C70533">
        <w:t xml:space="preserve"> other parameters such as history of cardiovascular disease and frailty (2C)</w:t>
      </w:r>
    </w:p>
    <w:p w14:paraId="1D7317BC" w14:textId="4E13F6FA" w:rsidR="00C70533" w:rsidRDefault="00C70533" w:rsidP="0018491F">
      <w:pPr>
        <w:numPr>
          <w:ilvl w:val="0"/>
          <w:numId w:val="32"/>
        </w:numPr>
      </w:pPr>
      <w:r>
        <w:t>We suggest that if targets are not met or there is intolerance to statins, referral to a specialist centre is suggested (2D)</w:t>
      </w:r>
    </w:p>
    <w:p w14:paraId="0E359FB9" w14:textId="77777777" w:rsidR="00413B0E" w:rsidRDefault="00413B0E" w:rsidP="00413B0E">
      <w:pPr>
        <w:pStyle w:val="GuidelineHeadings"/>
      </w:pPr>
      <w:r>
        <w:t>Guideline 5.3 – Diabetes Mellitus</w:t>
      </w:r>
    </w:p>
    <w:p w14:paraId="3A3D324E" w14:textId="59F9392C" w:rsidR="00413B0E" w:rsidRDefault="00413B0E" w:rsidP="00067A88">
      <w:pPr>
        <w:pStyle w:val="ListParagraph"/>
        <w:numPr>
          <w:ilvl w:val="0"/>
          <w:numId w:val="34"/>
        </w:numPr>
      </w:pPr>
      <w:r>
        <w:t>We recommend that transplant recipients are regularly monitored for hyperglycaemia with fasting plasma glucose at each clinic visit, and yearly HBA1c with fasting plasma glucose after 12 months</w:t>
      </w:r>
      <w:r w:rsidR="00872E3F">
        <w:t>.</w:t>
      </w:r>
      <w:r w:rsidR="005C153B">
        <w:t xml:space="preserve"> (1</w:t>
      </w:r>
      <w:r w:rsidR="000F12EF">
        <w:t>C)</w:t>
      </w:r>
    </w:p>
    <w:p w14:paraId="58BFB9B8" w14:textId="6946D21D" w:rsidR="00413B0E" w:rsidRDefault="00413B0E" w:rsidP="00067A88">
      <w:pPr>
        <w:pStyle w:val="ListParagraph"/>
        <w:numPr>
          <w:ilvl w:val="0"/>
          <w:numId w:val="34"/>
        </w:numPr>
      </w:pPr>
      <w:r>
        <w:t xml:space="preserve">We recommend that a formal diagnosis of </w:t>
      </w:r>
      <w:r w:rsidR="007800BF">
        <w:t>post-transplant diabetes mellitus (PTDM)</w:t>
      </w:r>
      <w:r>
        <w:t xml:space="preserve"> can be made once stability has been achieved (i.e., stable immunosuppression doses, no acute rejection/infection) but no earlier than 12 weeks post-transplant. (1B). </w:t>
      </w:r>
    </w:p>
    <w:p w14:paraId="4E44AA73" w14:textId="5CF78C68" w:rsidR="00413B0E" w:rsidRDefault="00413B0E" w:rsidP="00067A88">
      <w:pPr>
        <w:pStyle w:val="ListParagraph"/>
        <w:numPr>
          <w:ilvl w:val="0"/>
          <w:numId w:val="34"/>
        </w:numPr>
      </w:pPr>
      <w:r>
        <w:t>We recommend that OGTT remains the gold standard for the diagnosis of PTDM. (1B).</w:t>
      </w:r>
    </w:p>
    <w:p w14:paraId="3B4BD91E" w14:textId="1FD264E0" w:rsidR="00413B0E" w:rsidRDefault="00413B0E" w:rsidP="00067A88">
      <w:pPr>
        <w:pStyle w:val="ListParagraph"/>
        <w:numPr>
          <w:ilvl w:val="0"/>
          <w:numId w:val="34"/>
        </w:numPr>
      </w:pPr>
      <w:r>
        <w:t xml:space="preserve">We recommend that HbA1c ≥6.5% (48mmol/L) can be used for the diagnosis of PTDM after the first three months post-transplantation. In asymptomatic patients, the test should be repeated after two weeks to confirm the diagnosis. Caution with must be exercised in the presence of factors that may impair accurate interpretation (1B).  </w:t>
      </w:r>
    </w:p>
    <w:p w14:paraId="67D5177B" w14:textId="5CEEFD2B" w:rsidR="00413B0E" w:rsidRDefault="00413B0E" w:rsidP="00067A88">
      <w:pPr>
        <w:pStyle w:val="ListParagraph"/>
        <w:numPr>
          <w:ilvl w:val="0"/>
          <w:numId w:val="34"/>
        </w:numPr>
      </w:pPr>
      <w:r>
        <w:t xml:space="preserve">We recommend that the management of pre-existing type 1 or 2 diabetes in transplant recipients should not differ from non-transplant patients, </w:t>
      </w:r>
      <w:proofErr w:type="gramStart"/>
      <w:r>
        <w:t>as long as</w:t>
      </w:r>
      <w:proofErr w:type="gramEnd"/>
      <w:r>
        <w:t xml:space="preserve"> the level of renal function and infection risk (specifically in relation to SGLT2 inhibitor use in type 2) is accounted for.</w:t>
      </w:r>
      <w:r w:rsidR="000F12EF">
        <w:t xml:space="preserve"> (2</w:t>
      </w:r>
      <w:r w:rsidR="00102744">
        <w:t>C)</w:t>
      </w:r>
    </w:p>
    <w:p w14:paraId="74F2C3BD" w14:textId="43558DDD" w:rsidR="00413B0E" w:rsidRDefault="00413B0E" w:rsidP="00067A88">
      <w:pPr>
        <w:pStyle w:val="ListParagraph"/>
        <w:numPr>
          <w:ilvl w:val="0"/>
          <w:numId w:val="34"/>
        </w:numPr>
      </w:pPr>
      <w:r>
        <w:t>We recommend that the glycaemic target for people with PTDM and pre-existing type 2 diabetes should be around 7% (53 mmol/mol) [48 to 68 mmol/mol), but adjusted according to age, co-morbidity, ability to self-manage, and patient preference (1B).</w:t>
      </w:r>
    </w:p>
    <w:p w14:paraId="204C25BE" w14:textId="443035D8" w:rsidR="00413B0E" w:rsidRDefault="00413B0E" w:rsidP="00067A88">
      <w:pPr>
        <w:pStyle w:val="ListParagraph"/>
        <w:numPr>
          <w:ilvl w:val="0"/>
          <w:numId w:val="34"/>
        </w:numPr>
      </w:pPr>
      <w:r>
        <w:t xml:space="preserve">We recommend that all transplant recipients with a confirmed diagnosis of PTDM should be offered structured diabetes education and care, along with regular screening for complications (1B). The diagnosis of PTDM must be conveyed to the patients’ usual primary care practitioner, and the patient should be put on a diabetes register. </w:t>
      </w:r>
    </w:p>
    <w:p w14:paraId="2450BC12" w14:textId="6DF60FD1" w:rsidR="00413B0E" w:rsidRDefault="00413B0E" w:rsidP="00067A88">
      <w:pPr>
        <w:pStyle w:val="ListParagraph"/>
        <w:numPr>
          <w:ilvl w:val="0"/>
          <w:numId w:val="34"/>
        </w:numPr>
      </w:pPr>
      <w:r>
        <w:t xml:space="preserve">We recommend that an individualised approach is adopted in patients’ care, </w:t>
      </w:r>
      <w:proofErr w:type="gramStart"/>
      <w:r>
        <w:t>taking into account</w:t>
      </w:r>
      <w:proofErr w:type="gramEnd"/>
      <w:r>
        <w:t xml:space="preserve"> their personal preferences, comorbidities such as heart failure, obesity, infection risk and access to resources. </w:t>
      </w:r>
      <w:r w:rsidR="00102744">
        <w:t>(1C)</w:t>
      </w:r>
    </w:p>
    <w:p w14:paraId="484BD468" w14:textId="096C336D" w:rsidR="00413B0E" w:rsidRDefault="00413B0E" w:rsidP="00067A88">
      <w:pPr>
        <w:pStyle w:val="ListParagraph"/>
        <w:numPr>
          <w:ilvl w:val="0"/>
          <w:numId w:val="34"/>
        </w:numPr>
      </w:pPr>
      <w:r>
        <w:lastRenderedPageBreak/>
        <w:t>We recommend that for patients with a stable eGFR &gt;30 ml/min/1.73m</w:t>
      </w:r>
      <w:r w:rsidRPr="00633A73">
        <w:rPr>
          <w:vertAlign w:val="superscript"/>
        </w:rPr>
        <w:t>2</w:t>
      </w:r>
      <w:r>
        <w:t xml:space="preserve"> and BMI &gt;25 kg/m</w:t>
      </w:r>
      <w:r w:rsidRPr="009B7228">
        <w:rPr>
          <w:vertAlign w:val="superscript"/>
        </w:rPr>
        <w:t>2</w:t>
      </w:r>
      <w:r>
        <w:t xml:space="preserve">, metformin should be considered first-line oral therapy for people with confirmed PTDM (1C). </w:t>
      </w:r>
    </w:p>
    <w:p w14:paraId="202079C4" w14:textId="5E23CE1C" w:rsidR="00413B0E" w:rsidRDefault="00413B0E" w:rsidP="00067A88">
      <w:pPr>
        <w:pStyle w:val="ListParagraph"/>
        <w:numPr>
          <w:ilvl w:val="0"/>
          <w:numId w:val="34"/>
        </w:numPr>
      </w:pPr>
      <w:r>
        <w:t>We suggest that other therapies such as DPP-4 inhibitors, pioglitazone, GLP-1 analogues sulfonylureas, meglitinides and insulin can be used according to the level of glycaemia, targets and eGFR (2C)</w:t>
      </w:r>
    </w:p>
    <w:p w14:paraId="18EC21D5" w14:textId="2EC152FA" w:rsidR="00413B0E" w:rsidRDefault="00413B0E" w:rsidP="00067A88">
      <w:pPr>
        <w:pStyle w:val="ListParagraph"/>
        <w:numPr>
          <w:ilvl w:val="0"/>
          <w:numId w:val="34"/>
        </w:numPr>
      </w:pPr>
      <w:r>
        <w:t>We suggest that SGLT-2 inhibitors may be used with caution in patients with stable eGFR &gt; 20 ml/min/1.73m</w:t>
      </w:r>
      <w:r w:rsidRPr="00C90B67">
        <w:rPr>
          <w:vertAlign w:val="superscript"/>
        </w:rPr>
        <w:t>2</w:t>
      </w:r>
      <w:r>
        <w:t xml:space="preserve"> </w:t>
      </w:r>
      <w:proofErr w:type="gramStart"/>
      <w:r>
        <w:t>taking into account</w:t>
      </w:r>
      <w:proofErr w:type="gramEnd"/>
      <w:r>
        <w:t xml:space="preserve"> infection risk and comorbidities. SGLT2 inhibitors may be beneficial in selected patients, e.g. patients with heart failure provided risk is less than benefit. (2C)</w:t>
      </w:r>
    </w:p>
    <w:p w14:paraId="35DAA2C0" w14:textId="05054A13" w:rsidR="00413B0E" w:rsidRDefault="00413B0E" w:rsidP="00067A88">
      <w:pPr>
        <w:pStyle w:val="ListParagraph"/>
        <w:numPr>
          <w:ilvl w:val="0"/>
          <w:numId w:val="34"/>
        </w:numPr>
      </w:pPr>
      <w:r>
        <w:t>We recommend that when making decision in relation to immunosuppression, patient and graft outcomes should be prioritised over PTDM risk (1C)</w:t>
      </w:r>
    </w:p>
    <w:p w14:paraId="47F538DA" w14:textId="77777777" w:rsidR="00B7112B" w:rsidRPr="00B7112B" w:rsidRDefault="00B7112B" w:rsidP="00B7112B">
      <w:pPr>
        <w:pStyle w:val="GuidelineHeadings"/>
      </w:pPr>
      <w:r>
        <w:t xml:space="preserve">Guideline </w:t>
      </w:r>
      <w:r w:rsidRPr="00413B0E">
        <w:t>5.4</w:t>
      </w:r>
      <w:r>
        <w:t xml:space="preserve"> – </w:t>
      </w:r>
      <w:r w:rsidRPr="00413B0E">
        <w:t>Cardiovascular disease</w:t>
      </w:r>
    </w:p>
    <w:p w14:paraId="5720CDC4" w14:textId="573D825A" w:rsidR="008546EC" w:rsidRDefault="008546EC" w:rsidP="00067A88">
      <w:pPr>
        <w:pStyle w:val="ListParagraph"/>
        <w:numPr>
          <w:ilvl w:val="0"/>
          <w:numId w:val="36"/>
        </w:numPr>
      </w:pPr>
      <w:r>
        <w:t xml:space="preserve">We </w:t>
      </w:r>
      <w:r w:rsidR="005965E5">
        <w:t>recommend that lifestyle changes should be considered before management of cardiovascular risk factors: hypertension, diabetes, dyslipidaemia</w:t>
      </w:r>
      <w:r w:rsidR="00515EBD">
        <w:t>. (1C)</w:t>
      </w:r>
    </w:p>
    <w:p w14:paraId="2592D7B7" w14:textId="281F62DF" w:rsidR="00B7112B" w:rsidRPr="00524CA4" w:rsidRDefault="00B7112B" w:rsidP="00067A88">
      <w:pPr>
        <w:pStyle w:val="ListParagraph"/>
        <w:numPr>
          <w:ilvl w:val="0"/>
          <w:numId w:val="36"/>
        </w:numPr>
      </w:pPr>
      <w:r w:rsidRPr="00524CA4">
        <w:t>We suggest that KTRs receive standard treatment for ischaemic heart disease including thrombolysis, revascularisation, and secondary prevention (2C)</w:t>
      </w:r>
    </w:p>
    <w:p w14:paraId="0D6A5D20" w14:textId="4F9A429F" w:rsidR="00B7112B" w:rsidRPr="00524CA4" w:rsidRDefault="00B7112B" w:rsidP="00067A88">
      <w:pPr>
        <w:pStyle w:val="ListParagraph"/>
        <w:numPr>
          <w:ilvl w:val="0"/>
          <w:numId w:val="36"/>
        </w:numPr>
      </w:pPr>
      <w:r>
        <w:t xml:space="preserve">We suggest that KTRs with heart failure are managed by a multidisciplinary team involving cardiology and </w:t>
      </w:r>
      <w:proofErr w:type="gramStart"/>
      <w:r>
        <w:t>nephrology, and</w:t>
      </w:r>
      <w:proofErr w:type="gramEnd"/>
      <w:r>
        <w:t xml:space="preserve"> are considered to receive standard of care treatment according to their level of eGFR. </w:t>
      </w:r>
      <w:r w:rsidR="6FBE24D3">
        <w:t>(Not graded)</w:t>
      </w:r>
    </w:p>
    <w:p w14:paraId="70E51163" w14:textId="77777777" w:rsidR="008C7816" w:rsidRPr="00524CA4" w:rsidRDefault="008C7816" w:rsidP="008C7816">
      <w:pPr>
        <w:pStyle w:val="GuidelineHeadings"/>
        <w:rPr>
          <w:rFonts w:cstheme="minorHAnsi"/>
          <w:sz w:val="22"/>
          <w:szCs w:val="22"/>
        </w:rPr>
      </w:pPr>
      <w:r>
        <w:t xml:space="preserve">Guideline </w:t>
      </w:r>
      <w:r w:rsidRPr="008C7816">
        <w:t xml:space="preserve">5.5 </w:t>
      </w:r>
      <w:r>
        <w:t>–</w:t>
      </w:r>
      <w:r w:rsidRPr="008C7816">
        <w:t xml:space="preserve"> Smoking cessation</w:t>
      </w:r>
    </w:p>
    <w:p w14:paraId="1ED90425" w14:textId="77777777" w:rsidR="008C7816" w:rsidRPr="008C7816" w:rsidRDefault="008C7816" w:rsidP="00067A88">
      <w:pPr>
        <w:pStyle w:val="ListParagraph"/>
        <w:numPr>
          <w:ilvl w:val="0"/>
          <w:numId w:val="38"/>
        </w:numPr>
      </w:pPr>
      <w:r w:rsidRPr="008C7816">
        <w:t>We recommend that smoking should be discouraged in transplant recipients (1A)</w:t>
      </w:r>
    </w:p>
    <w:p w14:paraId="0680B89E" w14:textId="4328166A" w:rsidR="008C7816" w:rsidRPr="008C7816" w:rsidRDefault="008C7816" w:rsidP="00067A88">
      <w:pPr>
        <w:pStyle w:val="ListParagraph"/>
        <w:numPr>
          <w:ilvl w:val="0"/>
          <w:numId w:val="38"/>
        </w:numPr>
      </w:pPr>
      <w:r>
        <w:t>We suggest that transplant recipients who smoke are offered referral to a structured smoking cessation program</w:t>
      </w:r>
      <w:r w:rsidR="3F940064">
        <w:t xml:space="preserve"> (Not graded)</w:t>
      </w:r>
    </w:p>
    <w:p w14:paraId="5400F2B9" w14:textId="77777777" w:rsidR="00511112" w:rsidRDefault="00511112" w:rsidP="00511112">
      <w:pPr>
        <w:pStyle w:val="GuidelineHeadings"/>
      </w:pPr>
      <w:r>
        <w:t xml:space="preserve">Guideline </w:t>
      </w:r>
      <w:r w:rsidRPr="00CB2D71">
        <w:t>5.6</w:t>
      </w:r>
      <w:r>
        <w:t xml:space="preserve"> </w:t>
      </w:r>
      <w:r w:rsidRPr="00CB2D71">
        <w:t>–</w:t>
      </w:r>
      <w:r>
        <w:t xml:space="preserve"> </w:t>
      </w:r>
      <w:r w:rsidRPr="00CB2D71">
        <w:t>Lifestyle, physical activity, and exercise post-transplant</w:t>
      </w:r>
    </w:p>
    <w:p w14:paraId="77A53A8C" w14:textId="106892FE" w:rsidR="00E97B7E" w:rsidRPr="00CB2D71" w:rsidRDefault="00E97B7E" w:rsidP="00E97B7E">
      <w:pPr>
        <w:pStyle w:val="GuidelineSubheadings"/>
      </w:pPr>
      <w:r w:rsidRPr="00E97B7E">
        <w:t>Physical activity and exercise recommendations</w:t>
      </w:r>
    </w:p>
    <w:p w14:paraId="436C8D4E" w14:textId="3FE3E15B" w:rsidR="00511112" w:rsidRPr="00524CA4" w:rsidRDefault="00511112" w:rsidP="00067A88">
      <w:pPr>
        <w:pStyle w:val="ListParagraph"/>
        <w:numPr>
          <w:ilvl w:val="0"/>
          <w:numId w:val="40"/>
        </w:numPr>
      </w:pPr>
      <w:r w:rsidRPr="00524CA4">
        <w:t xml:space="preserve">We recommend that general physical activity should be encouraged in KTRs without contraindications </w:t>
      </w:r>
      <w:r w:rsidR="00164FBB">
        <w:t>(</w:t>
      </w:r>
      <w:r w:rsidRPr="00524CA4">
        <w:t>1B</w:t>
      </w:r>
      <w:r w:rsidR="00164FBB">
        <w:t>)</w:t>
      </w:r>
      <w:r w:rsidRPr="00524CA4">
        <w:t>.</w:t>
      </w:r>
    </w:p>
    <w:p w14:paraId="3675CAF8" w14:textId="29B1CD8C" w:rsidR="00511112" w:rsidRPr="00524CA4" w:rsidRDefault="00511112" w:rsidP="00067A88">
      <w:pPr>
        <w:pStyle w:val="ListParagraph"/>
        <w:numPr>
          <w:ilvl w:val="0"/>
          <w:numId w:val="40"/>
        </w:numPr>
      </w:pPr>
      <w:r w:rsidRPr="00524CA4">
        <w:t xml:space="preserve">We recommend KTRs aim for 150 minutes of moderate to vigorous physical activity a week (or 75 minutes of vigorous physical activity) as per the UK Chief Medical Officers’ Guideline </w:t>
      </w:r>
      <w:r w:rsidR="00164FBB">
        <w:t>(</w:t>
      </w:r>
      <w:r w:rsidRPr="00524CA4">
        <w:t>1C</w:t>
      </w:r>
      <w:r w:rsidR="00164FBB">
        <w:t>)</w:t>
      </w:r>
      <w:r w:rsidRPr="00524CA4">
        <w:t>.</w:t>
      </w:r>
    </w:p>
    <w:p w14:paraId="5FF85991" w14:textId="47AD5CA5" w:rsidR="00511112" w:rsidRPr="00524CA4" w:rsidRDefault="00511112" w:rsidP="00067A88">
      <w:pPr>
        <w:pStyle w:val="ListParagraph"/>
        <w:numPr>
          <w:ilvl w:val="0"/>
          <w:numId w:val="40"/>
        </w:numPr>
      </w:pPr>
      <w:r w:rsidRPr="00524CA4">
        <w:t xml:space="preserve">We recommend that structured exercise be considered as a method of enhancing cardiorespiratory fitness </w:t>
      </w:r>
      <w:r w:rsidR="00164FBB">
        <w:t>(</w:t>
      </w:r>
      <w:r w:rsidRPr="00524CA4">
        <w:t>1B</w:t>
      </w:r>
      <w:r w:rsidR="00164FBB">
        <w:t>)</w:t>
      </w:r>
      <w:r w:rsidRPr="00524CA4">
        <w:t xml:space="preserve"> and physical function </w:t>
      </w:r>
      <w:r w:rsidR="00164FBB">
        <w:t>(</w:t>
      </w:r>
      <w:r w:rsidRPr="00524CA4">
        <w:t>1C</w:t>
      </w:r>
      <w:r w:rsidR="00164FBB">
        <w:t>)</w:t>
      </w:r>
      <w:r w:rsidRPr="00524CA4">
        <w:t>.</w:t>
      </w:r>
    </w:p>
    <w:p w14:paraId="559108D5" w14:textId="72A9B8F7" w:rsidR="00511112" w:rsidRPr="00524CA4" w:rsidRDefault="00511112" w:rsidP="00067A88">
      <w:pPr>
        <w:pStyle w:val="ListParagraph"/>
        <w:numPr>
          <w:ilvl w:val="0"/>
          <w:numId w:val="40"/>
        </w:numPr>
      </w:pPr>
      <w:r w:rsidRPr="00524CA4">
        <w:t xml:space="preserve">We recommend that KTRs without contraindications undertake both aerobic and resistance exercise to maximise the effects on exercise capacity and muscle function </w:t>
      </w:r>
      <w:r w:rsidR="00164FBB">
        <w:t>(</w:t>
      </w:r>
      <w:r w:rsidRPr="00524CA4">
        <w:t>1B</w:t>
      </w:r>
      <w:r w:rsidR="00164FBB">
        <w:t>)</w:t>
      </w:r>
      <w:r w:rsidRPr="00524CA4">
        <w:t>.</w:t>
      </w:r>
    </w:p>
    <w:p w14:paraId="380CC891" w14:textId="02ED4856" w:rsidR="00511112" w:rsidRPr="00524CA4" w:rsidRDefault="00511112" w:rsidP="00067A88">
      <w:pPr>
        <w:pStyle w:val="ListParagraph"/>
        <w:numPr>
          <w:ilvl w:val="0"/>
          <w:numId w:val="40"/>
        </w:numPr>
      </w:pPr>
      <w:r w:rsidRPr="00524CA4">
        <w:lastRenderedPageBreak/>
        <w:t xml:space="preserve">We recommend exercise should be performed at least 3x/week in KTRs without contraindications </w:t>
      </w:r>
      <w:r w:rsidR="00164FBB">
        <w:t>(</w:t>
      </w:r>
      <w:r w:rsidRPr="00524CA4">
        <w:t>1C</w:t>
      </w:r>
      <w:r w:rsidR="00164FBB">
        <w:t>)</w:t>
      </w:r>
      <w:r w:rsidRPr="00524CA4">
        <w:t xml:space="preserve">: </w:t>
      </w:r>
    </w:p>
    <w:p w14:paraId="5D773FCF" w14:textId="52795B03" w:rsidR="00511112" w:rsidRPr="00524CA4" w:rsidRDefault="00511112" w:rsidP="00067A88">
      <w:pPr>
        <w:pStyle w:val="ListParagraph"/>
        <w:numPr>
          <w:ilvl w:val="0"/>
          <w:numId w:val="40"/>
        </w:numPr>
      </w:pPr>
      <w:r w:rsidRPr="00524CA4">
        <w:t>Aerobic exercise should be performed at an intensity of &gt;60% of the maximum (either based on heart rate or VO</w:t>
      </w:r>
      <w:r w:rsidRPr="00931A76">
        <w:rPr>
          <w:vertAlign w:val="subscript"/>
        </w:rPr>
        <w:t>2</w:t>
      </w:r>
      <w:r w:rsidR="00931A76">
        <w:t xml:space="preserve"> </w:t>
      </w:r>
      <w:r w:rsidRPr="00524CA4">
        <w:t xml:space="preserve">peak) </w:t>
      </w:r>
      <w:r w:rsidR="00164FBB">
        <w:t>(</w:t>
      </w:r>
      <w:r w:rsidRPr="00524CA4">
        <w:t>1C</w:t>
      </w:r>
      <w:r w:rsidR="00164FBB">
        <w:t>)</w:t>
      </w:r>
      <w:r w:rsidRPr="00524CA4">
        <w:t>.</w:t>
      </w:r>
    </w:p>
    <w:p w14:paraId="42D7DFEF" w14:textId="1823B59B" w:rsidR="00511112" w:rsidRDefault="00511112" w:rsidP="00067A88">
      <w:pPr>
        <w:pStyle w:val="ListParagraph"/>
        <w:numPr>
          <w:ilvl w:val="0"/>
          <w:numId w:val="40"/>
        </w:numPr>
      </w:pPr>
      <w:r w:rsidRPr="00524CA4">
        <w:t xml:space="preserve">Resistance training, comprising of upper and lower body components, should be performed at an intensity of &gt;60% 1-repetition max (RM) at least 2x/week </w:t>
      </w:r>
      <w:r w:rsidR="00164FBB">
        <w:t>(</w:t>
      </w:r>
      <w:r w:rsidRPr="00524CA4">
        <w:t>1C</w:t>
      </w:r>
      <w:r w:rsidR="00164FBB">
        <w:t>)</w:t>
      </w:r>
      <w:r w:rsidRPr="00524CA4">
        <w:t>.</w:t>
      </w:r>
    </w:p>
    <w:p w14:paraId="3576D63C" w14:textId="77777777" w:rsidR="00E97B7E" w:rsidRDefault="00E97B7E" w:rsidP="00E97B7E">
      <w:pPr>
        <w:pStyle w:val="GuidelineSubheadings"/>
      </w:pPr>
      <w:r>
        <w:t>Immediate post-transplant recommendations</w:t>
      </w:r>
    </w:p>
    <w:p w14:paraId="4557E274" w14:textId="27F647DB" w:rsidR="00413B0E" w:rsidRDefault="00E97B7E" w:rsidP="00067A88">
      <w:pPr>
        <w:pStyle w:val="ListParagraph"/>
        <w:numPr>
          <w:ilvl w:val="0"/>
          <w:numId w:val="42"/>
        </w:numPr>
      </w:pPr>
      <w:r>
        <w:t xml:space="preserve">We suggest that exercise interventions consisting of intensive physiotherapy and movement encouragement administered immediately post-transplantation i.e., &lt;1-2 days are not beneficial in increasing recovery or attenuating declines in physical function. However, mobility should be encouraged as per standard care </w:t>
      </w:r>
      <w:r w:rsidR="00164FBB">
        <w:t>(</w:t>
      </w:r>
      <w:r>
        <w:t>2C</w:t>
      </w:r>
      <w:r w:rsidR="00164FBB">
        <w:t>)</w:t>
      </w:r>
    </w:p>
    <w:p w14:paraId="28DB6599" w14:textId="77777777" w:rsidR="00FB039F" w:rsidRPr="005F2801" w:rsidRDefault="00FB039F" w:rsidP="00FB039F">
      <w:pPr>
        <w:pStyle w:val="GuidelineSubheadings"/>
      </w:pPr>
      <w:r w:rsidRPr="00FB039F">
        <w:t>Safety and contraindication recommendations</w:t>
      </w:r>
    </w:p>
    <w:p w14:paraId="03D56325" w14:textId="6D9BDBB3" w:rsidR="00FB039F" w:rsidRPr="00FB039F" w:rsidRDefault="00FB039F" w:rsidP="00067A88">
      <w:pPr>
        <w:pStyle w:val="ListParagraph"/>
        <w:numPr>
          <w:ilvl w:val="0"/>
          <w:numId w:val="42"/>
        </w:numPr>
      </w:pPr>
      <w:r w:rsidRPr="00FB039F">
        <w:t xml:space="preserve">We suggest that KTRs avoid traumatic damage to the transplanted kidney and any participation in contact sports (e.g., rugby, American football, martial arts, ice hockey, boxing) and/or prolonged extreme exercise (e.g., marathons, Ironman triathlons) must be considered carefully on an individual basis with discussions with renal clinicians </w:t>
      </w:r>
      <w:r w:rsidR="00164FBB">
        <w:t>(</w:t>
      </w:r>
      <w:r w:rsidRPr="00FB039F">
        <w:t>2C</w:t>
      </w:r>
      <w:r w:rsidR="00164FBB">
        <w:t>)</w:t>
      </w:r>
    </w:p>
    <w:p w14:paraId="0D664308" w14:textId="77777777" w:rsidR="00445691" w:rsidRPr="00445691" w:rsidRDefault="00445691" w:rsidP="00445691">
      <w:pPr>
        <w:pStyle w:val="GuidelineSubheadings"/>
      </w:pPr>
      <w:r w:rsidRPr="00445691">
        <w:t>Other practical physical activity and exercise prescription suggestions</w:t>
      </w:r>
    </w:p>
    <w:p w14:paraId="2726349E" w14:textId="5FEDE00B" w:rsidR="00445691" w:rsidRPr="00524CA4" w:rsidRDefault="00445691" w:rsidP="00067A88">
      <w:pPr>
        <w:pStyle w:val="ListParagraph"/>
        <w:numPr>
          <w:ilvl w:val="0"/>
          <w:numId w:val="42"/>
        </w:numPr>
      </w:pPr>
      <w:r>
        <w:t>KTRs should aim to minimise the amount of time spent being sedentary, and when physically possible, should break up long periods of inactivity with at least light physical activity.</w:t>
      </w:r>
      <w:r w:rsidR="7925241E">
        <w:t xml:space="preserve"> (Not graded)</w:t>
      </w:r>
    </w:p>
    <w:p w14:paraId="7FBD5967" w14:textId="352C923E" w:rsidR="00445691" w:rsidRPr="00524CA4" w:rsidRDefault="00445691" w:rsidP="00067A88">
      <w:pPr>
        <w:pStyle w:val="ListParagraph"/>
        <w:numPr>
          <w:ilvl w:val="0"/>
          <w:numId w:val="42"/>
        </w:numPr>
      </w:pPr>
      <w:r>
        <w:t xml:space="preserve">Physical activity can comprise general leisure-time physical activities, structured exercise, or sport, if appropriate. </w:t>
      </w:r>
      <w:r w:rsidR="27C0F4A7">
        <w:t>(Not graded)</w:t>
      </w:r>
    </w:p>
    <w:p w14:paraId="1E1BB39D" w14:textId="3BF18052" w:rsidR="00445691" w:rsidRPr="00524CA4" w:rsidRDefault="00445691" w:rsidP="00067A88">
      <w:pPr>
        <w:pStyle w:val="ListParagraph"/>
        <w:numPr>
          <w:ilvl w:val="0"/>
          <w:numId w:val="42"/>
        </w:numPr>
      </w:pPr>
      <w:r>
        <w:t>Exercise should be supervised for greatest compliance and efficacy by an appropriately trained individual (e.g., physiotherapist, sports scientist, cardiac rehabilitation specialist or an assistant physiotherapist/dietitian/nurse with additional training from one of the former groups).</w:t>
      </w:r>
      <w:r w:rsidR="72DF7A5B">
        <w:t xml:space="preserve"> (Not graded)</w:t>
      </w:r>
    </w:p>
    <w:p w14:paraId="27C656CB" w14:textId="06283C8F" w:rsidR="00445691" w:rsidRPr="00524CA4" w:rsidRDefault="00445691" w:rsidP="00067A88">
      <w:pPr>
        <w:pStyle w:val="ListParagraph"/>
        <w:numPr>
          <w:ilvl w:val="0"/>
          <w:numId w:val="42"/>
        </w:numPr>
      </w:pPr>
      <w:r>
        <w:t>Exercise volume, both aerobic and resistance in nature, should be progressed gradually by adjusting duration, frequency, and/or intensity until the desired exercise goal (maintenance) is attained</w:t>
      </w:r>
      <w:r w:rsidR="71940044">
        <w:t>. (Not graded)</w:t>
      </w:r>
    </w:p>
    <w:p w14:paraId="7EFC6B88" w14:textId="70935DE8" w:rsidR="00445691" w:rsidRPr="00524CA4" w:rsidRDefault="00445691" w:rsidP="00067A88">
      <w:pPr>
        <w:pStyle w:val="ListParagraph"/>
        <w:numPr>
          <w:ilvl w:val="0"/>
          <w:numId w:val="42"/>
        </w:numPr>
      </w:pPr>
      <w:r>
        <w:t>Exercise should be followed by cool-down activities (e.g., exercising for a minimum of five minutes, starting at one-half of the prescribed training intensity and gradually decreasing intensity until exercise is stopped).</w:t>
      </w:r>
      <w:r w:rsidR="44E12864">
        <w:t xml:space="preserve"> (Not graded)</w:t>
      </w:r>
    </w:p>
    <w:p w14:paraId="34B62CAE" w14:textId="51DEFEE9" w:rsidR="00445691" w:rsidRPr="00524CA4" w:rsidRDefault="00445691" w:rsidP="00067A88">
      <w:pPr>
        <w:pStyle w:val="ListParagraph"/>
        <w:numPr>
          <w:ilvl w:val="0"/>
          <w:numId w:val="42"/>
        </w:numPr>
      </w:pPr>
      <w:r>
        <w:t>To maintain exercise behaviour, behavioural strategies such as social support, goal setting of outcomes, instruction (modelling) of exercise behaviours and motivational interviewing should be implemented.</w:t>
      </w:r>
      <w:r w:rsidR="07B6AFDB">
        <w:t xml:space="preserve"> (Not graded)</w:t>
      </w:r>
    </w:p>
    <w:p w14:paraId="185DE985" w14:textId="77777777" w:rsidR="00D724D7" w:rsidRPr="00D724D7" w:rsidRDefault="00D724D7" w:rsidP="00D724D7">
      <w:pPr>
        <w:pStyle w:val="GuidelineHeadings"/>
      </w:pPr>
      <w:r>
        <w:lastRenderedPageBreak/>
        <w:t>Guideline</w:t>
      </w:r>
      <w:r w:rsidRPr="00D724D7">
        <w:t xml:space="preserve"> 5.</w:t>
      </w:r>
      <w:r>
        <w:t xml:space="preserve">7 </w:t>
      </w:r>
      <w:r w:rsidRPr="00D724D7">
        <w:t>– Dietary measures</w:t>
      </w:r>
    </w:p>
    <w:p w14:paraId="65D448E3" w14:textId="77777777" w:rsidR="00D724D7" w:rsidRPr="00D724D7" w:rsidRDefault="00D724D7" w:rsidP="00067A88">
      <w:pPr>
        <w:pStyle w:val="ListParagraph"/>
        <w:numPr>
          <w:ilvl w:val="0"/>
          <w:numId w:val="43"/>
        </w:numPr>
      </w:pPr>
      <w:r w:rsidRPr="004A5142">
        <w:t xml:space="preserve">Patients should receive individualised information and counselling to adapt their diet and lifestyle after transplantation. This should be from a registered dietitian with appropriate training, experience and adequate resources and should </w:t>
      </w:r>
      <w:proofErr w:type="gramStart"/>
      <w:r w:rsidRPr="004A5142">
        <w:t>include,</w:t>
      </w:r>
      <w:proofErr w:type="gramEnd"/>
      <w:r w:rsidRPr="004A5142">
        <w:t xml:space="preserve"> review of dietary restrictions and normalisation of fluid and electrolyte status and intake. (Not Graded)</w:t>
      </w:r>
    </w:p>
    <w:p w14:paraId="1BFD27CD" w14:textId="28C869B8" w:rsidR="00D724D7" w:rsidRPr="00D724D7" w:rsidRDefault="001B5F60" w:rsidP="00067A88">
      <w:pPr>
        <w:pStyle w:val="ListParagraph"/>
        <w:numPr>
          <w:ilvl w:val="0"/>
          <w:numId w:val="43"/>
        </w:numPr>
      </w:pPr>
      <w:r>
        <w:t>We suggest w</w:t>
      </w:r>
      <w:r w:rsidR="00D724D7" w:rsidRPr="004A5142">
        <w:t>eight should be routinely monitored and documented. Any fluid retention should be noted. An ideal weight should be targeted with BMI between 18.5-25 kg/m</w:t>
      </w:r>
      <w:r w:rsidR="00D724D7" w:rsidRPr="00697F36">
        <w:rPr>
          <w:vertAlign w:val="superscript"/>
        </w:rPr>
        <w:t>2</w:t>
      </w:r>
      <w:r w:rsidR="00D724D7" w:rsidRPr="004A5142">
        <w:t xml:space="preserve"> is suggested but may vary according to age, gender, and ethnicity.  BMI should be calculated from a fluid-free weight (2C). </w:t>
      </w:r>
    </w:p>
    <w:p w14:paraId="59EC9633" w14:textId="63BCB697" w:rsidR="00D724D7" w:rsidRPr="00D724D7" w:rsidRDefault="00D724D7" w:rsidP="00067A88">
      <w:pPr>
        <w:pStyle w:val="ListParagraph"/>
        <w:numPr>
          <w:ilvl w:val="0"/>
          <w:numId w:val="43"/>
        </w:numPr>
      </w:pPr>
      <w:r>
        <w:t xml:space="preserve">There should be a protocol in place for recognising clinically significant increases or decreases in body weight and providing individualised intervention to reduce the risk of malnutrition or obesity. There should be regular malnutrition screening for all KTR with a validated nutrition screening tool or method. </w:t>
      </w:r>
      <w:r w:rsidR="769D330D">
        <w:t>(Not graded)</w:t>
      </w:r>
    </w:p>
    <w:p w14:paraId="2B9555C3" w14:textId="386C442B" w:rsidR="00D724D7" w:rsidRPr="00D724D7" w:rsidRDefault="001B5F60" w:rsidP="00067A88">
      <w:pPr>
        <w:pStyle w:val="ListParagraph"/>
        <w:numPr>
          <w:ilvl w:val="0"/>
          <w:numId w:val="43"/>
        </w:numPr>
      </w:pPr>
      <w:r>
        <w:t>We suggest l</w:t>
      </w:r>
      <w:r w:rsidR="00D724D7" w:rsidRPr="004A5142">
        <w:t>imit salt intake to &lt;6g/d</w:t>
      </w:r>
      <w:r w:rsidR="006A1C2C">
        <w:t xml:space="preserve"> </w:t>
      </w:r>
      <w:r w:rsidR="00E958B9">
        <w:t>and</w:t>
      </w:r>
      <w:r w:rsidR="006A1C2C">
        <w:t xml:space="preserve"> an</w:t>
      </w:r>
      <w:r w:rsidR="00D724D7" w:rsidRPr="004A5142">
        <w:t xml:space="preserve"> energy intake of 25-35kcal/kg/d or that required to maintain a positive nitrogen balance and healthy weight, is suggested. </w:t>
      </w:r>
    </w:p>
    <w:p w14:paraId="1B07E452" w14:textId="77777777" w:rsidR="00D724D7" w:rsidRPr="00D724D7" w:rsidRDefault="00D724D7" w:rsidP="00067A88">
      <w:pPr>
        <w:pStyle w:val="ListParagraph"/>
        <w:numPr>
          <w:ilvl w:val="0"/>
          <w:numId w:val="43"/>
        </w:numPr>
      </w:pPr>
      <w:r w:rsidRPr="004A5142">
        <w:t xml:space="preserve">Alcohol consumption should be within national guidelines (2D) </w:t>
      </w:r>
    </w:p>
    <w:p w14:paraId="18CEE666" w14:textId="77777777" w:rsidR="00D724D7" w:rsidRPr="00D724D7" w:rsidRDefault="00D724D7" w:rsidP="00067A88">
      <w:pPr>
        <w:pStyle w:val="ListParagraph"/>
        <w:numPr>
          <w:ilvl w:val="0"/>
          <w:numId w:val="43"/>
        </w:numPr>
      </w:pPr>
      <w:r w:rsidRPr="004A5142">
        <w:t xml:space="preserve">Recreational drug use should be avoided (2D) </w:t>
      </w:r>
    </w:p>
    <w:p w14:paraId="54698AE7" w14:textId="77777777" w:rsidR="00D724D7" w:rsidRPr="00D724D7" w:rsidRDefault="00D724D7" w:rsidP="00067A88">
      <w:pPr>
        <w:pStyle w:val="ListParagraph"/>
        <w:numPr>
          <w:ilvl w:val="0"/>
          <w:numId w:val="43"/>
        </w:numPr>
      </w:pPr>
      <w:r w:rsidRPr="004A5142">
        <w:t xml:space="preserve">The use of over-the-counter medications (without discussion with clinical staff) and non-proprietary medications (e.g. herbal medicines) should be discouraged (2D) </w:t>
      </w:r>
    </w:p>
    <w:p w14:paraId="7002B46E" w14:textId="7B3421E3" w:rsidR="00D724D7" w:rsidRPr="00D724D7" w:rsidRDefault="00D724D7" w:rsidP="00067A88">
      <w:pPr>
        <w:pStyle w:val="ListParagraph"/>
        <w:numPr>
          <w:ilvl w:val="0"/>
          <w:numId w:val="43"/>
        </w:numPr>
      </w:pPr>
      <w:r>
        <w:t>We suggest dietary advice should be given to ensure adequate calcium and magnesium intake and control of serum phosphate level. All KTR who follow sun avoidance guidelines to limit the risk of skin cancer with immunosuppression should be advised to take 10micg (400iu) vitamin D3 daily throughout the year or sufficient to maintain vitamin D3 levels of at least 50nmol/L.</w:t>
      </w:r>
      <w:r w:rsidR="580718F3">
        <w:t xml:space="preserve"> (Not graded)</w:t>
      </w:r>
    </w:p>
    <w:p w14:paraId="32D0CB1C" w14:textId="77777777" w:rsidR="00D724D7" w:rsidRPr="00D724D7" w:rsidRDefault="00D724D7" w:rsidP="00067A88">
      <w:pPr>
        <w:pStyle w:val="ListParagraph"/>
        <w:numPr>
          <w:ilvl w:val="0"/>
          <w:numId w:val="43"/>
        </w:numPr>
      </w:pPr>
      <w:r w:rsidRPr="004A5142">
        <w:t>KTR are at increased risk of foodborne infection, hence should be advised to adhere to food safety practices which include following the ‘4 C’s’ (clean, cook, chill, cross-contamination), keeping hands, surfaces and utensils clean, washing all fruits/vegetables, appropriate storage, preparation and cooking of foods to recommended temperatures, and avoid high-risk foods (e.g. unpasteurised dairy products, undercooked meat and eggs). (2D)</w:t>
      </w:r>
    </w:p>
    <w:p w14:paraId="0F0CC16C" w14:textId="1DD0E1E5" w:rsidR="00D724D7" w:rsidRPr="00D724D7" w:rsidRDefault="00D724D7" w:rsidP="00067A88">
      <w:pPr>
        <w:pStyle w:val="ListParagraph"/>
        <w:numPr>
          <w:ilvl w:val="0"/>
          <w:numId w:val="43"/>
        </w:numPr>
      </w:pPr>
      <w:r w:rsidRPr="004A5142">
        <w:t xml:space="preserve">KTR should be counselled on drug-nutrient interactions which affect immunosuppressive medications metabolised via the cytochrome P450 and the CYP3A4 and CYP3A5 </w:t>
      </w:r>
      <w:proofErr w:type="gramStart"/>
      <w:r w:rsidRPr="004A5142">
        <w:t>enzymes .</w:t>
      </w:r>
      <w:proofErr w:type="gramEnd"/>
      <w:r w:rsidRPr="004A5142">
        <w:t xml:space="preserve"> They should avoid grapefruit and pomelo and limit intake of clementine, pomegranate, ginger, turmeric and green tea. KTRs should not take alternative/herbal/traditional remedies without their nephrologist’s approval. The KTR needs to be counselled on the timing of immunosuppression medication in relation to </w:t>
      </w:r>
      <w:proofErr w:type="gramStart"/>
      <w:r w:rsidRPr="004A5142">
        <w:t>meal time</w:t>
      </w:r>
      <w:proofErr w:type="gramEnd"/>
      <w:r w:rsidRPr="004A5142">
        <w:t xml:space="preserve"> and composition (2D)</w:t>
      </w:r>
    </w:p>
    <w:p w14:paraId="3764D1A2" w14:textId="5158BAAD" w:rsidR="00E97B7E" w:rsidRDefault="00AF5E8D" w:rsidP="00AF5E8D">
      <w:pPr>
        <w:pStyle w:val="GuidelineUpperHeadings"/>
      </w:pPr>
      <w:bookmarkStart w:id="6" w:name="_Toc213749017"/>
      <w:r>
        <w:lastRenderedPageBreak/>
        <w:t xml:space="preserve">6. </w:t>
      </w:r>
      <w:r w:rsidR="009B0CA8" w:rsidRPr="00306FF4">
        <w:t xml:space="preserve">Kidney Transplant Recipient (KTR): </w:t>
      </w:r>
      <w:r>
        <w:t>Neoplasia</w:t>
      </w:r>
      <w:bookmarkEnd w:id="6"/>
    </w:p>
    <w:p w14:paraId="7B9AE40E" w14:textId="77777777" w:rsidR="00AF5E8D" w:rsidRDefault="00AF5E8D" w:rsidP="00AF5E8D">
      <w:pPr>
        <w:pStyle w:val="GuidelineHeadings"/>
      </w:pPr>
      <w:r>
        <w:t xml:space="preserve">Guideline 6.1 </w:t>
      </w:r>
      <w:r w:rsidRPr="00666C6F">
        <w:t>–</w:t>
      </w:r>
      <w:r>
        <w:t xml:space="preserve"> </w:t>
      </w:r>
      <w:r w:rsidRPr="00F32CE0">
        <w:t>Screening for cancer</w:t>
      </w:r>
    </w:p>
    <w:p w14:paraId="002BDBE9" w14:textId="77777777" w:rsidR="00AF5E8D" w:rsidRPr="00524CA4" w:rsidRDefault="00AF5E8D" w:rsidP="00AF5E8D">
      <w:pPr>
        <w:rPr>
          <w:lang w:eastAsia="en-GB"/>
        </w:rPr>
      </w:pPr>
      <w:r w:rsidRPr="00524CA4">
        <w:rPr>
          <w:lang w:eastAsia="en-GB"/>
        </w:rPr>
        <w:t xml:space="preserve">We suggest that the organisation of screening for neoplasia in KTRs </w:t>
      </w:r>
      <w:proofErr w:type="gramStart"/>
      <w:r w:rsidRPr="00524CA4">
        <w:rPr>
          <w:lang w:eastAsia="en-GB"/>
        </w:rPr>
        <w:t>take into account</w:t>
      </w:r>
      <w:proofErr w:type="gramEnd"/>
      <w:r w:rsidRPr="00524CA4">
        <w:rPr>
          <w:lang w:eastAsia="en-GB"/>
        </w:rPr>
        <w:t>:</w:t>
      </w:r>
    </w:p>
    <w:p w14:paraId="2DA01FA2" w14:textId="77777777" w:rsidR="00AF5E8D" w:rsidRPr="00524CA4" w:rsidRDefault="00AF5E8D" w:rsidP="00067A88">
      <w:pPr>
        <w:pStyle w:val="ListParagraph"/>
        <w:numPr>
          <w:ilvl w:val="0"/>
          <w:numId w:val="45"/>
        </w:numPr>
      </w:pPr>
      <w:r w:rsidRPr="00524CA4">
        <w:t xml:space="preserve">Screening should be </w:t>
      </w:r>
      <w:proofErr w:type="gramStart"/>
      <w:r w:rsidRPr="00524CA4">
        <w:t>similar to</w:t>
      </w:r>
      <w:proofErr w:type="gramEnd"/>
      <w:r w:rsidRPr="00524CA4">
        <w:t xml:space="preserve"> the general population for cervical, breast, colon and prostate cancer. (2C)</w:t>
      </w:r>
    </w:p>
    <w:p w14:paraId="72EA6736" w14:textId="77777777" w:rsidR="00AF5E8D" w:rsidRPr="00524CA4" w:rsidRDefault="00AF5E8D" w:rsidP="00067A88">
      <w:pPr>
        <w:pStyle w:val="ListParagraph"/>
        <w:numPr>
          <w:ilvl w:val="0"/>
          <w:numId w:val="45"/>
        </w:numPr>
      </w:pPr>
      <w:r w:rsidRPr="00524CA4">
        <w:t>Screening is not recommended for renal cell carcinoma. (2C)</w:t>
      </w:r>
    </w:p>
    <w:p w14:paraId="25867748" w14:textId="77777777" w:rsidR="00AF5E8D" w:rsidRPr="00524CA4" w:rsidRDefault="00AF5E8D" w:rsidP="00067A88">
      <w:pPr>
        <w:pStyle w:val="ListParagraph"/>
        <w:numPr>
          <w:ilvl w:val="0"/>
          <w:numId w:val="45"/>
        </w:numPr>
      </w:pPr>
      <w:r w:rsidRPr="00524CA4">
        <w:t>Breast and testicular self-examination should be encouraged. (2D)</w:t>
      </w:r>
    </w:p>
    <w:p w14:paraId="329AD7F4" w14:textId="77777777" w:rsidR="00AF5E8D" w:rsidRPr="00524CA4" w:rsidRDefault="00AF5E8D" w:rsidP="00067A88">
      <w:pPr>
        <w:pStyle w:val="ListParagraph"/>
        <w:numPr>
          <w:ilvl w:val="0"/>
          <w:numId w:val="45"/>
        </w:numPr>
      </w:pPr>
      <w:r w:rsidRPr="00524CA4">
        <w:t>Annual examination of skin by a trained healthcare professional. (1D)</w:t>
      </w:r>
    </w:p>
    <w:p w14:paraId="795B7A76" w14:textId="01C5BB9A" w:rsidR="00AF5E8D" w:rsidRPr="00524CA4" w:rsidRDefault="00AF5E8D" w:rsidP="00067A88">
      <w:pPr>
        <w:pStyle w:val="ListParagraph"/>
        <w:numPr>
          <w:ilvl w:val="0"/>
          <w:numId w:val="45"/>
        </w:numPr>
      </w:pPr>
      <w:r w:rsidRPr="00524CA4">
        <w:t xml:space="preserve">Patients with cirrhosis should undergo an annual </w:t>
      </w:r>
      <w:r w:rsidR="00E958B9">
        <w:t>liver</w:t>
      </w:r>
      <w:r w:rsidRPr="00524CA4">
        <w:t xml:space="preserve"> ultrasound and determination of serum alpha </w:t>
      </w:r>
      <w:proofErr w:type="spellStart"/>
      <w:r w:rsidRPr="00524CA4">
        <w:t>feto</w:t>
      </w:r>
      <w:proofErr w:type="spellEnd"/>
      <w:r w:rsidRPr="00524CA4">
        <w:t>-protein. (2C)</w:t>
      </w:r>
    </w:p>
    <w:p w14:paraId="6F087AC3" w14:textId="77777777" w:rsidR="00AF5E8D" w:rsidRPr="00AF5E8D" w:rsidRDefault="00AF5E8D" w:rsidP="00AF5E8D">
      <w:pPr>
        <w:pStyle w:val="GuidelineHeadings"/>
        <w:rPr>
          <w:color w:val="auto"/>
        </w:rPr>
      </w:pPr>
      <w:r>
        <w:t xml:space="preserve">Guideline 6.2 </w:t>
      </w:r>
      <w:r w:rsidRPr="00AF5E8D">
        <w:t>–</w:t>
      </w:r>
      <w:r>
        <w:t xml:space="preserve"> </w:t>
      </w:r>
      <w:r w:rsidRPr="00AF5E8D">
        <w:t>Non-Melanoma Skin Cancer (NMSC)</w:t>
      </w:r>
    </w:p>
    <w:p w14:paraId="335A7AC9" w14:textId="4980BEB7" w:rsidR="00AF5E8D" w:rsidRPr="00AF5E8D" w:rsidRDefault="00AF5E8D" w:rsidP="00067A88">
      <w:pPr>
        <w:pStyle w:val="ListParagraph"/>
        <w:numPr>
          <w:ilvl w:val="0"/>
          <w:numId w:val="46"/>
        </w:numPr>
      </w:pPr>
      <w:r w:rsidRPr="004A5142">
        <w:t xml:space="preserve">We recommend that KTRs should be educated about the adverse effects of </w:t>
      </w:r>
      <w:r w:rsidR="00E958B9">
        <w:t>sun</w:t>
      </w:r>
      <w:r w:rsidRPr="004A5142">
        <w:t xml:space="preserve"> exposure. (1C)</w:t>
      </w:r>
    </w:p>
    <w:p w14:paraId="312532E2" w14:textId="77777777" w:rsidR="00AF5E8D" w:rsidRPr="00AF5E8D" w:rsidRDefault="00AF5E8D" w:rsidP="00067A88">
      <w:pPr>
        <w:pStyle w:val="ListParagraph"/>
        <w:numPr>
          <w:ilvl w:val="0"/>
          <w:numId w:val="46"/>
        </w:numPr>
      </w:pPr>
      <w:r w:rsidRPr="004A5142">
        <w:t>We suggest an individualised assessment of hazard should be made for KTRs according to risk factors. (2C)</w:t>
      </w:r>
    </w:p>
    <w:p w14:paraId="7B1DD4FA" w14:textId="77777777" w:rsidR="00AF5E8D" w:rsidRPr="00AF5E8D" w:rsidRDefault="00AF5E8D" w:rsidP="00067A88">
      <w:pPr>
        <w:pStyle w:val="ListParagraph"/>
        <w:numPr>
          <w:ilvl w:val="0"/>
          <w:numId w:val="46"/>
        </w:numPr>
        <w:rPr>
          <w:rFonts w:eastAsia="Times New Roman,Bold"/>
        </w:rPr>
      </w:pPr>
      <w:r w:rsidRPr="004A5142">
        <w:t xml:space="preserve">We recommend that patients should be encouraged to cover their skin in direct </w:t>
      </w:r>
      <w:r w:rsidRPr="00AF5E8D">
        <w:rPr>
          <w:rFonts w:eastAsia="Times New Roman,Bold"/>
        </w:rPr>
        <w:t>sunlight and to use total sunblock (Sun Protection Factor ≥ 50). (1D)</w:t>
      </w:r>
    </w:p>
    <w:p w14:paraId="42806299" w14:textId="10B29CB3" w:rsidR="00AF5E8D" w:rsidRPr="00AF5E8D" w:rsidRDefault="00AF5E8D" w:rsidP="00067A88">
      <w:pPr>
        <w:pStyle w:val="ListParagraph"/>
        <w:numPr>
          <w:ilvl w:val="0"/>
          <w:numId w:val="46"/>
        </w:numPr>
      </w:pPr>
      <w:r w:rsidRPr="004A5142">
        <w:t xml:space="preserve">We suggest that </w:t>
      </w:r>
      <w:r w:rsidR="00697F36" w:rsidRPr="004A5142">
        <w:t>self-examination</w:t>
      </w:r>
      <w:r w:rsidRPr="004A5142">
        <w:t xml:space="preserve"> should be encouraged and should be supplemented by annual review by a trained healthcare professional. (2C)</w:t>
      </w:r>
    </w:p>
    <w:p w14:paraId="52535116" w14:textId="77777777" w:rsidR="00AF5E8D" w:rsidRPr="00AF5E8D" w:rsidRDefault="00AF5E8D" w:rsidP="00067A88">
      <w:pPr>
        <w:pStyle w:val="ListParagraph"/>
        <w:numPr>
          <w:ilvl w:val="0"/>
          <w:numId w:val="46"/>
        </w:numPr>
      </w:pPr>
      <w:r w:rsidRPr="004A5142">
        <w:t>We suggest that acitretin should be prescribed to those with previous NMSC if there are no contraindications. (2B)</w:t>
      </w:r>
    </w:p>
    <w:p w14:paraId="3B85D27C" w14:textId="77777777" w:rsidR="00AF5E8D" w:rsidRPr="00524CA4" w:rsidRDefault="00AF5E8D" w:rsidP="00AF5E8D">
      <w:pPr>
        <w:pStyle w:val="GuidelineHeadings"/>
      </w:pPr>
      <w:r>
        <w:t xml:space="preserve">Guideline 6.3 </w:t>
      </w:r>
      <w:r w:rsidRPr="00AF5E8D">
        <w:t>–</w:t>
      </w:r>
      <w:r>
        <w:t xml:space="preserve"> </w:t>
      </w:r>
      <w:r w:rsidRPr="00AF5E8D">
        <w:t>Immunosuppression in cancers</w:t>
      </w:r>
    </w:p>
    <w:p w14:paraId="17E8C51A" w14:textId="77777777" w:rsidR="00AF5E8D" w:rsidRPr="004A5142" w:rsidRDefault="00AF5E8D" w:rsidP="00067A88">
      <w:pPr>
        <w:pStyle w:val="ListParagraph"/>
        <w:numPr>
          <w:ilvl w:val="0"/>
          <w:numId w:val="47"/>
        </w:numPr>
      </w:pPr>
      <w:r w:rsidRPr="004A5142">
        <w:t>We suggest that the overall level of immunosuppression should be reduced if neoplasia develops. (2C)</w:t>
      </w:r>
    </w:p>
    <w:p w14:paraId="48A1C104" w14:textId="77777777" w:rsidR="00AF5E8D" w:rsidRPr="00524CA4" w:rsidRDefault="00AF5E8D" w:rsidP="00AF5E8D">
      <w:pPr>
        <w:pStyle w:val="GuidelineHeadings"/>
      </w:pPr>
      <w:r>
        <w:t xml:space="preserve">Guideline 6.4 </w:t>
      </w:r>
      <w:r w:rsidRPr="00AF5E8D">
        <w:t>–</w:t>
      </w:r>
      <w:r>
        <w:t xml:space="preserve"> </w:t>
      </w:r>
      <w:r w:rsidRPr="00AF5E8D">
        <w:t>Immunosuppression in Kaposi’s sarcoma</w:t>
      </w:r>
    </w:p>
    <w:p w14:paraId="0076A4AD" w14:textId="77777777" w:rsidR="00AF5E8D" w:rsidRPr="004A5142" w:rsidRDefault="00AF5E8D" w:rsidP="00067A88">
      <w:pPr>
        <w:pStyle w:val="ListParagraph"/>
        <w:numPr>
          <w:ilvl w:val="0"/>
          <w:numId w:val="47"/>
        </w:numPr>
      </w:pPr>
      <w:r w:rsidRPr="004A5142">
        <w:t>We suggest that m-</w:t>
      </w:r>
      <w:proofErr w:type="spellStart"/>
      <w:r w:rsidRPr="004A5142">
        <w:t>TORis</w:t>
      </w:r>
      <w:proofErr w:type="spellEnd"/>
      <w:r w:rsidRPr="004A5142">
        <w:t xml:space="preserve"> has specific anti-</w:t>
      </w:r>
      <w:r w:rsidRPr="00AF5E8D">
        <w:rPr>
          <w:rFonts w:eastAsia="Times New Roman,Bold"/>
        </w:rPr>
        <w:t xml:space="preserve">tumour effects in Kaposi’s sarcoma </w:t>
      </w:r>
      <w:r w:rsidRPr="004A5142">
        <w:t>and switching to this medication should be considered. (2C)</w:t>
      </w:r>
    </w:p>
    <w:p w14:paraId="55CC5CFC" w14:textId="7FFA6456" w:rsidR="008710DB" w:rsidRPr="00FF3619" w:rsidRDefault="009B0CA8" w:rsidP="008710DB">
      <w:pPr>
        <w:pStyle w:val="GuidelineUpperHeadings"/>
      </w:pPr>
      <w:bookmarkStart w:id="7" w:name="_Toc213749018"/>
      <w:r>
        <w:t>7</w:t>
      </w:r>
      <w:r w:rsidR="008710DB">
        <w:t xml:space="preserve">. </w:t>
      </w:r>
      <w:r w:rsidR="008710DB" w:rsidRPr="00FF3619">
        <w:t>Kidney Transplant Recipient (KTR): Infection Complications (Guidelines 8.1-8.7)</w:t>
      </w:r>
      <w:bookmarkEnd w:id="7"/>
    </w:p>
    <w:p w14:paraId="1C182051" w14:textId="554F08E1" w:rsidR="008710DB" w:rsidRPr="00FF3619" w:rsidRDefault="008710DB" w:rsidP="008710DB">
      <w:pPr>
        <w:pStyle w:val="GuidelineHeadings"/>
      </w:pPr>
      <w:r w:rsidRPr="00FF3619">
        <w:t xml:space="preserve">Guideline </w:t>
      </w:r>
      <w:r w:rsidR="00E30815">
        <w:t>7</w:t>
      </w:r>
      <w:r w:rsidRPr="00FF3619">
        <w:t>.1 – KTR: Vaccination</w:t>
      </w:r>
    </w:p>
    <w:p w14:paraId="649C8510" w14:textId="3446295F" w:rsidR="008710DB" w:rsidRPr="00FF3619" w:rsidRDefault="008710DB" w:rsidP="008710DB">
      <w:pPr>
        <w:pStyle w:val="GuidelineSubheadings"/>
      </w:pPr>
      <w:r w:rsidRPr="00FF3619">
        <w:t xml:space="preserve">Guideline </w:t>
      </w:r>
      <w:r w:rsidR="00E30815">
        <w:t>7</w:t>
      </w:r>
      <w:r w:rsidRPr="00FF3619">
        <w:t>.1.1 – KTR: Vaccination</w:t>
      </w:r>
    </w:p>
    <w:p w14:paraId="63A99525" w14:textId="77777777" w:rsidR="008710DB" w:rsidRPr="00FF3619" w:rsidRDefault="008710DB" w:rsidP="008710DB">
      <w:r w:rsidRPr="00FF3619">
        <w:t>We recommend that KTRs:</w:t>
      </w:r>
    </w:p>
    <w:p w14:paraId="7BCBA094" w14:textId="77777777" w:rsidR="008710DB" w:rsidRPr="00FF3619" w:rsidRDefault="008710DB" w:rsidP="00067A88">
      <w:pPr>
        <w:pStyle w:val="ListParagraph"/>
        <w:numPr>
          <w:ilvl w:val="0"/>
          <w:numId w:val="49"/>
        </w:numPr>
      </w:pPr>
      <w:r w:rsidRPr="00FF3619">
        <w:t>Should be vaccinated with inactivated viruses as per national vaccination programmes. (1C)</w:t>
      </w:r>
    </w:p>
    <w:p w14:paraId="4DDC3C6F" w14:textId="77777777" w:rsidR="008710DB" w:rsidRPr="008710DB" w:rsidRDefault="008710DB" w:rsidP="00067A88">
      <w:pPr>
        <w:pStyle w:val="ListParagraph"/>
        <w:numPr>
          <w:ilvl w:val="0"/>
          <w:numId w:val="49"/>
        </w:numPr>
      </w:pPr>
      <w:r w:rsidRPr="00FF3619">
        <w:lastRenderedPageBreak/>
        <w:t>Should receive annual influenza vaccination unless contraindicated. (1C)</w:t>
      </w:r>
    </w:p>
    <w:p w14:paraId="1507531B" w14:textId="68CF8F03" w:rsidR="008710DB" w:rsidRPr="00FF3619" w:rsidRDefault="008710DB" w:rsidP="008710DB">
      <w:pPr>
        <w:pStyle w:val="GuidelineSubheadings"/>
      </w:pPr>
      <w:r w:rsidRPr="00FF3619">
        <w:t xml:space="preserve">Guideline </w:t>
      </w:r>
      <w:r w:rsidR="00E30815">
        <w:t>7</w:t>
      </w:r>
      <w:r w:rsidRPr="00FF3619">
        <w:t>.1.2 – KTR: Vaccination</w:t>
      </w:r>
    </w:p>
    <w:p w14:paraId="550BF20C" w14:textId="77777777" w:rsidR="008710DB" w:rsidRPr="00FF3619" w:rsidRDefault="008710DB" w:rsidP="008710DB">
      <w:r w:rsidRPr="00FF3619">
        <w:t>We suggest that KTRs:</w:t>
      </w:r>
    </w:p>
    <w:p w14:paraId="46519BE3" w14:textId="77777777" w:rsidR="008710DB" w:rsidRPr="00FF3619" w:rsidRDefault="008710DB" w:rsidP="00067A88">
      <w:pPr>
        <w:pStyle w:val="ListParagraph"/>
        <w:numPr>
          <w:ilvl w:val="0"/>
          <w:numId w:val="50"/>
        </w:numPr>
      </w:pPr>
      <w:r w:rsidRPr="00FF3619">
        <w:t>Should have hepatitis B surface antibody (</w:t>
      </w:r>
      <w:proofErr w:type="spellStart"/>
      <w:r w:rsidRPr="00FF3619">
        <w:t>HBsAb</w:t>
      </w:r>
      <w:proofErr w:type="spellEnd"/>
      <w:r w:rsidRPr="00FF3619">
        <w:t>) levels rechecked annually and be revaccination if antibody titres fall below 10mIU/ml (2D)</w:t>
      </w:r>
    </w:p>
    <w:p w14:paraId="43D63206" w14:textId="77777777" w:rsidR="008710DB" w:rsidRPr="00FF3619" w:rsidRDefault="008710DB" w:rsidP="00067A88">
      <w:pPr>
        <w:pStyle w:val="ListParagraph"/>
        <w:numPr>
          <w:ilvl w:val="0"/>
          <w:numId w:val="50"/>
        </w:numPr>
      </w:pPr>
      <w:r w:rsidRPr="00FF3619">
        <w:t>Should receive pneumococcal vaccine and a booster every five years. (2D)</w:t>
      </w:r>
    </w:p>
    <w:p w14:paraId="0B49F2DD" w14:textId="77777777" w:rsidR="008710DB" w:rsidRPr="00FF3619" w:rsidRDefault="008710DB" w:rsidP="00067A88">
      <w:pPr>
        <w:pStyle w:val="ListParagraph"/>
        <w:numPr>
          <w:ilvl w:val="0"/>
          <w:numId w:val="50"/>
        </w:numPr>
      </w:pPr>
      <w:r w:rsidRPr="00FF3619">
        <w:t>Should not receive live attenuated vaccines. (2C)</w:t>
      </w:r>
    </w:p>
    <w:p w14:paraId="2C38F7B0" w14:textId="213651DF" w:rsidR="00516860" w:rsidRPr="00516860" w:rsidRDefault="00516860" w:rsidP="00516860">
      <w:pPr>
        <w:pStyle w:val="GuidelineHeadings"/>
      </w:pPr>
      <w:r w:rsidRPr="00FF3619">
        <w:t xml:space="preserve">Guideline </w:t>
      </w:r>
      <w:r w:rsidR="00E30815">
        <w:t>7</w:t>
      </w:r>
      <w:r w:rsidRPr="00FF3619">
        <w:t>.2 – KTR: Cytomegalovirus disease</w:t>
      </w:r>
    </w:p>
    <w:p w14:paraId="2082DA1B" w14:textId="70FD7E1D" w:rsidR="00516860" w:rsidRPr="00FF3619" w:rsidRDefault="00516860" w:rsidP="00516860">
      <w:pPr>
        <w:pStyle w:val="GuidelineSubheadings"/>
      </w:pPr>
      <w:r w:rsidRPr="00FF3619">
        <w:t xml:space="preserve">Guideline </w:t>
      </w:r>
      <w:r w:rsidR="00E30815">
        <w:t>7</w:t>
      </w:r>
      <w:r w:rsidRPr="00FF3619">
        <w:t xml:space="preserve">.2.1 – KTR: prophylaxis of CMV </w:t>
      </w:r>
    </w:p>
    <w:p w14:paraId="56F5F601" w14:textId="77777777" w:rsidR="00516860" w:rsidRPr="00FF3619" w:rsidRDefault="00516860" w:rsidP="00516860">
      <w:r w:rsidRPr="00FF3619">
        <w:t xml:space="preserve">We recommend: </w:t>
      </w:r>
    </w:p>
    <w:p w14:paraId="34EB670B" w14:textId="77777777" w:rsidR="00516860" w:rsidRPr="00FF3619" w:rsidRDefault="00516860" w:rsidP="00067A88">
      <w:pPr>
        <w:pStyle w:val="ListParagraph"/>
        <w:numPr>
          <w:ilvl w:val="0"/>
          <w:numId w:val="52"/>
        </w:numPr>
      </w:pPr>
      <w:r w:rsidRPr="00FF3619">
        <w:t>All donor and recipients should be screened for CMV serostatus before or at the time of transplantation (1A)</w:t>
      </w:r>
    </w:p>
    <w:p w14:paraId="45DCF34D" w14:textId="77777777" w:rsidR="00516860" w:rsidRPr="00FF3619" w:rsidRDefault="00516860" w:rsidP="00067A88">
      <w:pPr>
        <w:pStyle w:val="ListParagraph"/>
        <w:numPr>
          <w:ilvl w:val="0"/>
          <w:numId w:val="52"/>
        </w:numPr>
      </w:pPr>
      <w:r w:rsidRPr="00FF3619">
        <w:t xml:space="preserve">Prophylaxis should be continued for at least 3 months following transplantation in </w:t>
      </w:r>
      <w:proofErr w:type="spellStart"/>
      <w:r w:rsidRPr="00FF3619">
        <w:t>sero</w:t>
      </w:r>
      <w:proofErr w:type="spellEnd"/>
      <w:r w:rsidRPr="00FF3619">
        <w:t xml:space="preserve">-negative recipients of kidneys from CMV positive donors (D+/R-). (1A) </w:t>
      </w:r>
    </w:p>
    <w:p w14:paraId="486EB6CD" w14:textId="77777777" w:rsidR="00516860" w:rsidRPr="00FF3619" w:rsidRDefault="00516860" w:rsidP="00067A88">
      <w:pPr>
        <w:pStyle w:val="ListParagraph"/>
        <w:numPr>
          <w:ilvl w:val="0"/>
          <w:numId w:val="52"/>
        </w:numPr>
      </w:pPr>
      <w:r w:rsidRPr="00FF3619">
        <w:t>Prophylaxis should be administered for at least 3 months after treatment with a TDA when donor recipient status is D+/R+ or D-/R+ (1A)</w:t>
      </w:r>
    </w:p>
    <w:p w14:paraId="5A67AA8A" w14:textId="5F0D7304" w:rsidR="00516860" w:rsidRPr="00FF3619" w:rsidRDefault="00516860" w:rsidP="00516860">
      <w:pPr>
        <w:pStyle w:val="GuidelineSubheadings"/>
      </w:pPr>
      <w:r w:rsidRPr="00FF3619">
        <w:t xml:space="preserve">Guideline </w:t>
      </w:r>
      <w:r w:rsidR="00E30815">
        <w:t>7</w:t>
      </w:r>
      <w:r w:rsidRPr="00FF3619">
        <w:t xml:space="preserve">.2.2 – </w:t>
      </w:r>
      <w:r w:rsidRPr="00FF3619">
        <w:rPr>
          <w:lang w:val="en-US"/>
        </w:rPr>
        <w:t xml:space="preserve">KTR: prophylaxis and treatment of </w:t>
      </w:r>
      <w:r w:rsidRPr="00FF3619">
        <w:t xml:space="preserve">CMV disease </w:t>
      </w:r>
    </w:p>
    <w:p w14:paraId="560668B1" w14:textId="77777777" w:rsidR="00516860" w:rsidRPr="00FF3619" w:rsidRDefault="00516860" w:rsidP="00516860">
      <w:r w:rsidRPr="00FF3619">
        <w:t>We suggest:</w:t>
      </w:r>
    </w:p>
    <w:p w14:paraId="4EEB321B" w14:textId="77777777" w:rsidR="00516860" w:rsidRPr="00FF3619" w:rsidRDefault="00516860" w:rsidP="00067A88">
      <w:pPr>
        <w:pStyle w:val="ListParagraph"/>
        <w:numPr>
          <w:ilvl w:val="0"/>
          <w:numId w:val="53"/>
        </w:numPr>
      </w:pPr>
      <w:r w:rsidRPr="00FF3619">
        <w:t>All transplant units should have the ability to measure CMV serological status and the detection and quantification of viral load. (1A)</w:t>
      </w:r>
    </w:p>
    <w:p w14:paraId="2FEE0D8D" w14:textId="77777777" w:rsidR="00516860" w:rsidRPr="00FF3619" w:rsidRDefault="00516860" w:rsidP="00067A88">
      <w:pPr>
        <w:pStyle w:val="ListParagraph"/>
        <w:numPr>
          <w:ilvl w:val="0"/>
          <w:numId w:val="53"/>
        </w:numPr>
      </w:pPr>
      <w:r w:rsidRPr="00FF3619">
        <w:t>A written protocolised strategy based either on prophylaxis and/or pre-emptive therapy should be implemented. (2D)</w:t>
      </w:r>
    </w:p>
    <w:p w14:paraId="5A8AA899" w14:textId="77777777" w:rsidR="00516860" w:rsidRPr="00FF3619" w:rsidRDefault="00516860" w:rsidP="00067A88">
      <w:pPr>
        <w:pStyle w:val="ListParagraph"/>
        <w:numPr>
          <w:ilvl w:val="0"/>
          <w:numId w:val="53"/>
        </w:numPr>
      </w:pPr>
      <w:r w:rsidRPr="00FF3619">
        <w:t>For the treatment of mild and moderate CMV disease, oral valganciclovir and intravenous ganciclovir are of equivalent efficacy. (1A)</w:t>
      </w:r>
    </w:p>
    <w:p w14:paraId="1472CF46" w14:textId="77777777" w:rsidR="00516860" w:rsidRPr="00FF3619" w:rsidRDefault="00516860" w:rsidP="00067A88">
      <w:pPr>
        <w:pStyle w:val="ListParagraph"/>
        <w:numPr>
          <w:ilvl w:val="0"/>
          <w:numId w:val="53"/>
        </w:numPr>
      </w:pPr>
      <w:r w:rsidRPr="00FF3619">
        <w:t>Treatment of life-threatening CMV disease should be initiated with intravenous ganciclovir. (1A)</w:t>
      </w:r>
    </w:p>
    <w:p w14:paraId="1386742B" w14:textId="77777777" w:rsidR="00516860" w:rsidRPr="00FF3619" w:rsidRDefault="00516860" w:rsidP="00067A88">
      <w:pPr>
        <w:pStyle w:val="ListParagraph"/>
        <w:numPr>
          <w:ilvl w:val="0"/>
          <w:numId w:val="53"/>
        </w:numPr>
      </w:pPr>
      <w:r w:rsidRPr="00FF3619">
        <w:t>Treatment duration should be determined by monitoring viral load but at least 2 weeks should be offered (1D).</w:t>
      </w:r>
    </w:p>
    <w:p w14:paraId="282350E4" w14:textId="77777777" w:rsidR="00516860" w:rsidRPr="00FF3619" w:rsidRDefault="00516860" w:rsidP="00067A88">
      <w:pPr>
        <w:pStyle w:val="ListParagraph"/>
        <w:numPr>
          <w:ilvl w:val="0"/>
          <w:numId w:val="53"/>
        </w:numPr>
      </w:pPr>
      <w:r w:rsidRPr="00FF3619">
        <w:t>Stopping treatment should be considered once symptoms resolve and two viral load tests indicate CMV is undetectable (2D).</w:t>
      </w:r>
    </w:p>
    <w:p w14:paraId="6DE3084D" w14:textId="77777777" w:rsidR="00516860" w:rsidRPr="00FF3619" w:rsidRDefault="00516860" w:rsidP="00067A88">
      <w:pPr>
        <w:pStyle w:val="ListParagraph"/>
        <w:numPr>
          <w:ilvl w:val="0"/>
          <w:numId w:val="53"/>
        </w:numPr>
      </w:pPr>
      <w:r w:rsidRPr="00FF3619">
        <w:t>Ganciclovir resistance should be considered in patients who remain symptomatic or have rising viral load despite 2 to 4 weeks of therapy at an effective dosage (1A). Virology advice is recommended to direct therapy in this event (1D).</w:t>
      </w:r>
    </w:p>
    <w:p w14:paraId="39C26B22" w14:textId="77777777" w:rsidR="00516860" w:rsidRPr="00FF3619" w:rsidRDefault="00516860" w:rsidP="00067A88">
      <w:pPr>
        <w:pStyle w:val="ListParagraph"/>
        <w:numPr>
          <w:ilvl w:val="0"/>
          <w:numId w:val="53"/>
        </w:numPr>
      </w:pPr>
      <w:r w:rsidRPr="00FF3619">
        <w:t>Reduction of immunosuppression, preferentially mycophenolate mofetil or azathioprine, should be considered at the time of infection with review once infection or disease have resolved (1D).</w:t>
      </w:r>
    </w:p>
    <w:p w14:paraId="0E70F0D1" w14:textId="49F08783" w:rsidR="00516860" w:rsidRPr="00516860" w:rsidRDefault="00516860" w:rsidP="00516860">
      <w:pPr>
        <w:pStyle w:val="GuidelineHeadings"/>
      </w:pPr>
      <w:r w:rsidRPr="00FF3619">
        <w:lastRenderedPageBreak/>
        <w:t xml:space="preserve">Guideline </w:t>
      </w:r>
      <w:r w:rsidR="00E30815">
        <w:t>7</w:t>
      </w:r>
      <w:r w:rsidRPr="00FF3619">
        <w:t>.3 – KTR: Epstein Barr virus infection</w:t>
      </w:r>
    </w:p>
    <w:p w14:paraId="1DD34C2F" w14:textId="255FFCBA" w:rsidR="00516860" w:rsidRPr="00516860" w:rsidRDefault="00516860" w:rsidP="00516860">
      <w:pPr>
        <w:pStyle w:val="GuidelineSubheadings"/>
      </w:pPr>
      <w:r w:rsidRPr="00FF3619">
        <w:t xml:space="preserve">Guideline </w:t>
      </w:r>
      <w:r w:rsidR="00E30815">
        <w:t>7</w:t>
      </w:r>
      <w:r w:rsidRPr="00FF3619">
        <w:t>.3.1 – KTR: EBV infection</w:t>
      </w:r>
    </w:p>
    <w:p w14:paraId="4E1E5AC6" w14:textId="77777777" w:rsidR="00516860" w:rsidRPr="00FF3619" w:rsidRDefault="00516860" w:rsidP="00516860">
      <w:r w:rsidRPr="00FF3619">
        <w:t>We recommend:</w:t>
      </w:r>
    </w:p>
    <w:p w14:paraId="7D8D4481" w14:textId="77777777" w:rsidR="00516860" w:rsidRPr="00516860" w:rsidRDefault="00516860" w:rsidP="00067A88">
      <w:pPr>
        <w:pStyle w:val="ListParagraph"/>
        <w:numPr>
          <w:ilvl w:val="0"/>
          <w:numId w:val="55"/>
        </w:numPr>
      </w:pPr>
      <w:r w:rsidRPr="00FF3619">
        <w:t>Immunosuppression should be reduced or stopped following the development of PTLD. (1C)</w:t>
      </w:r>
    </w:p>
    <w:p w14:paraId="2F89FC41" w14:textId="39D5AC36" w:rsidR="00516860" w:rsidRPr="00FF3619" w:rsidRDefault="00516860" w:rsidP="00516860">
      <w:pPr>
        <w:pStyle w:val="GuidelineSubheadings"/>
      </w:pPr>
      <w:r w:rsidRPr="00FF3619">
        <w:t xml:space="preserve">Guideline </w:t>
      </w:r>
      <w:r w:rsidR="00E30815">
        <w:t>7</w:t>
      </w:r>
      <w:r w:rsidRPr="00FF3619">
        <w:t xml:space="preserve">.3.2 – KTR: </w:t>
      </w:r>
      <w:r w:rsidR="00C04A7A">
        <w:t xml:space="preserve">Prophylaxis of </w:t>
      </w:r>
      <w:r w:rsidRPr="00FF3619">
        <w:t>EBV infection</w:t>
      </w:r>
    </w:p>
    <w:p w14:paraId="5B9F18F6" w14:textId="77777777" w:rsidR="00516860" w:rsidRPr="00FF3619" w:rsidRDefault="00516860" w:rsidP="00516860">
      <w:r w:rsidRPr="00FF3619">
        <w:t>We suggest:</w:t>
      </w:r>
    </w:p>
    <w:p w14:paraId="018D7CEC" w14:textId="77777777" w:rsidR="00516860" w:rsidRPr="00FF3619" w:rsidRDefault="00516860" w:rsidP="00067A88">
      <w:pPr>
        <w:pStyle w:val="ListParagraph"/>
        <w:numPr>
          <w:ilvl w:val="0"/>
          <w:numId w:val="55"/>
        </w:numPr>
      </w:pPr>
      <w:r w:rsidRPr="00FF3619">
        <w:t>Both donor and recipient should have their EBV serology recorded at the time of transplantation. (2D)</w:t>
      </w:r>
    </w:p>
    <w:p w14:paraId="2BFE1E43" w14:textId="77777777" w:rsidR="00516860" w:rsidRPr="00FF3619" w:rsidRDefault="00516860" w:rsidP="00067A88">
      <w:pPr>
        <w:pStyle w:val="ListParagraph"/>
        <w:numPr>
          <w:ilvl w:val="0"/>
          <w:numId w:val="55"/>
        </w:numPr>
      </w:pPr>
      <w:r w:rsidRPr="00FF3619">
        <w:t>All high risk (D+/R-) patients (including adults) should have EBV viral load measured immediately after transplantation, monthly for six months, and three monthly to one year. (2C)</w:t>
      </w:r>
    </w:p>
    <w:p w14:paraId="4EDBB07B" w14:textId="77777777" w:rsidR="00516860" w:rsidRPr="00FF3619" w:rsidRDefault="00516860" w:rsidP="00067A88">
      <w:pPr>
        <w:pStyle w:val="ListParagraph"/>
        <w:numPr>
          <w:ilvl w:val="0"/>
          <w:numId w:val="55"/>
        </w:numPr>
      </w:pPr>
      <w:r w:rsidRPr="00FF3619">
        <w:t>EBV viral load should be monitored after the treatment of rejection. (2C)</w:t>
      </w:r>
    </w:p>
    <w:p w14:paraId="5D0E303E" w14:textId="77777777" w:rsidR="00516860" w:rsidRPr="00FF3619" w:rsidRDefault="00516860" w:rsidP="00067A88">
      <w:pPr>
        <w:pStyle w:val="ListParagraph"/>
        <w:numPr>
          <w:ilvl w:val="0"/>
          <w:numId w:val="55"/>
        </w:numPr>
      </w:pPr>
      <w:r w:rsidRPr="00FF3619">
        <w:t>Total immunosuppression should be reduced when EBV titres rise significantly. (2C)</w:t>
      </w:r>
    </w:p>
    <w:p w14:paraId="1F2B5259" w14:textId="087F875B" w:rsidR="00516860" w:rsidRPr="00FF3619" w:rsidRDefault="00516860" w:rsidP="00516860">
      <w:pPr>
        <w:pStyle w:val="GuidelineSubheadings"/>
      </w:pPr>
      <w:r w:rsidRPr="00FF3619">
        <w:t xml:space="preserve">Guideline </w:t>
      </w:r>
      <w:r w:rsidR="00E30815">
        <w:t>7</w:t>
      </w:r>
      <w:r w:rsidRPr="00FF3619">
        <w:t xml:space="preserve">.4.1 – KTR: </w:t>
      </w:r>
      <w:r w:rsidR="00C04A7A">
        <w:t xml:space="preserve">Treatment of </w:t>
      </w:r>
      <w:r w:rsidRPr="00FF3619">
        <w:t>VZV infection</w:t>
      </w:r>
    </w:p>
    <w:p w14:paraId="5C02F0E1" w14:textId="77777777" w:rsidR="00516860" w:rsidRPr="00FF3619" w:rsidRDefault="00516860" w:rsidP="00516860">
      <w:r w:rsidRPr="00FF3619">
        <w:t>We recommend:</w:t>
      </w:r>
    </w:p>
    <w:p w14:paraId="77DFCBB1" w14:textId="77777777" w:rsidR="00516860" w:rsidRPr="00FF3619" w:rsidRDefault="00516860" w:rsidP="00067A88">
      <w:pPr>
        <w:pStyle w:val="ListParagraph"/>
        <w:numPr>
          <w:ilvl w:val="0"/>
          <w:numId w:val="56"/>
        </w:numPr>
      </w:pPr>
      <w:r w:rsidRPr="00FF3619">
        <w:t xml:space="preserve">Severe infection (chickenpox) should initially be treated with intravenous </w:t>
      </w:r>
      <w:proofErr w:type="spellStart"/>
      <w:r w:rsidRPr="00FF3619">
        <w:t>aciclovir</w:t>
      </w:r>
      <w:proofErr w:type="spellEnd"/>
      <w:r w:rsidRPr="00FF3619">
        <w:t xml:space="preserve"> and treated until the lesions scab over. (1C)</w:t>
      </w:r>
    </w:p>
    <w:p w14:paraId="5F962AFA" w14:textId="77777777" w:rsidR="00516860" w:rsidRPr="00FF3619" w:rsidRDefault="00516860" w:rsidP="00067A88">
      <w:pPr>
        <w:pStyle w:val="ListParagraph"/>
        <w:numPr>
          <w:ilvl w:val="0"/>
          <w:numId w:val="56"/>
        </w:numPr>
      </w:pPr>
      <w:r w:rsidRPr="00FF3619">
        <w:t xml:space="preserve">Uncomplicated shingles should be treated with oral </w:t>
      </w:r>
      <w:proofErr w:type="spellStart"/>
      <w:r w:rsidRPr="00FF3619">
        <w:t>aciclovir</w:t>
      </w:r>
      <w:proofErr w:type="spellEnd"/>
      <w:r w:rsidRPr="00FF3619">
        <w:t xml:space="preserve"> or valaciclovir until the lesions scab over. (1D)</w:t>
      </w:r>
    </w:p>
    <w:p w14:paraId="1EFBA565" w14:textId="77777777" w:rsidR="00516860" w:rsidRPr="00FF3619" w:rsidRDefault="00516860" w:rsidP="00067A88">
      <w:pPr>
        <w:pStyle w:val="ListParagraph"/>
        <w:numPr>
          <w:ilvl w:val="0"/>
          <w:numId w:val="56"/>
        </w:numPr>
      </w:pPr>
      <w:r w:rsidRPr="00FF3619">
        <w:t xml:space="preserve">Disseminated (&gt;2 dermatomes), ocular or invasive shingles should be initially treated with intravenous </w:t>
      </w:r>
      <w:proofErr w:type="spellStart"/>
      <w:r w:rsidRPr="00FF3619">
        <w:t>aciclovir</w:t>
      </w:r>
      <w:proofErr w:type="spellEnd"/>
      <w:r w:rsidRPr="00FF3619">
        <w:t xml:space="preserve"> and treated until the lesions scab over. (1B)</w:t>
      </w:r>
    </w:p>
    <w:p w14:paraId="3704CEBC" w14:textId="77777777" w:rsidR="00516860" w:rsidRPr="00516860" w:rsidRDefault="00516860" w:rsidP="00067A88">
      <w:pPr>
        <w:pStyle w:val="ListParagraph"/>
        <w:numPr>
          <w:ilvl w:val="0"/>
          <w:numId w:val="56"/>
        </w:numPr>
      </w:pPr>
      <w:r w:rsidRPr="00FF3619">
        <w:t>Varicella-susceptible KTRs (i.e. VZV IgG -</w:t>
      </w:r>
      <w:proofErr w:type="spellStart"/>
      <w:r w:rsidRPr="00FF3619">
        <w:t>ve</w:t>
      </w:r>
      <w:proofErr w:type="spellEnd"/>
      <w:r w:rsidRPr="00FF3619">
        <w:t xml:space="preserve">) with primary exposure to VZV should receive VZV immunoglobulin, ideally within 96 hours, but up to a maximum of 10 days following exposure. If unavailable or after 10 days, oral </w:t>
      </w:r>
      <w:proofErr w:type="spellStart"/>
      <w:r w:rsidRPr="00FF3619">
        <w:t>aciclovir</w:t>
      </w:r>
      <w:proofErr w:type="spellEnd"/>
      <w:r w:rsidRPr="00FF3619">
        <w:t xml:space="preserve"> should be administered for seven days, starting one week after exposure (This may be started up to day 14 after exposure). (1D)</w:t>
      </w:r>
    </w:p>
    <w:p w14:paraId="4E7BE13B" w14:textId="66CCE740" w:rsidR="00516860" w:rsidRPr="00FF3619" w:rsidRDefault="00516860" w:rsidP="00516860">
      <w:pPr>
        <w:pStyle w:val="GuidelineSubheadings"/>
      </w:pPr>
      <w:r w:rsidRPr="00FF3619">
        <w:t xml:space="preserve">Guideline </w:t>
      </w:r>
      <w:r w:rsidR="00E30815">
        <w:t>7</w:t>
      </w:r>
      <w:r w:rsidRPr="00FF3619">
        <w:t>.4.2 – KTR: VZV infection</w:t>
      </w:r>
    </w:p>
    <w:p w14:paraId="017C7399" w14:textId="77777777" w:rsidR="00516860" w:rsidRPr="00FF3619" w:rsidRDefault="00516860" w:rsidP="00516860">
      <w:r w:rsidRPr="00FF3619">
        <w:t>We suggest:</w:t>
      </w:r>
    </w:p>
    <w:p w14:paraId="1E6B5BEC" w14:textId="77777777" w:rsidR="00516860" w:rsidRPr="00FF3619" w:rsidRDefault="00516860" w:rsidP="00067A88">
      <w:pPr>
        <w:pStyle w:val="ListParagraph"/>
        <w:numPr>
          <w:ilvl w:val="0"/>
          <w:numId w:val="57"/>
        </w:numPr>
      </w:pPr>
      <w:r w:rsidRPr="00FF3619">
        <w:t>Patients on the waiting list who are VZV IgG seronegative should be vaccinated prior to transplantation. (2D)</w:t>
      </w:r>
    </w:p>
    <w:p w14:paraId="17B22E13" w14:textId="77777777" w:rsidR="00516860" w:rsidRPr="00FF3619" w:rsidRDefault="00516860" w:rsidP="00067A88">
      <w:pPr>
        <w:pStyle w:val="ListParagraph"/>
        <w:numPr>
          <w:ilvl w:val="0"/>
          <w:numId w:val="57"/>
        </w:numPr>
      </w:pPr>
      <w:r w:rsidRPr="00FF3619">
        <w:t>Immunosuppression may be reduced during primary and severe infection. (2D)</w:t>
      </w:r>
    </w:p>
    <w:p w14:paraId="03CACDE0" w14:textId="22E470EB" w:rsidR="00516860" w:rsidRPr="00FF3619" w:rsidRDefault="00516860" w:rsidP="00516860">
      <w:pPr>
        <w:pStyle w:val="GuidelineHeadings"/>
      </w:pPr>
      <w:r w:rsidRPr="00FF3619">
        <w:t xml:space="preserve">Guideline </w:t>
      </w:r>
      <w:r w:rsidR="00E30815">
        <w:t>7</w:t>
      </w:r>
      <w:r w:rsidRPr="00FF3619">
        <w:t xml:space="preserve">.5 – KTR: Herpes Simplex Virus infection </w:t>
      </w:r>
    </w:p>
    <w:p w14:paraId="1648CA71" w14:textId="379EE300" w:rsidR="00516860" w:rsidRPr="00FF3619" w:rsidRDefault="00516860" w:rsidP="00516860">
      <w:pPr>
        <w:pStyle w:val="GuidelineSubheadings"/>
      </w:pPr>
      <w:r w:rsidRPr="00FF3619">
        <w:t xml:space="preserve">Guideline </w:t>
      </w:r>
      <w:r w:rsidR="00E30815">
        <w:t>7</w:t>
      </w:r>
      <w:r w:rsidRPr="00FF3619">
        <w:t xml:space="preserve">.5.1 – KTR: </w:t>
      </w:r>
      <w:r w:rsidR="005A6068">
        <w:t xml:space="preserve">Treatment of </w:t>
      </w:r>
      <w:r w:rsidRPr="00FF3619">
        <w:t xml:space="preserve">HSV infection </w:t>
      </w:r>
    </w:p>
    <w:p w14:paraId="018B1025" w14:textId="77777777" w:rsidR="00516860" w:rsidRPr="00FF3619" w:rsidRDefault="00516860" w:rsidP="00516860">
      <w:r w:rsidRPr="00FF3619">
        <w:t xml:space="preserve">We recommend: </w:t>
      </w:r>
    </w:p>
    <w:p w14:paraId="4EF70CAB" w14:textId="77777777" w:rsidR="00516860" w:rsidRPr="00FF3619" w:rsidRDefault="00516860" w:rsidP="00067A88">
      <w:pPr>
        <w:pStyle w:val="ListParagraph"/>
        <w:numPr>
          <w:ilvl w:val="0"/>
          <w:numId w:val="58"/>
        </w:numPr>
      </w:pPr>
      <w:r w:rsidRPr="00FF3619">
        <w:lastRenderedPageBreak/>
        <w:t xml:space="preserve">Superficial HSV (1 or 2) infection should be treated with appropriate oral agents until the lesions have resolved. (1D) </w:t>
      </w:r>
    </w:p>
    <w:p w14:paraId="76ADE2EC" w14:textId="77777777" w:rsidR="00516860" w:rsidRPr="00FF3619" w:rsidRDefault="00516860" w:rsidP="00067A88">
      <w:pPr>
        <w:pStyle w:val="ListParagraph"/>
        <w:numPr>
          <w:ilvl w:val="0"/>
          <w:numId w:val="58"/>
        </w:numPr>
      </w:pPr>
      <w:r w:rsidRPr="00FF3619">
        <w:t xml:space="preserve">Systemic HSV infections should be treated with intravenous </w:t>
      </w:r>
      <w:proofErr w:type="spellStart"/>
      <w:r w:rsidRPr="00FF3619">
        <w:t>aciclovir</w:t>
      </w:r>
      <w:proofErr w:type="spellEnd"/>
      <w:r w:rsidRPr="00FF3619">
        <w:t xml:space="preserve"> and a reduction in immunosuppression until resolution, or 14 days and then oral medication continued. (1C) </w:t>
      </w:r>
    </w:p>
    <w:p w14:paraId="07E76522" w14:textId="2C73A4A4" w:rsidR="00516860" w:rsidRPr="00FF3619" w:rsidRDefault="00516860" w:rsidP="00516860">
      <w:pPr>
        <w:pStyle w:val="GuidelineSubheadings"/>
      </w:pPr>
      <w:r w:rsidRPr="00FF3619">
        <w:t xml:space="preserve">Guideline </w:t>
      </w:r>
      <w:r w:rsidR="00E30815">
        <w:t>7</w:t>
      </w:r>
      <w:r w:rsidRPr="00FF3619">
        <w:t xml:space="preserve">.5.2 – KTR: </w:t>
      </w:r>
      <w:r w:rsidR="005A6068">
        <w:t xml:space="preserve">Prophylaxis of </w:t>
      </w:r>
      <w:r w:rsidRPr="00FF3619">
        <w:t xml:space="preserve">HSV infection </w:t>
      </w:r>
    </w:p>
    <w:p w14:paraId="531F8452" w14:textId="77777777" w:rsidR="00516860" w:rsidRPr="00FF3619" w:rsidRDefault="00516860" w:rsidP="00067A88">
      <w:pPr>
        <w:pStyle w:val="ListParagraph"/>
        <w:numPr>
          <w:ilvl w:val="0"/>
          <w:numId w:val="59"/>
        </w:numPr>
      </w:pPr>
      <w:r w:rsidRPr="00FF3619">
        <w:t xml:space="preserve">We suggest that KTRs suffering frequent recurrent HSV infection should consider oral prophylaxis. (2D) </w:t>
      </w:r>
    </w:p>
    <w:p w14:paraId="600E5C16" w14:textId="28D476C5" w:rsidR="00516860" w:rsidRPr="00FF3619" w:rsidRDefault="00516860" w:rsidP="00516860">
      <w:pPr>
        <w:pStyle w:val="GuidelineHeadings"/>
      </w:pPr>
      <w:r w:rsidRPr="00FF3619">
        <w:t xml:space="preserve">Guideline </w:t>
      </w:r>
      <w:r w:rsidR="00E30815">
        <w:t>7</w:t>
      </w:r>
      <w:r w:rsidRPr="00FF3619">
        <w:t xml:space="preserve">.6 – KTR: BK </w:t>
      </w:r>
      <w:r>
        <w:t xml:space="preserve">viral associated </w:t>
      </w:r>
      <w:r w:rsidRPr="00FF3619">
        <w:t>nephropathy</w:t>
      </w:r>
    </w:p>
    <w:p w14:paraId="21EFA11E" w14:textId="33C3BBE8" w:rsidR="00516860" w:rsidRPr="00FF3619" w:rsidRDefault="00516860" w:rsidP="00516860">
      <w:pPr>
        <w:pStyle w:val="GuidelineSubheadings"/>
      </w:pPr>
      <w:r w:rsidRPr="00FF3619">
        <w:t xml:space="preserve">Guideline </w:t>
      </w:r>
      <w:r w:rsidR="00E30815">
        <w:t>7</w:t>
      </w:r>
      <w:r w:rsidRPr="00FF3619">
        <w:t xml:space="preserve">.6.1 – KTR: BK nephropathy </w:t>
      </w:r>
    </w:p>
    <w:p w14:paraId="0104CFAC" w14:textId="77777777" w:rsidR="00516860" w:rsidRPr="00516860" w:rsidRDefault="00516860" w:rsidP="00067A88">
      <w:pPr>
        <w:pStyle w:val="ListParagraph"/>
        <w:numPr>
          <w:ilvl w:val="0"/>
          <w:numId w:val="63"/>
        </w:numPr>
      </w:pPr>
      <w:r w:rsidRPr="00FF3619">
        <w:t>We recommend that confirmed BK nephropathy should be treated by reduction in immunosuppression. (1D)</w:t>
      </w:r>
    </w:p>
    <w:p w14:paraId="309FAFCF" w14:textId="380D2A3E" w:rsidR="00516860" w:rsidRPr="00FF3619" w:rsidRDefault="00516860" w:rsidP="00516860">
      <w:pPr>
        <w:pStyle w:val="GuidelineSubheadings"/>
      </w:pPr>
      <w:r w:rsidRPr="00FF3619">
        <w:t xml:space="preserve">Guideline </w:t>
      </w:r>
      <w:r w:rsidR="00E30815">
        <w:t>7</w:t>
      </w:r>
      <w:r w:rsidRPr="00FF3619">
        <w:t>.6.2 – KTR: BK nephropathy</w:t>
      </w:r>
    </w:p>
    <w:p w14:paraId="7928661F" w14:textId="77777777" w:rsidR="00516860" w:rsidRPr="00FF3619" w:rsidRDefault="00516860" w:rsidP="00516860">
      <w:r w:rsidRPr="00FF3619">
        <w:t>We suggest:</w:t>
      </w:r>
    </w:p>
    <w:p w14:paraId="1DE2BB5F" w14:textId="77777777" w:rsidR="00516860" w:rsidRPr="00FF3619" w:rsidRDefault="00516860" w:rsidP="00067A88">
      <w:pPr>
        <w:pStyle w:val="ListParagraph"/>
        <w:numPr>
          <w:ilvl w:val="0"/>
          <w:numId w:val="63"/>
        </w:numPr>
      </w:pPr>
      <w:r w:rsidRPr="00FF3619">
        <w:t>KTRs should be screened for BKV viral load PCR in serum or urine. (2C)</w:t>
      </w:r>
    </w:p>
    <w:p w14:paraId="1E3AF060" w14:textId="77777777" w:rsidR="00516860" w:rsidRPr="00FF3619" w:rsidRDefault="00516860" w:rsidP="00067A88">
      <w:pPr>
        <w:pStyle w:val="ListParagraph"/>
        <w:numPr>
          <w:ilvl w:val="0"/>
          <w:numId w:val="63"/>
        </w:numPr>
      </w:pPr>
      <w:r w:rsidRPr="00FF3619">
        <w:t>Screening should be monthly for the first nine months, then every three months until the end of the second year. (2D)</w:t>
      </w:r>
    </w:p>
    <w:p w14:paraId="56244394" w14:textId="77777777" w:rsidR="00516860" w:rsidRPr="00FF3619" w:rsidRDefault="00516860" w:rsidP="00067A88">
      <w:pPr>
        <w:pStyle w:val="ListParagraph"/>
        <w:numPr>
          <w:ilvl w:val="0"/>
          <w:numId w:val="63"/>
        </w:numPr>
      </w:pPr>
      <w:r w:rsidRPr="00FF3619">
        <w:t>Screening should also be carried out when renal function deteriorates in an unexplained fashion or when immunosuppression is intensified. (2D)</w:t>
      </w:r>
    </w:p>
    <w:p w14:paraId="48416127" w14:textId="77777777" w:rsidR="00516860" w:rsidRPr="00FF3619" w:rsidRDefault="00516860" w:rsidP="00067A88">
      <w:pPr>
        <w:pStyle w:val="ListParagraph"/>
        <w:numPr>
          <w:ilvl w:val="0"/>
          <w:numId w:val="63"/>
        </w:numPr>
      </w:pPr>
      <w:r w:rsidRPr="00FF3619">
        <w:t>Suspected BK nephropathy should be confirmed by renal biopsy which should be stained for SV40. Two cores containing medullary tissue should ideally be examined. (2D)</w:t>
      </w:r>
    </w:p>
    <w:p w14:paraId="0F38ED96" w14:textId="77777777" w:rsidR="00516860" w:rsidRPr="00FF3619" w:rsidRDefault="00516860" w:rsidP="00067A88">
      <w:pPr>
        <w:pStyle w:val="ListParagraph"/>
        <w:numPr>
          <w:ilvl w:val="0"/>
          <w:numId w:val="63"/>
        </w:numPr>
      </w:pPr>
      <w:r w:rsidRPr="00FF3619">
        <w:t>Immunosuppression should be reduced when the serum BKV load exceeds 10</w:t>
      </w:r>
      <w:r w:rsidRPr="00516860">
        <w:rPr>
          <w:vertAlign w:val="superscript"/>
        </w:rPr>
        <w:t>3</w:t>
      </w:r>
      <w:r w:rsidRPr="00FF3619">
        <w:t xml:space="preserve"> copies/ml for at least 3 weeks or greater than 10</w:t>
      </w:r>
      <w:r w:rsidRPr="00516860">
        <w:rPr>
          <w:vertAlign w:val="superscript"/>
        </w:rPr>
        <w:t>4</w:t>
      </w:r>
      <w:r w:rsidRPr="00FF3619">
        <w:t>/ml. (2C)</w:t>
      </w:r>
    </w:p>
    <w:p w14:paraId="15FF53DC" w14:textId="77777777" w:rsidR="00516860" w:rsidRPr="00FF3619" w:rsidRDefault="00516860" w:rsidP="00067A88">
      <w:pPr>
        <w:pStyle w:val="ListParagraph"/>
        <w:numPr>
          <w:ilvl w:val="0"/>
          <w:numId w:val="63"/>
        </w:numPr>
      </w:pPr>
      <w:r w:rsidRPr="00FF3619">
        <w:t>There is no established specific treatment for BK nephropathy. (2D)</w:t>
      </w:r>
    </w:p>
    <w:p w14:paraId="7F40D385" w14:textId="77777777" w:rsidR="00516860" w:rsidRPr="00FF3619" w:rsidRDefault="00516860" w:rsidP="00067A88">
      <w:pPr>
        <w:pStyle w:val="ListParagraph"/>
        <w:numPr>
          <w:ilvl w:val="0"/>
          <w:numId w:val="63"/>
        </w:numPr>
      </w:pPr>
      <w:r w:rsidRPr="00FF3619">
        <w:t>Re-transplantation can safely be considered in patients who have BK nephropathy diagnosed in an earlier graft. (2C)</w:t>
      </w:r>
    </w:p>
    <w:p w14:paraId="6A078926" w14:textId="4D5CBDDE" w:rsidR="00516860" w:rsidRPr="00FF3619" w:rsidRDefault="00516860" w:rsidP="00516860">
      <w:pPr>
        <w:pStyle w:val="GuidelineHeadings"/>
      </w:pPr>
      <w:r w:rsidRPr="00FF3619">
        <w:t xml:space="preserve">Guideline </w:t>
      </w:r>
      <w:r w:rsidR="00E30815">
        <w:t>7</w:t>
      </w:r>
      <w:r w:rsidRPr="00FF3619">
        <w:t xml:space="preserve">.7 – KTR: Pneumocystis </w:t>
      </w:r>
      <w:proofErr w:type="spellStart"/>
      <w:r w:rsidRPr="00FF3619">
        <w:t>jirovecii</w:t>
      </w:r>
      <w:proofErr w:type="spellEnd"/>
      <w:r w:rsidRPr="00FF3619">
        <w:t xml:space="preserve"> infection- treatment and prophylaxis</w:t>
      </w:r>
    </w:p>
    <w:p w14:paraId="3E2572D0" w14:textId="77777777" w:rsidR="00516860" w:rsidRPr="00FF3619" w:rsidRDefault="00516860" w:rsidP="00516860">
      <w:r w:rsidRPr="00FF3619">
        <w:t>We suggest:</w:t>
      </w:r>
    </w:p>
    <w:p w14:paraId="3DB260A4" w14:textId="77777777" w:rsidR="00516860" w:rsidRPr="00FF3619" w:rsidRDefault="00516860" w:rsidP="00067A88">
      <w:pPr>
        <w:pStyle w:val="ListParagraph"/>
        <w:numPr>
          <w:ilvl w:val="0"/>
          <w:numId w:val="65"/>
        </w:numPr>
      </w:pPr>
      <w:r w:rsidRPr="00FF3619">
        <w:t xml:space="preserve">All patients with confirmation (microscopy or PCR) of Pneumocystis </w:t>
      </w:r>
      <w:proofErr w:type="spellStart"/>
      <w:r w:rsidRPr="00FF3619">
        <w:t>jirovecii</w:t>
      </w:r>
      <w:proofErr w:type="spellEnd"/>
      <w:r w:rsidRPr="00FF3619">
        <w:t xml:space="preserve"> in respiratory secretions should be treated for 14 to 21 days with co-trimoxazole orally or intravenously (15-20mg/kg in three or four divided doses adjusted for renal function) (2B). </w:t>
      </w:r>
    </w:p>
    <w:p w14:paraId="7F324D90" w14:textId="77777777" w:rsidR="00516860" w:rsidRPr="00FF3619" w:rsidRDefault="00516860" w:rsidP="00067A88">
      <w:pPr>
        <w:pStyle w:val="ListParagraph"/>
        <w:numPr>
          <w:ilvl w:val="0"/>
          <w:numId w:val="65"/>
        </w:numPr>
      </w:pPr>
      <w:r w:rsidRPr="00FF3619">
        <w:t>Patients with contraindication to co-trimoxazole treatment should receive intravenous pentamidine (2B).</w:t>
      </w:r>
    </w:p>
    <w:p w14:paraId="47D69349" w14:textId="77777777" w:rsidR="00516860" w:rsidRPr="00FF3619" w:rsidRDefault="00516860" w:rsidP="00067A88">
      <w:pPr>
        <w:pStyle w:val="ListParagraph"/>
        <w:numPr>
          <w:ilvl w:val="0"/>
          <w:numId w:val="65"/>
        </w:numPr>
      </w:pPr>
      <w:r w:rsidRPr="00FF3619">
        <w:lastRenderedPageBreak/>
        <w:t xml:space="preserve">Adjunctive glucocorticoid therapy may be considered in patients with severe disease (2D). </w:t>
      </w:r>
    </w:p>
    <w:p w14:paraId="0DDD28AC" w14:textId="5823F7F0" w:rsidR="00516860" w:rsidRDefault="00516860" w:rsidP="00067A88">
      <w:pPr>
        <w:pStyle w:val="ListParagraph"/>
        <w:numPr>
          <w:ilvl w:val="0"/>
          <w:numId w:val="65"/>
        </w:numPr>
      </w:pPr>
      <w:r w:rsidRPr="00FF3619">
        <w:t xml:space="preserve">All patients should receive 3-6 months of treatment with co-trimoxazole for Pneumocystis </w:t>
      </w:r>
      <w:proofErr w:type="spellStart"/>
      <w:r w:rsidRPr="00FF3619">
        <w:t>jirovecii</w:t>
      </w:r>
      <w:proofErr w:type="spellEnd"/>
      <w:r w:rsidRPr="00FF3619">
        <w:t xml:space="preserve"> prophylaxis </w:t>
      </w:r>
      <w:r w:rsidR="008C0FAA" w:rsidRPr="00FF3619">
        <w:t>post-transplant</w:t>
      </w:r>
      <w:r w:rsidRPr="00FF3619">
        <w:t xml:space="preserve"> and after significant immunosuppressant events (</w:t>
      </w:r>
      <w:proofErr w:type="spellStart"/>
      <w:r w:rsidRPr="00FF3619">
        <w:t>eg</w:t>
      </w:r>
      <w:proofErr w:type="spellEnd"/>
      <w:r w:rsidRPr="00FF3619">
        <w:t xml:space="preserve"> treatment for rejection) (1B).</w:t>
      </w:r>
    </w:p>
    <w:p w14:paraId="3C4F238C" w14:textId="0DE13EBD" w:rsidR="00516860" w:rsidRPr="00FF3619" w:rsidRDefault="00516860" w:rsidP="00516860">
      <w:pPr>
        <w:pStyle w:val="GuidelineHeadings"/>
      </w:pPr>
      <w:r w:rsidRPr="00FF3619">
        <w:t xml:space="preserve">Guideline </w:t>
      </w:r>
      <w:r w:rsidR="00E30815">
        <w:t>7</w:t>
      </w:r>
      <w:r w:rsidRPr="00FF3619">
        <w:t>.8 – KTR: Post-transplant infection prophylaxis</w:t>
      </w:r>
      <w:r w:rsidR="00E166A4">
        <w:t>, others</w:t>
      </w:r>
    </w:p>
    <w:p w14:paraId="43137CB6" w14:textId="77777777" w:rsidR="00516860" w:rsidRPr="00FF3619" w:rsidRDefault="00516860" w:rsidP="00516860">
      <w:r w:rsidRPr="00FF3619">
        <w:t>We recommend:</w:t>
      </w:r>
    </w:p>
    <w:p w14:paraId="5DA43D90" w14:textId="77777777" w:rsidR="00516860" w:rsidRPr="00FF3619" w:rsidRDefault="00516860" w:rsidP="00067A88">
      <w:pPr>
        <w:pStyle w:val="ListParagraph"/>
        <w:numPr>
          <w:ilvl w:val="0"/>
          <w:numId w:val="67"/>
        </w:numPr>
      </w:pPr>
      <w:r w:rsidRPr="00FF3619">
        <w:t>All patients should receive 3-6 months of treatment with co-trimoxazole. (1B).</w:t>
      </w:r>
    </w:p>
    <w:p w14:paraId="00DAA94A" w14:textId="77777777" w:rsidR="00516860" w:rsidRPr="00FF3619" w:rsidRDefault="00516860" w:rsidP="00067A88">
      <w:pPr>
        <w:pStyle w:val="ListParagraph"/>
        <w:numPr>
          <w:ilvl w:val="0"/>
          <w:numId w:val="67"/>
        </w:numPr>
      </w:pPr>
      <w:r w:rsidRPr="00FF3619">
        <w:t>Oral antifungal prophylaxis should be administered for three months after transplantation. (2C)</w:t>
      </w:r>
    </w:p>
    <w:p w14:paraId="5F9D258B" w14:textId="77777777" w:rsidR="00516860" w:rsidRPr="00FF3619" w:rsidRDefault="00516860" w:rsidP="00067A88">
      <w:pPr>
        <w:pStyle w:val="ListParagraph"/>
        <w:numPr>
          <w:ilvl w:val="0"/>
          <w:numId w:val="67"/>
        </w:numPr>
      </w:pPr>
      <w:r w:rsidRPr="00FF3619">
        <w:t>In selected patients, prophylaxis against mycobacterium tuberculosis with daily isoniazid (supplemented with pyridoxine) should be instituted for six months after transplantation. (2C)</w:t>
      </w:r>
    </w:p>
    <w:p w14:paraId="259A73D0" w14:textId="1AAB413A" w:rsidR="00516860" w:rsidRPr="00FF3619" w:rsidRDefault="002743C5" w:rsidP="00516860">
      <w:pPr>
        <w:pStyle w:val="GuidelineUpperHeadings"/>
      </w:pPr>
      <w:bookmarkStart w:id="8" w:name="_Toc213749019"/>
      <w:r>
        <w:t>8</w:t>
      </w:r>
      <w:r w:rsidR="00516860" w:rsidRPr="00FF3619">
        <w:t>. Kidney Transplant Recipient (KTR): Bone and Joint disease</w:t>
      </w:r>
      <w:bookmarkEnd w:id="8"/>
    </w:p>
    <w:p w14:paraId="3159BD44" w14:textId="0220F087" w:rsidR="00516860" w:rsidRPr="00FF3619" w:rsidRDefault="00516860" w:rsidP="00516860">
      <w:pPr>
        <w:pStyle w:val="GuidelineHeadings"/>
      </w:pPr>
      <w:r w:rsidRPr="00FF3619">
        <w:t xml:space="preserve">Guideline </w:t>
      </w:r>
      <w:r w:rsidR="00E30815">
        <w:t>8</w:t>
      </w:r>
      <w:r w:rsidRPr="00FF3619">
        <w:t>.1</w:t>
      </w:r>
      <w:r>
        <w:t xml:space="preserve"> </w:t>
      </w:r>
      <w:r w:rsidRPr="00FF3619">
        <w:t>– KTR: Osteoporosis</w:t>
      </w:r>
    </w:p>
    <w:p w14:paraId="5ABEB736" w14:textId="77777777" w:rsidR="00516860" w:rsidRPr="00FF3619" w:rsidRDefault="00516860" w:rsidP="00516860">
      <w:r w:rsidRPr="00FF3619">
        <w:t>We suggest:</w:t>
      </w:r>
    </w:p>
    <w:p w14:paraId="618786D4" w14:textId="77777777" w:rsidR="00516860" w:rsidRPr="00FF3619" w:rsidRDefault="00516860" w:rsidP="00067A88">
      <w:pPr>
        <w:pStyle w:val="ListParagraph"/>
        <w:numPr>
          <w:ilvl w:val="0"/>
          <w:numId w:val="68"/>
        </w:numPr>
      </w:pPr>
      <w:r w:rsidRPr="00FF3619">
        <w:t>KTRs suffering from osteoporosis or at high potential risk should be considered for steroid-avoiding immunosuppression. (2D)</w:t>
      </w:r>
    </w:p>
    <w:p w14:paraId="274C68A8" w14:textId="77777777" w:rsidR="00516860" w:rsidRPr="00FF3619" w:rsidRDefault="00516860" w:rsidP="00067A88">
      <w:pPr>
        <w:pStyle w:val="ListParagraph"/>
        <w:numPr>
          <w:ilvl w:val="0"/>
          <w:numId w:val="68"/>
        </w:numPr>
      </w:pPr>
      <w:r w:rsidRPr="00FF3619">
        <w:t xml:space="preserve">KTRs on long-term </w:t>
      </w:r>
      <w:r>
        <w:t>cortico</w:t>
      </w:r>
      <w:r w:rsidRPr="00FF3619">
        <w:t>steroids or at high risk for osteoporosis should undergo DEXA scanning if eGFR &gt;30 ml/min/1.73m</w:t>
      </w:r>
      <w:r w:rsidRPr="00516860">
        <w:rPr>
          <w:vertAlign w:val="superscript"/>
        </w:rPr>
        <w:t>2</w:t>
      </w:r>
      <w:r w:rsidRPr="00FF3619">
        <w:t>. (2D)</w:t>
      </w:r>
    </w:p>
    <w:p w14:paraId="3957AF40" w14:textId="77777777" w:rsidR="00516860" w:rsidRPr="00FF3619" w:rsidRDefault="00516860" w:rsidP="00067A88">
      <w:pPr>
        <w:pStyle w:val="ListParagraph"/>
        <w:numPr>
          <w:ilvl w:val="0"/>
          <w:numId w:val="68"/>
        </w:numPr>
      </w:pPr>
      <w:r w:rsidRPr="00FF3619">
        <w:t xml:space="preserve">Treatment should be </w:t>
      </w:r>
      <w:proofErr w:type="gramStart"/>
      <w:r w:rsidRPr="00FF3619">
        <w:t>according</w:t>
      </w:r>
      <w:proofErr w:type="gramEnd"/>
      <w:r w:rsidRPr="00FF3619">
        <w:t xml:space="preserve"> published guidelines for steroid-induced osteoporosis. (2D)</w:t>
      </w:r>
    </w:p>
    <w:p w14:paraId="1C2D0CCA" w14:textId="3437B222" w:rsidR="00516860" w:rsidRDefault="00516860" w:rsidP="469C0160">
      <w:r>
        <w:t>KTRs suffering with osteoporosis with high-bone turnover should be considered for treatment with denosumab to increase bone mineral density after vitamin D replacement to limit the risk of hypocalcaemia</w:t>
      </w:r>
      <w:r w:rsidR="396698DB">
        <w:t>. (Not graded)</w:t>
      </w:r>
    </w:p>
    <w:p w14:paraId="5437487D" w14:textId="68EA49CC" w:rsidR="00516860" w:rsidRPr="00FF3619" w:rsidRDefault="00516860" w:rsidP="00516860">
      <w:pPr>
        <w:pStyle w:val="GuidelineHeadings"/>
      </w:pPr>
      <w:r w:rsidRPr="00FF3619">
        <w:t xml:space="preserve">Guideline </w:t>
      </w:r>
      <w:r w:rsidR="00E30815">
        <w:t>8</w:t>
      </w:r>
      <w:r w:rsidRPr="00FF3619">
        <w:t>.2 –</w:t>
      </w:r>
      <w:r>
        <w:t xml:space="preserve"> </w:t>
      </w:r>
      <w:r w:rsidRPr="00FF3619">
        <w:t>KTR: Tertiary hyperparathyroidism</w:t>
      </w:r>
    </w:p>
    <w:p w14:paraId="67E4BE85" w14:textId="77777777" w:rsidR="00516860" w:rsidRPr="00FF3619" w:rsidRDefault="00516860" w:rsidP="00516860">
      <w:r w:rsidRPr="00FF3619">
        <w:t>We suggest:</w:t>
      </w:r>
    </w:p>
    <w:p w14:paraId="4D6DEFB9" w14:textId="77777777" w:rsidR="00516860" w:rsidRPr="00FF3619" w:rsidRDefault="00516860" w:rsidP="00067A88">
      <w:pPr>
        <w:pStyle w:val="ListParagraph"/>
        <w:numPr>
          <w:ilvl w:val="0"/>
          <w:numId w:val="70"/>
        </w:numPr>
      </w:pPr>
      <w:r w:rsidRPr="00FF3619">
        <w:t>Severe hyperparathyroidism should be treated prior to transplantation. (2D)</w:t>
      </w:r>
    </w:p>
    <w:p w14:paraId="0D926C45" w14:textId="77777777" w:rsidR="00516860" w:rsidRPr="00FF3619" w:rsidRDefault="00516860" w:rsidP="00067A88">
      <w:pPr>
        <w:pStyle w:val="ListParagraph"/>
        <w:numPr>
          <w:ilvl w:val="0"/>
          <w:numId w:val="70"/>
        </w:numPr>
      </w:pPr>
      <w:r w:rsidRPr="00FF3619">
        <w:t>Cinacalcet can be used in KTRs. (2C)</w:t>
      </w:r>
    </w:p>
    <w:p w14:paraId="4550414C" w14:textId="77777777" w:rsidR="00516860" w:rsidRPr="00FF3619" w:rsidRDefault="00516860" w:rsidP="00067A88">
      <w:pPr>
        <w:pStyle w:val="ListParagraph"/>
        <w:numPr>
          <w:ilvl w:val="0"/>
          <w:numId w:val="70"/>
        </w:numPr>
      </w:pPr>
      <w:r w:rsidRPr="00FF3619">
        <w:t>Treatment should be the same as for other patients with CKD. (2D)</w:t>
      </w:r>
    </w:p>
    <w:p w14:paraId="7089C4EB" w14:textId="3BAB80B3" w:rsidR="00516860" w:rsidRPr="00FF3619" w:rsidRDefault="00516860" w:rsidP="00516860">
      <w:pPr>
        <w:pStyle w:val="GuidelineHeadings"/>
      </w:pPr>
      <w:r w:rsidRPr="00FF3619">
        <w:lastRenderedPageBreak/>
        <w:t xml:space="preserve">Guideline </w:t>
      </w:r>
      <w:r w:rsidR="00E30815">
        <w:t>8</w:t>
      </w:r>
      <w:r w:rsidRPr="00FF3619">
        <w:t>.3 – KTR: Treatment and management of gout</w:t>
      </w:r>
    </w:p>
    <w:p w14:paraId="70545C5C" w14:textId="77777777" w:rsidR="00516860" w:rsidRPr="00FF3619" w:rsidRDefault="00516860" w:rsidP="00067A88">
      <w:pPr>
        <w:pStyle w:val="ListParagraph"/>
        <w:numPr>
          <w:ilvl w:val="0"/>
          <w:numId w:val="72"/>
        </w:numPr>
      </w:pPr>
      <w:r w:rsidRPr="00FF3619">
        <w:t>We recommend that neither allopurinol nor febuxostat should be administered with azathioprine due to serious interactions (apart from cases closely managed by clinicians with relevant experience). (1B)</w:t>
      </w:r>
    </w:p>
    <w:p w14:paraId="6F683253" w14:textId="77777777" w:rsidR="00516860" w:rsidRPr="00FF3619" w:rsidRDefault="00516860" w:rsidP="00516860">
      <w:r w:rsidRPr="00FF3619">
        <w:t>We suggest</w:t>
      </w:r>
      <w:r>
        <w:t>:</w:t>
      </w:r>
    </w:p>
    <w:p w14:paraId="0B5F9291" w14:textId="77777777" w:rsidR="00516860" w:rsidRPr="00FF3619" w:rsidRDefault="00516860" w:rsidP="00067A88">
      <w:pPr>
        <w:pStyle w:val="ListParagraph"/>
        <w:numPr>
          <w:ilvl w:val="0"/>
          <w:numId w:val="72"/>
        </w:numPr>
      </w:pPr>
      <w:r w:rsidRPr="00FF3619">
        <w:t>An acute gout flare is treated with colchicine or a short course of oral prednisolone. (2D)</w:t>
      </w:r>
    </w:p>
    <w:p w14:paraId="6C867441" w14:textId="77777777" w:rsidR="00516860" w:rsidRPr="00FF3619" w:rsidRDefault="00516860" w:rsidP="00067A88">
      <w:pPr>
        <w:pStyle w:val="ListParagraph"/>
        <w:numPr>
          <w:ilvl w:val="0"/>
          <w:numId w:val="72"/>
        </w:numPr>
      </w:pPr>
      <w:r w:rsidRPr="00FF3619">
        <w:t>NSAIDs should be avoided. (2D)</w:t>
      </w:r>
    </w:p>
    <w:p w14:paraId="7D26C890" w14:textId="77777777" w:rsidR="00516860" w:rsidRPr="00FF3619" w:rsidRDefault="00516860" w:rsidP="00067A88">
      <w:pPr>
        <w:pStyle w:val="ListParagraph"/>
        <w:numPr>
          <w:ilvl w:val="0"/>
          <w:numId w:val="72"/>
        </w:numPr>
      </w:pPr>
      <w:r w:rsidRPr="00FF3619">
        <w:t>Hyperuricaemia should be treated when associated with gout, tophi or uric acid stones. (2C)</w:t>
      </w:r>
    </w:p>
    <w:p w14:paraId="53E92C54" w14:textId="77777777" w:rsidR="00516860" w:rsidRPr="00FF3619" w:rsidRDefault="00516860" w:rsidP="00067A88">
      <w:pPr>
        <w:pStyle w:val="ListParagraph"/>
        <w:numPr>
          <w:ilvl w:val="0"/>
          <w:numId w:val="72"/>
        </w:numPr>
      </w:pPr>
      <w:r w:rsidRPr="00FF3619">
        <w:t>Allopurinol is effective but should be dose adjusted for renal function. (2D)</w:t>
      </w:r>
    </w:p>
    <w:p w14:paraId="335681A3" w14:textId="77777777" w:rsidR="00516860" w:rsidRPr="00FF3619" w:rsidRDefault="00516860" w:rsidP="00067A88">
      <w:pPr>
        <w:pStyle w:val="ListParagraph"/>
        <w:numPr>
          <w:ilvl w:val="0"/>
          <w:numId w:val="72"/>
        </w:numPr>
      </w:pPr>
      <w:r w:rsidRPr="00FF3619">
        <w:t>Febuxostat may be used if allopurinol is not effective at maximum appropriate dose. (2D)</w:t>
      </w:r>
    </w:p>
    <w:p w14:paraId="18B80C01" w14:textId="77777777" w:rsidR="00516860" w:rsidRDefault="00516860" w:rsidP="00067A88">
      <w:pPr>
        <w:pStyle w:val="ListParagraph"/>
        <w:numPr>
          <w:ilvl w:val="0"/>
          <w:numId w:val="72"/>
        </w:numPr>
      </w:pPr>
      <w:r w:rsidRPr="00FF3619">
        <w:t>Appropriate lifestyle advice should be provided to reduce risk factors (1C)</w:t>
      </w:r>
    </w:p>
    <w:p w14:paraId="1B9A6790" w14:textId="499F5678" w:rsidR="00516860" w:rsidRPr="00FF3619" w:rsidRDefault="009B0CA8" w:rsidP="00516860">
      <w:pPr>
        <w:pStyle w:val="GuidelineUpperHeadings"/>
      </w:pPr>
      <w:bookmarkStart w:id="9" w:name="_Toc213749020"/>
      <w:r>
        <w:t>9</w:t>
      </w:r>
      <w:r w:rsidR="00516860">
        <w:t xml:space="preserve">. </w:t>
      </w:r>
      <w:r w:rsidRPr="00306FF4">
        <w:t xml:space="preserve">Kidney Transplant Recipient (KTR): </w:t>
      </w:r>
      <w:r w:rsidR="00516860" w:rsidRPr="00FF3619">
        <w:t xml:space="preserve"> Haematological complications</w:t>
      </w:r>
      <w:bookmarkEnd w:id="9"/>
    </w:p>
    <w:p w14:paraId="06252D05" w14:textId="02876515" w:rsidR="00516860" w:rsidRPr="00FF3619" w:rsidRDefault="00516860" w:rsidP="00516860">
      <w:pPr>
        <w:pStyle w:val="GuidelineHeadings"/>
      </w:pPr>
      <w:r>
        <w:t xml:space="preserve">Guideline </w:t>
      </w:r>
      <w:r w:rsidR="00E30815">
        <w:t>9</w:t>
      </w:r>
      <w:r>
        <w:t xml:space="preserve">.1 </w:t>
      </w:r>
      <w:r w:rsidRPr="00516860">
        <w:t>–</w:t>
      </w:r>
      <w:r>
        <w:t xml:space="preserve"> </w:t>
      </w:r>
      <w:r w:rsidRPr="00FF3619">
        <w:t>Post-Transplant Erythrocytosis</w:t>
      </w:r>
    </w:p>
    <w:p w14:paraId="5B3CD0A3" w14:textId="77777777" w:rsidR="00516860" w:rsidRPr="00FF3619" w:rsidRDefault="00516860" w:rsidP="00067A88">
      <w:pPr>
        <w:pStyle w:val="ListParagraph"/>
        <w:numPr>
          <w:ilvl w:val="0"/>
          <w:numId w:val="73"/>
        </w:numPr>
      </w:pPr>
      <w:r w:rsidRPr="00FF3619">
        <w:t xml:space="preserve">Haemoglobin levels should be monitored at every clinic visit (2D) </w:t>
      </w:r>
    </w:p>
    <w:p w14:paraId="471CE36B" w14:textId="77777777" w:rsidR="00516860" w:rsidRPr="00FF3619" w:rsidRDefault="00516860" w:rsidP="00067A88">
      <w:pPr>
        <w:pStyle w:val="ListParagraph"/>
        <w:numPr>
          <w:ilvl w:val="0"/>
          <w:numId w:val="73"/>
        </w:numPr>
      </w:pPr>
      <w:r w:rsidRPr="00FF3619">
        <w:t>We suggest treatment should be initiated when there is a persistently raised haemoglobin of 170g/L or a haematocrit exceeding 51% (2D)</w:t>
      </w:r>
    </w:p>
    <w:p w14:paraId="3A4D506B" w14:textId="77777777" w:rsidR="00516860" w:rsidRPr="00FF3619" w:rsidRDefault="00516860" w:rsidP="00067A88">
      <w:pPr>
        <w:pStyle w:val="ListParagraph"/>
        <w:numPr>
          <w:ilvl w:val="0"/>
          <w:numId w:val="73"/>
        </w:numPr>
      </w:pPr>
      <w:r w:rsidRPr="00FF3619">
        <w:t xml:space="preserve">We recommend angiotensin converting enzyme inhibitors (ACEIs) or angiotensin receptor blockers (ARBs) as initial treatment for post-transplant erythrocytosis (1C) </w:t>
      </w:r>
    </w:p>
    <w:p w14:paraId="4312FCD3" w14:textId="77777777" w:rsidR="00516860" w:rsidRPr="00FF3619" w:rsidRDefault="00516860" w:rsidP="00067A88">
      <w:pPr>
        <w:pStyle w:val="ListParagraph"/>
        <w:numPr>
          <w:ilvl w:val="0"/>
          <w:numId w:val="73"/>
        </w:numPr>
      </w:pPr>
      <w:r w:rsidRPr="00FF3619">
        <w:t xml:space="preserve">Venesection may be used in refractory cases, particularly if symptoms of </w:t>
      </w:r>
      <w:proofErr w:type="spellStart"/>
      <w:r w:rsidRPr="00FF3619">
        <w:t>hyperviscosity</w:t>
      </w:r>
      <w:proofErr w:type="spellEnd"/>
      <w:r w:rsidRPr="00FF3619">
        <w:t xml:space="preserve"> are present (2D)</w:t>
      </w:r>
    </w:p>
    <w:p w14:paraId="4A7A1054" w14:textId="77777777" w:rsidR="00516860" w:rsidRPr="00FF3619" w:rsidRDefault="00516860" w:rsidP="00067A88">
      <w:pPr>
        <w:pStyle w:val="ListParagraph"/>
        <w:numPr>
          <w:ilvl w:val="0"/>
          <w:numId w:val="73"/>
        </w:numPr>
      </w:pPr>
      <w:r w:rsidRPr="00FF3619">
        <w:t>There is no benefit in treating with aspirin to prevent thrombotic events. (2C)</w:t>
      </w:r>
    </w:p>
    <w:p w14:paraId="47D15303" w14:textId="77777777" w:rsidR="00516860" w:rsidRPr="00FF3619" w:rsidRDefault="00516860" w:rsidP="00067A88">
      <w:pPr>
        <w:pStyle w:val="ListParagraph"/>
        <w:numPr>
          <w:ilvl w:val="0"/>
          <w:numId w:val="73"/>
        </w:numPr>
      </w:pPr>
      <w:r w:rsidRPr="00FF3619">
        <w:t>Alternative underlying causes for erythrocytosis should be sought prior to making a diagnosis of post-transplant erythrocytosis (2D)</w:t>
      </w:r>
    </w:p>
    <w:p w14:paraId="265CAA72" w14:textId="33FA0C8F" w:rsidR="00516860" w:rsidRPr="00516860" w:rsidRDefault="00516860" w:rsidP="00516860">
      <w:pPr>
        <w:pStyle w:val="GuidelineHeadings"/>
      </w:pPr>
      <w:r>
        <w:t xml:space="preserve">Guideline </w:t>
      </w:r>
      <w:r w:rsidR="00E30815">
        <w:t>9</w:t>
      </w:r>
      <w:r>
        <w:t xml:space="preserve">.2 </w:t>
      </w:r>
      <w:r w:rsidRPr="00516860">
        <w:t>–</w:t>
      </w:r>
      <w:r>
        <w:t xml:space="preserve"> </w:t>
      </w:r>
      <w:r w:rsidRPr="00FF3619">
        <w:t xml:space="preserve">Post-transplant Anaemia (PTA) </w:t>
      </w:r>
    </w:p>
    <w:p w14:paraId="4C03B0A7" w14:textId="77777777" w:rsidR="00516860" w:rsidRPr="00FF3619" w:rsidRDefault="00516860" w:rsidP="00067A88">
      <w:pPr>
        <w:pStyle w:val="ListParagraph"/>
        <w:numPr>
          <w:ilvl w:val="0"/>
          <w:numId w:val="74"/>
        </w:numPr>
      </w:pPr>
      <w:r w:rsidRPr="00FF3619">
        <w:t xml:space="preserve">We recommend that investigations and management of chronic anaemia in KTRs should be </w:t>
      </w:r>
      <w:proofErr w:type="gramStart"/>
      <w:r w:rsidRPr="00FF3619">
        <w:t>similar to</w:t>
      </w:r>
      <w:proofErr w:type="gramEnd"/>
      <w:r w:rsidRPr="00FF3619">
        <w:t xml:space="preserve"> those for people with non-dialysis dependent CKD (1B)</w:t>
      </w:r>
    </w:p>
    <w:p w14:paraId="449CDD52" w14:textId="77777777" w:rsidR="00516860" w:rsidRPr="00FF3619" w:rsidRDefault="00516860" w:rsidP="00067A88">
      <w:pPr>
        <w:pStyle w:val="ListParagraph"/>
        <w:numPr>
          <w:ilvl w:val="0"/>
          <w:numId w:val="74"/>
        </w:numPr>
      </w:pPr>
      <w:r w:rsidRPr="00FF3619">
        <w:t>We suggest that consideration is given to identifying and managing potentially reversible transplant-associated causes of anaemia in a timely manner. (2B)</w:t>
      </w:r>
    </w:p>
    <w:p w14:paraId="4126ABE6" w14:textId="78949758" w:rsidR="00516860" w:rsidRPr="00FF3619" w:rsidRDefault="009B0CA8" w:rsidP="00516860">
      <w:pPr>
        <w:pStyle w:val="GuidelineUpperHeadings"/>
      </w:pPr>
      <w:bookmarkStart w:id="10" w:name="_Toc213749021"/>
      <w:r>
        <w:t>10</w:t>
      </w:r>
      <w:r w:rsidR="00516860">
        <w:t xml:space="preserve">. </w:t>
      </w:r>
      <w:r w:rsidRPr="00306FF4">
        <w:t xml:space="preserve">Kidney Transplant Recipient (KTR): </w:t>
      </w:r>
      <w:r w:rsidR="00516860" w:rsidRPr="00FF3619">
        <w:t>Reproductive issues and sexual function in the renal transplant recipient</w:t>
      </w:r>
      <w:bookmarkEnd w:id="10"/>
    </w:p>
    <w:p w14:paraId="039D6CE0" w14:textId="39A1F4D5" w:rsidR="00516860" w:rsidRPr="00FF3619" w:rsidRDefault="00516860" w:rsidP="00516860">
      <w:pPr>
        <w:pStyle w:val="GuidelineHeadings"/>
      </w:pPr>
      <w:r>
        <w:lastRenderedPageBreak/>
        <w:t xml:space="preserve">Guideline </w:t>
      </w:r>
      <w:r w:rsidR="00E30815">
        <w:t>10</w:t>
      </w:r>
      <w:r>
        <w:t xml:space="preserve">.1 </w:t>
      </w:r>
      <w:r w:rsidRPr="00516860">
        <w:t>–</w:t>
      </w:r>
      <w:r>
        <w:t xml:space="preserve"> </w:t>
      </w:r>
      <w:r w:rsidRPr="00FF3619">
        <w:t>Conception and contraception (female)</w:t>
      </w:r>
    </w:p>
    <w:p w14:paraId="49668A71" w14:textId="77777777" w:rsidR="00516860" w:rsidRPr="00FF3619" w:rsidRDefault="00516860" w:rsidP="00516860">
      <w:r w:rsidRPr="00FF3619">
        <w:t>We recommend:</w:t>
      </w:r>
    </w:p>
    <w:p w14:paraId="7DD9EC4F" w14:textId="77777777" w:rsidR="00516860" w:rsidRPr="00FF3619" w:rsidRDefault="00516860" w:rsidP="00067A88">
      <w:pPr>
        <w:pStyle w:val="ListParagraph"/>
        <w:numPr>
          <w:ilvl w:val="0"/>
          <w:numId w:val="76"/>
        </w:numPr>
      </w:pPr>
      <w:r w:rsidRPr="00FF3619">
        <w:t xml:space="preserve">Mycophenolate mofetil, mycophenolate sodium or its compounds (mycophenolic acid (MPA)) should be stopped at least </w:t>
      </w:r>
      <w:r>
        <w:t>six</w:t>
      </w:r>
      <w:r w:rsidRPr="00FF3619">
        <w:t xml:space="preserve"> weeks prior to conception and replaced appropriately. (1A) </w:t>
      </w:r>
    </w:p>
    <w:p w14:paraId="2C4B9C0B" w14:textId="2ED087E5" w:rsidR="00516860" w:rsidRPr="00FF3619" w:rsidRDefault="00516860" w:rsidP="005D46AD">
      <w:pPr>
        <w:pStyle w:val="ListParagraph"/>
        <w:numPr>
          <w:ilvl w:val="0"/>
          <w:numId w:val="76"/>
        </w:numPr>
      </w:pPr>
      <w:r w:rsidRPr="00FF3619">
        <w:t>M-TOR inhibitors</w:t>
      </w:r>
      <w:r w:rsidR="005D46AD">
        <w:t xml:space="preserve"> (m-</w:t>
      </w:r>
      <w:proofErr w:type="spellStart"/>
      <w:r w:rsidR="005D46AD">
        <w:t>TORi</w:t>
      </w:r>
      <w:proofErr w:type="spellEnd"/>
      <w:r w:rsidR="005D46AD">
        <w:t>)</w:t>
      </w:r>
      <w:r w:rsidRPr="00FF3619">
        <w:t xml:space="preserve"> should be stopped at least </w:t>
      </w:r>
      <w:r>
        <w:t>three</w:t>
      </w:r>
      <w:r w:rsidRPr="00FF3619">
        <w:t xml:space="preserve"> months prior to conception and replaced appropriately (1D) </w:t>
      </w:r>
    </w:p>
    <w:p w14:paraId="6BAE29E2" w14:textId="08360819" w:rsidR="00516860" w:rsidRPr="00FF3619" w:rsidRDefault="00516860" w:rsidP="00067A88">
      <w:pPr>
        <w:pStyle w:val="ListParagraph"/>
        <w:numPr>
          <w:ilvl w:val="0"/>
          <w:numId w:val="76"/>
        </w:numPr>
      </w:pPr>
      <w:r w:rsidRPr="00FF3619">
        <w:t xml:space="preserve">Women on MPA-containing immunosuppressant drugs or </w:t>
      </w:r>
      <w:r w:rsidR="005D46AD">
        <w:t>m-</w:t>
      </w:r>
      <w:proofErr w:type="spellStart"/>
      <w:r w:rsidR="005D46AD">
        <w:t>TORi</w:t>
      </w:r>
      <w:proofErr w:type="spellEnd"/>
      <w:r w:rsidR="005D46AD" w:rsidRPr="00FF3619">
        <w:t xml:space="preserve"> </w:t>
      </w:r>
      <w:r w:rsidRPr="00FF3619">
        <w:t xml:space="preserve">and their partners should make use of highly effective contraception (intrauterine device in females or tubal ligation in males, or combined hormonal and barrier method) (1A) </w:t>
      </w:r>
    </w:p>
    <w:p w14:paraId="1389C5C8" w14:textId="77777777" w:rsidR="00516860" w:rsidRPr="00FF3619" w:rsidRDefault="00516860" w:rsidP="00067A88">
      <w:pPr>
        <w:pStyle w:val="ListParagraph"/>
        <w:numPr>
          <w:ilvl w:val="0"/>
          <w:numId w:val="76"/>
        </w:numPr>
      </w:pPr>
      <w:r w:rsidRPr="00FF3619">
        <w:t xml:space="preserve">Women with a renal transplant should be offered aspirin 75 mg daily to reduce the risk of pre-eclampsia from 12 weeks gestation until birth of the baby, unless there are contraindications. (1B) </w:t>
      </w:r>
    </w:p>
    <w:p w14:paraId="277534BE" w14:textId="77777777" w:rsidR="00516860" w:rsidRPr="00FF3619" w:rsidRDefault="00516860" w:rsidP="00067A88">
      <w:pPr>
        <w:pStyle w:val="ListParagraph"/>
        <w:numPr>
          <w:ilvl w:val="0"/>
          <w:numId w:val="76"/>
        </w:numPr>
      </w:pPr>
      <w:r w:rsidRPr="00FF3619">
        <w:t xml:space="preserve">Pre-conception counselling should be offered for all females of reproductive age and all male patients prior to transplantation, in the early post-transplant phase and at least annually, or whenever required thereafter (1C)  </w:t>
      </w:r>
    </w:p>
    <w:p w14:paraId="56752182" w14:textId="41E54502" w:rsidR="00516860" w:rsidRPr="00FF3619" w:rsidRDefault="00516860" w:rsidP="00067A88">
      <w:pPr>
        <w:pStyle w:val="ListParagraph"/>
        <w:numPr>
          <w:ilvl w:val="0"/>
          <w:numId w:val="76"/>
        </w:numPr>
      </w:pPr>
      <w:r>
        <w:t>The values and acceptance of pregnancy-related risks of the KTR and their partner should receive attention (</w:t>
      </w:r>
      <w:r w:rsidR="0CA21F17">
        <w:t>N</w:t>
      </w:r>
      <w:r>
        <w:t xml:space="preserve">ot graded). </w:t>
      </w:r>
    </w:p>
    <w:p w14:paraId="669352D0" w14:textId="77777777" w:rsidR="00516860" w:rsidRPr="00FF3619" w:rsidRDefault="00516860" w:rsidP="00516860">
      <w:pPr>
        <w:rPr>
          <w:bCs/>
          <w:iCs/>
        </w:rPr>
      </w:pPr>
      <w:r w:rsidRPr="00FF3619">
        <w:rPr>
          <w:bCs/>
          <w:iCs/>
        </w:rPr>
        <w:t>We suggest:</w:t>
      </w:r>
    </w:p>
    <w:p w14:paraId="3CDCE68E" w14:textId="77777777" w:rsidR="00516860" w:rsidRPr="00FF3619" w:rsidRDefault="00516860" w:rsidP="00067A88">
      <w:pPr>
        <w:numPr>
          <w:ilvl w:val="0"/>
          <w:numId w:val="10"/>
        </w:numPr>
        <w:spacing w:line="259" w:lineRule="auto"/>
      </w:pPr>
      <w:r w:rsidRPr="00FF3619">
        <w:t xml:space="preserve">Women with an uncomplicated course following renal transplantation should wait at least 12 months until their renal function is stable on pregnancy-safe medications before achieving conception (2D). </w:t>
      </w:r>
    </w:p>
    <w:p w14:paraId="0185AC22" w14:textId="77777777" w:rsidR="00516860" w:rsidRPr="00FF3619" w:rsidRDefault="00516860" w:rsidP="00067A88">
      <w:pPr>
        <w:numPr>
          <w:ilvl w:val="0"/>
          <w:numId w:val="10"/>
        </w:numPr>
        <w:spacing w:line="259" w:lineRule="auto"/>
      </w:pPr>
      <w:r w:rsidRPr="00FF3619">
        <w:t xml:space="preserve">Pregnancy in KTRs should be jointly managed by a multidisciplinary team, including an obstetrician with experience in the care of KTR (2D) </w:t>
      </w:r>
    </w:p>
    <w:p w14:paraId="00293FF7" w14:textId="77777777" w:rsidR="00516860" w:rsidRPr="00FF3619" w:rsidRDefault="00516860" w:rsidP="00067A88">
      <w:pPr>
        <w:numPr>
          <w:ilvl w:val="0"/>
          <w:numId w:val="10"/>
        </w:numPr>
        <w:spacing w:line="259" w:lineRule="auto"/>
      </w:pPr>
      <w:r w:rsidRPr="00FF3619">
        <w:t xml:space="preserve">The benefits and potential theoretical risks of breastfeeding while using immunosuppressive medication should be discussed. Breastfeeding while on lactation-safe immunosuppression should not be discouraged (2C) </w:t>
      </w:r>
    </w:p>
    <w:p w14:paraId="49878F45" w14:textId="77777777" w:rsidR="00516860" w:rsidRPr="00FF3619" w:rsidRDefault="00516860" w:rsidP="00067A88">
      <w:pPr>
        <w:numPr>
          <w:ilvl w:val="0"/>
          <w:numId w:val="10"/>
        </w:numPr>
        <w:spacing w:line="259" w:lineRule="auto"/>
      </w:pPr>
      <w:r w:rsidRPr="00FF3619">
        <w:t>The use of an intrauterine device or progestin-only contraception is preferred over oestrogen-containing contraception due to the risk of hypertension and venous/ arterial thrombosis with the latter (2C)</w:t>
      </w:r>
    </w:p>
    <w:p w14:paraId="7090134E" w14:textId="77777777" w:rsidR="00516860" w:rsidRPr="00FF3619" w:rsidRDefault="00516860" w:rsidP="00067A88">
      <w:pPr>
        <w:numPr>
          <w:ilvl w:val="0"/>
          <w:numId w:val="10"/>
        </w:numPr>
        <w:spacing w:line="259" w:lineRule="auto"/>
      </w:pPr>
      <w:r w:rsidRPr="00FF3619">
        <w:t xml:space="preserve">Assisted reproductive technology (ART) procedures can be considered in KTRs. Such patients should be managed in expert multidisciplinary centres with experience in such techniques. Counselling and close monitoring for multiple gestation pregnancy, pre-eclampsia, low gestational age and low birth weight should take place if ART is pursued (2D). </w:t>
      </w:r>
    </w:p>
    <w:p w14:paraId="534BC090" w14:textId="7BAA091C" w:rsidR="00516860" w:rsidRPr="00FF3619" w:rsidRDefault="00516860" w:rsidP="00516860">
      <w:pPr>
        <w:pStyle w:val="GuidelineHeadings"/>
      </w:pPr>
      <w:r>
        <w:lastRenderedPageBreak/>
        <w:t>Guideline 1</w:t>
      </w:r>
      <w:r w:rsidR="00E30815">
        <w:t>0</w:t>
      </w:r>
      <w:r>
        <w:t xml:space="preserve">.2 </w:t>
      </w:r>
      <w:r w:rsidRPr="00516860">
        <w:t>–</w:t>
      </w:r>
      <w:r>
        <w:t xml:space="preserve"> </w:t>
      </w:r>
      <w:r w:rsidRPr="00516860">
        <w:t>Conception and contraception (male)</w:t>
      </w:r>
    </w:p>
    <w:p w14:paraId="1C272E01" w14:textId="77777777" w:rsidR="00516860" w:rsidRPr="00FF3619" w:rsidRDefault="00516860" w:rsidP="00516860">
      <w:r w:rsidRPr="00FF3619">
        <w:t>We recommend:</w:t>
      </w:r>
    </w:p>
    <w:p w14:paraId="261CA01A" w14:textId="77777777" w:rsidR="00516860" w:rsidRPr="00FF3619" w:rsidRDefault="00516860" w:rsidP="00067A88">
      <w:pPr>
        <w:numPr>
          <w:ilvl w:val="0"/>
          <w:numId w:val="10"/>
        </w:numPr>
        <w:spacing w:line="259" w:lineRule="auto"/>
      </w:pPr>
      <w:r w:rsidRPr="00FF3619">
        <w:t xml:space="preserve">Male KTRs are advised that Mycophenolate mofetil, mycophenolate sodium or its compounds (MPA) have teratogenic potential. Males on these agents should make use of highly effective contraception during treatment and for at least 3 months after stopping these medications to avoid the theoretical risk of </w:t>
      </w:r>
      <w:proofErr w:type="gramStart"/>
      <w:r w:rsidRPr="00FF3619">
        <w:t>teratogenicity  (</w:t>
      </w:r>
      <w:proofErr w:type="gramEnd"/>
      <w:r w:rsidRPr="00FF3619">
        <w:t>1D)</w:t>
      </w:r>
    </w:p>
    <w:p w14:paraId="3336C0B7" w14:textId="77777777" w:rsidR="00516860" w:rsidRPr="00516860" w:rsidRDefault="00516860" w:rsidP="00067A88">
      <w:pPr>
        <w:numPr>
          <w:ilvl w:val="0"/>
          <w:numId w:val="10"/>
        </w:numPr>
        <w:spacing w:line="259" w:lineRule="auto"/>
      </w:pPr>
      <w:r w:rsidRPr="00FF3619">
        <w:t>Male KTRs should be counselled on risk of oligospermia during the use of m-</w:t>
      </w:r>
      <w:proofErr w:type="spellStart"/>
      <w:r w:rsidRPr="00FF3619">
        <w:t>TORi</w:t>
      </w:r>
      <w:proofErr w:type="spellEnd"/>
      <w:r w:rsidRPr="00FF3619">
        <w:t xml:space="preserve"> and valganciclovir (1C)</w:t>
      </w:r>
    </w:p>
    <w:p w14:paraId="568BF9F5" w14:textId="77777777" w:rsidR="00516860" w:rsidRPr="00FF3619" w:rsidRDefault="00516860" w:rsidP="00516860">
      <w:r w:rsidRPr="00FF3619">
        <w:t xml:space="preserve">We suggest: </w:t>
      </w:r>
    </w:p>
    <w:p w14:paraId="5300FECD" w14:textId="77777777" w:rsidR="00516860" w:rsidRPr="00FF3619" w:rsidRDefault="00516860" w:rsidP="00067A88">
      <w:pPr>
        <w:numPr>
          <w:ilvl w:val="0"/>
          <w:numId w:val="11"/>
        </w:numPr>
        <w:spacing w:line="259" w:lineRule="auto"/>
      </w:pPr>
      <w:r w:rsidRPr="00FF3619">
        <w:t>All immunosuppressive drugs, other than m-</w:t>
      </w:r>
      <w:proofErr w:type="spellStart"/>
      <w:r w:rsidRPr="00FF3619">
        <w:t>TORi</w:t>
      </w:r>
      <w:proofErr w:type="spellEnd"/>
      <w:r w:rsidRPr="00FF3619">
        <w:t xml:space="preserve"> and MPA-containing compounds, can be used in male KTRs who wish to conceive (2D)</w:t>
      </w:r>
    </w:p>
    <w:p w14:paraId="683BCD4C" w14:textId="77777777" w:rsidR="00516860" w:rsidRPr="00FF3619" w:rsidRDefault="00516860" w:rsidP="00067A88">
      <w:pPr>
        <w:numPr>
          <w:ilvl w:val="0"/>
          <w:numId w:val="11"/>
        </w:numPr>
        <w:spacing w:line="259" w:lineRule="auto"/>
      </w:pPr>
      <w:r w:rsidRPr="00FF3619">
        <w:t>Men on m-</w:t>
      </w:r>
      <w:proofErr w:type="spellStart"/>
      <w:r w:rsidRPr="00FF3619">
        <w:t>TORi</w:t>
      </w:r>
      <w:proofErr w:type="spellEnd"/>
      <w:r w:rsidRPr="00FF3619">
        <w:t xml:space="preserve"> who wish to conceive should stop these agents 3 months before conception and replace them as appropriate due to the risk of teratogenicity (2D). Male KTRs should be advised that m-</w:t>
      </w:r>
      <w:proofErr w:type="spellStart"/>
      <w:r w:rsidRPr="00FF3619">
        <w:t>TORi</w:t>
      </w:r>
      <w:proofErr w:type="spellEnd"/>
      <w:r w:rsidRPr="00FF3619">
        <w:t xml:space="preserve"> are also associated with reduced spermatogenesis (2D) </w:t>
      </w:r>
    </w:p>
    <w:p w14:paraId="593FB9BE" w14:textId="77777777" w:rsidR="00516860" w:rsidRPr="00FF3619" w:rsidRDefault="00516860" w:rsidP="00067A88">
      <w:pPr>
        <w:numPr>
          <w:ilvl w:val="0"/>
          <w:numId w:val="11"/>
        </w:numPr>
        <w:spacing w:line="259" w:lineRule="auto"/>
      </w:pPr>
      <w:r w:rsidRPr="00FF3619">
        <w:t>Men who wish to maintain fertility should avoid m-</w:t>
      </w:r>
      <w:proofErr w:type="spellStart"/>
      <w:r w:rsidRPr="00FF3619">
        <w:t>TORi</w:t>
      </w:r>
      <w:proofErr w:type="spellEnd"/>
      <w:r w:rsidRPr="00FF3619">
        <w:t>/MPA-containing drugs, or be referred to fertility services for consideration of sperm banking (2D)</w:t>
      </w:r>
    </w:p>
    <w:p w14:paraId="4840D9D7" w14:textId="542EE397" w:rsidR="00516860" w:rsidRPr="00FF3619" w:rsidRDefault="00516860" w:rsidP="00516860">
      <w:pPr>
        <w:pStyle w:val="GuidelineHeadings"/>
      </w:pPr>
      <w:r w:rsidRPr="00516860">
        <w:t>Guideline 1</w:t>
      </w:r>
      <w:r w:rsidR="00E30815">
        <w:t>0</w:t>
      </w:r>
      <w:r w:rsidRPr="00516860">
        <w:t>.3 – Sexual dysfunction</w:t>
      </w:r>
    </w:p>
    <w:p w14:paraId="7AF1E3A5" w14:textId="77777777" w:rsidR="00516860" w:rsidRPr="00FF3619" w:rsidRDefault="00516860" w:rsidP="00516860">
      <w:r w:rsidRPr="00FF3619">
        <w:t>We suggest:</w:t>
      </w:r>
    </w:p>
    <w:p w14:paraId="2CB72947" w14:textId="77777777" w:rsidR="00516860" w:rsidRPr="00FF3619" w:rsidRDefault="00516860" w:rsidP="00067A88">
      <w:pPr>
        <w:numPr>
          <w:ilvl w:val="0"/>
          <w:numId w:val="12"/>
        </w:numPr>
        <w:spacing w:line="259" w:lineRule="auto"/>
      </w:pPr>
      <w:r w:rsidRPr="00FF3619">
        <w:t>Specific enquiry should be made regarding sexual dysfunction, preferably at an annual review clinic. (2D)</w:t>
      </w:r>
    </w:p>
    <w:p w14:paraId="09B757D9" w14:textId="77777777" w:rsidR="00516860" w:rsidRPr="00FF3619" w:rsidRDefault="00516860" w:rsidP="00067A88">
      <w:pPr>
        <w:numPr>
          <w:ilvl w:val="0"/>
          <w:numId w:val="12"/>
        </w:numPr>
        <w:spacing w:line="259" w:lineRule="auto"/>
      </w:pPr>
      <w:r w:rsidRPr="00FF3619">
        <w:t>Care pathways and close liaison with local andrology services for dealing with sexual dysfunction should be established (2D)</w:t>
      </w:r>
    </w:p>
    <w:p w14:paraId="59B1C525" w14:textId="77777777" w:rsidR="00516860" w:rsidRPr="00FF3619" w:rsidRDefault="00516860" w:rsidP="00067A88">
      <w:pPr>
        <w:numPr>
          <w:ilvl w:val="0"/>
          <w:numId w:val="12"/>
        </w:numPr>
        <w:spacing w:line="259" w:lineRule="auto"/>
      </w:pPr>
      <w:r w:rsidRPr="00FF3619">
        <w:t>Sildenafil is safe and effective in male KTR not taking nitrates. (2D)</w:t>
      </w:r>
    </w:p>
    <w:p w14:paraId="2B0E3168" w14:textId="523A010C" w:rsidR="00516860" w:rsidRPr="00FF3619" w:rsidRDefault="00516860" w:rsidP="00516860">
      <w:pPr>
        <w:pStyle w:val="GuidelineHeadings"/>
      </w:pPr>
      <w:r w:rsidRPr="00516860">
        <w:t>Guideline 1</w:t>
      </w:r>
      <w:r w:rsidR="00E30815">
        <w:t>0</w:t>
      </w:r>
      <w:r w:rsidRPr="00516860">
        <w:t>.4 – Hormone replacement therapy</w:t>
      </w:r>
    </w:p>
    <w:p w14:paraId="5A8A277D" w14:textId="77777777" w:rsidR="00516860" w:rsidRPr="00FF3619" w:rsidRDefault="00516860" w:rsidP="00516860">
      <w:r w:rsidRPr="00FF3619">
        <w:t>We suggest:</w:t>
      </w:r>
    </w:p>
    <w:p w14:paraId="0119D5E8" w14:textId="77777777" w:rsidR="00516860" w:rsidRPr="00FF3619" w:rsidRDefault="00516860" w:rsidP="00067A88">
      <w:pPr>
        <w:numPr>
          <w:ilvl w:val="0"/>
          <w:numId w:val="13"/>
        </w:numPr>
        <w:spacing w:line="259" w:lineRule="auto"/>
      </w:pPr>
      <w:r w:rsidRPr="00FF3619">
        <w:t xml:space="preserve">The decision to initiate HRT in menopausal women with a kidney transplant should be individualised, taking into consideration specific cardiovascular and malignancy risk factors, and potential drug interactions (2D) </w:t>
      </w:r>
    </w:p>
    <w:p w14:paraId="37ABC87E" w14:textId="77777777" w:rsidR="00516860" w:rsidRPr="00FF3619" w:rsidRDefault="00516860" w:rsidP="00516860"/>
    <w:p w14:paraId="5BE21936" w14:textId="420E4F4D" w:rsidR="00076320" w:rsidRDefault="00076320" w:rsidP="008D325E">
      <w:pPr>
        <w:pStyle w:val="Heading1"/>
      </w:pPr>
      <w:bookmarkStart w:id="11" w:name="_Toc213749022"/>
      <w:r w:rsidRPr="005C4B19">
        <w:t>Summary of Audit Measures</w:t>
      </w:r>
      <w:bookmarkEnd w:id="11"/>
    </w:p>
    <w:p w14:paraId="50835089" w14:textId="6745C552" w:rsidR="00F36A29" w:rsidRPr="00F36A29" w:rsidRDefault="008D325E" w:rsidP="00F36A29">
      <w:pPr>
        <w:pStyle w:val="GuidelineUpperHeadings"/>
        <w:rPr>
          <w:rFonts w:eastAsia="Arial Unicode MS" w:cstheme="minorHAnsi"/>
          <w:color w:val="196B24" w:themeColor="accent3"/>
        </w:rPr>
      </w:pPr>
      <w:bookmarkStart w:id="12" w:name="_Toc213749023"/>
      <w:r>
        <w:lastRenderedPageBreak/>
        <w:t xml:space="preserve">1. </w:t>
      </w:r>
      <w:r w:rsidR="00F36A29" w:rsidRPr="00306FF4">
        <w:t>Kidney Transplant Recipient (KTR): Organisation of Outpatient Follow-up (Guidelines 1.1-1.4)</w:t>
      </w:r>
      <w:bookmarkEnd w:id="12"/>
    </w:p>
    <w:p w14:paraId="0BEE1F43" w14:textId="1BB6D7D9" w:rsidR="00076320" w:rsidRPr="00FF1F82" w:rsidRDefault="00076320" w:rsidP="00067A88">
      <w:pPr>
        <w:pStyle w:val="ListParagraph"/>
        <w:numPr>
          <w:ilvl w:val="0"/>
          <w:numId w:val="27"/>
        </w:numPr>
        <w:rPr>
          <w:rFonts w:eastAsia="Arial Unicode MS" w:cstheme="minorHAnsi"/>
        </w:rPr>
      </w:pPr>
      <w:r w:rsidRPr="005B6B3B">
        <w:t>The proportion of blood results available for review and were reviewed within 24 hours.</w:t>
      </w:r>
      <w:r w:rsidRPr="00FF1F82">
        <w:rPr>
          <w:rFonts w:eastAsia="Arial Unicode MS" w:cstheme="minorHAnsi"/>
        </w:rPr>
        <w:t xml:space="preserve"> </w:t>
      </w:r>
    </w:p>
    <w:p w14:paraId="4931FD5E" w14:textId="77777777" w:rsidR="00076320" w:rsidRPr="00FF1F82" w:rsidRDefault="00076320" w:rsidP="00067A88">
      <w:pPr>
        <w:pStyle w:val="ListParagraph"/>
        <w:numPr>
          <w:ilvl w:val="0"/>
          <w:numId w:val="27"/>
        </w:numPr>
        <w:rPr>
          <w:rFonts w:eastAsia="Arial Unicode MS" w:cstheme="minorHAnsi"/>
        </w:rPr>
      </w:pPr>
      <w:r w:rsidRPr="005B6B3B">
        <w:t xml:space="preserve">Proportion of units with a written follow-up schedule available to all staff and patients. </w:t>
      </w:r>
    </w:p>
    <w:p w14:paraId="1DD1E98D" w14:textId="6B240555" w:rsidR="00076320" w:rsidRPr="00FF1F82" w:rsidRDefault="00076320" w:rsidP="00067A88">
      <w:pPr>
        <w:pStyle w:val="ListParagraph"/>
        <w:numPr>
          <w:ilvl w:val="0"/>
          <w:numId w:val="27"/>
        </w:numPr>
        <w:rPr>
          <w:rFonts w:eastAsia="Arial Unicode MS" w:cstheme="minorHAnsi"/>
        </w:rPr>
      </w:pPr>
      <w:r w:rsidRPr="005B6B3B">
        <w:t xml:space="preserve">Percentage of patients accessing their results through Renal Patient View </w:t>
      </w:r>
      <w:r w:rsidR="009870FD">
        <w:t>or similar</w:t>
      </w:r>
    </w:p>
    <w:p w14:paraId="18F97701" w14:textId="77777777" w:rsidR="00076320" w:rsidRPr="00FF1F82" w:rsidRDefault="00076320" w:rsidP="00067A88">
      <w:pPr>
        <w:pStyle w:val="ListParagraph"/>
        <w:numPr>
          <w:ilvl w:val="0"/>
          <w:numId w:val="27"/>
        </w:numPr>
        <w:rPr>
          <w:rFonts w:cstheme="minorHAnsi"/>
        </w:rPr>
      </w:pPr>
      <w:r w:rsidRPr="00FF1F82">
        <w:rPr>
          <w:rFonts w:cstheme="minorHAnsi"/>
        </w:rPr>
        <w:t xml:space="preserve">Percentage of total patients assessed in an annual review clinic </w:t>
      </w:r>
    </w:p>
    <w:p w14:paraId="5FE8CD70" w14:textId="31DE914B" w:rsidR="00FF1F82" w:rsidRPr="00FF1F82" w:rsidRDefault="00FF1F82" w:rsidP="00FF1F82">
      <w:pPr>
        <w:pStyle w:val="GuidelineUpperHeadings"/>
      </w:pPr>
      <w:bookmarkStart w:id="13" w:name="_Toc213749024"/>
      <w:r>
        <w:t xml:space="preserve">2. </w:t>
      </w:r>
      <w:r w:rsidR="009B0CA8" w:rsidRPr="00306FF4">
        <w:t xml:space="preserve">Kidney Transplant Recipient (KTR): </w:t>
      </w:r>
      <w:r>
        <w:t>Immunosuppression with non-adherence (Guidelines 2.1-2.6)</w:t>
      </w:r>
      <w:bookmarkEnd w:id="13"/>
    </w:p>
    <w:p w14:paraId="35571E5B" w14:textId="77777777" w:rsidR="00076320" w:rsidRPr="005B6B3B" w:rsidRDefault="00076320" w:rsidP="00067A88">
      <w:pPr>
        <w:pStyle w:val="ListParagraph"/>
        <w:numPr>
          <w:ilvl w:val="0"/>
          <w:numId w:val="28"/>
        </w:numPr>
      </w:pPr>
      <w:r w:rsidRPr="005B6B3B">
        <w:t>Recording “Did Not Attend” (DNA) rates for all patients.</w:t>
      </w:r>
    </w:p>
    <w:p w14:paraId="6A345D5A" w14:textId="77777777" w:rsidR="00076320" w:rsidRPr="005B6B3B" w:rsidRDefault="00076320" w:rsidP="00067A88">
      <w:pPr>
        <w:pStyle w:val="ListParagraph"/>
        <w:numPr>
          <w:ilvl w:val="0"/>
          <w:numId w:val="28"/>
        </w:numPr>
      </w:pPr>
      <w:r w:rsidRPr="005B6B3B">
        <w:t>Recording sub-therapeutic drug levels.</w:t>
      </w:r>
    </w:p>
    <w:p w14:paraId="75EE2CCB" w14:textId="77777777" w:rsidR="00076320" w:rsidRPr="005B6B3B" w:rsidRDefault="00076320" w:rsidP="00067A88">
      <w:pPr>
        <w:pStyle w:val="ListParagraph"/>
        <w:numPr>
          <w:ilvl w:val="0"/>
          <w:numId w:val="28"/>
        </w:numPr>
      </w:pPr>
      <w:r w:rsidRPr="005B6B3B">
        <w:t>Measuring within-patient variability of CNI levels</w:t>
      </w:r>
    </w:p>
    <w:p w14:paraId="4D39658D" w14:textId="77777777" w:rsidR="00076320" w:rsidRPr="005B6B3B" w:rsidRDefault="00076320" w:rsidP="00067A88">
      <w:pPr>
        <w:pStyle w:val="ListParagraph"/>
        <w:numPr>
          <w:ilvl w:val="0"/>
          <w:numId w:val="28"/>
        </w:numPr>
      </w:pPr>
      <w:r w:rsidRPr="005B6B3B">
        <w:t xml:space="preserve">Percentage of total patients receiving induction with ILRAs and TDAs </w:t>
      </w:r>
    </w:p>
    <w:p w14:paraId="2DF9AB2A" w14:textId="77777777" w:rsidR="00076320" w:rsidRPr="005B6B3B" w:rsidRDefault="00076320" w:rsidP="00067A88">
      <w:pPr>
        <w:pStyle w:val="ListParagraph"/>
        <w:numPr>
          <w:ilvl w:val="0"/>
          <w:numId w:val="28"/>
        </w:numPr>
      </w:pPr>
      <w:r w:rsidRPr="005B6B3B">
        <w:t xml:space="preserve">Percentage of de novo KTRs receiving tacrolimus </w:t>
      </w:r>
    </w:p>
    <w:p w14:paraId="5E283509" w14:textId="77777777" w:rsidR="00076320" w:rsidRPr="005B6B3B" w:rsidRDefault="00076320" w:rsidP="00067A88">
      <w:pPr>
        <w:pStyle w:val="ListParagraph"/>
        <w:numPr>
          <w:ilvl w:val="0"/>
          <w:numId w:val="28"/>
        </w:numPr>
      </w:pPr>
      <w:r w:rsidRPr="005B6B3B">
        <w:t xml:space="preserve">Percentage of de novo KTRs receiving MPA-based immunosuppression </w:t>
      </w:r>
    </w:p>
    <w:p w14:paraId="47877EC0" w14:textId="77777777" w:rsidR="00076320" w:rsidRPr="005B6B3B" w:rsidRDefault="00076320" w:rsidP="00067A88">
      <w:pPr>
        <w:pStyle w:val="ListParagraph"/>
        <w:numPr>
          <w:ilvl w:val="0"/>
          <w:numId w:val="28"/>
        </w:numPr>
      </w:pPr>
      <w:r w:rsidRPr="005B6B3B">
        <w:t xml:space="preserve">Percentage of de novo KTRs receiving corticosteroid as part of maintenance therapy </w:t>
      </w:r>
    </w:p>
    <w:p w14:paraId="3416557B" w14:textId="77777777" w:rsidR="00076320" w:rsidRDefault="00076320" w:rsidP="00067A88">
      <w:pPr>
        <w:pStyle w:val="ListParagraph"/>
        <w:numPr>
          <w:ilvl w:val="0"/>
          <w:numId w:val="28"/>
        </w:numPr>
      </w:pPr>
      <w:r w:rsidRPr="005B6B3B">
        <w:t>The use of generic agents should be monitored and audited</w:t>
      </w:r>
    </w:p>
    <w:p w14:paraId="1B8BE7BC" w14:textId="4278A956" w:rsidR="00FF1F82" w:rsidRDefault="00FF1F82" w:rsidP="00FF1F82">
      <w:pPr>
        <w:pStyle w:val="GuidelineUpperHeadings"/>
        <w:rPr>
          <w:rFonts w:cstheme="minorHAnsi"/>
          <w:color w:val="0F9ED5" w:themeColor="accent4"/>
        </w:rPr>
      </w:pPr>
      <w:bookmarkStart w:id="14" w:name="_Toc213749025"/>
      <w:r>
        <w:t xml:space="preserve">3. </w:t>
      </w:r>
      <w:r w:rsidR="009B0CA8" w:rsidRPr="00306FF4">
        <w:t xml:space="preserve">Kidney Transplant Recipient (KTR): </w:t>
      </w:r>
      <w:r>
        <w:t>Acute rejection, diagnosis and treatment (Guidelines 3.1-3.</w:t>
      </w:r>
      <w:r w:rsidRPr="008B0E08">
        <w:t>2.9)</w:t>
      </w:r>
      <w:bookmarkEnd w:id="14"/>
    </w:p>
    <w:p w14:paraId="57DA1F55" w14:textId="77777777" w:rsidR="00076320" w:rsidRPr="005B6B3B" w:rsidRDefault="00076320" w:rsidP="00067A88">
      <w:pPr>
        <w:pStyle w:val="ListParagraph"/>
        <w:numPr>
          <w:ilvl w:val="0"/>
          <w:numId w:val="78"/>
        </w:numPr>
      </w:pPr>
      <w:r w:rsidRPr="005B6B3B">
        <w:t>Severity of biopsy proven acute rejection (BPAR) recorded by Banff criteria</w:t>
      </w:r>
    </w:p>
    <w:p w14:paraId="65F0DCF0" w14:textId="77777777" w:rsidR="00076320" w:rsidRPr="005B6B3B" w:rsidRDefault="00076320" w:rsidP="00067A88">
      <w:pPr>
        <w:pStyle w:val="ListParagraph"/>
        <w:numPr>
          <w:ilvl w:val="0"/>
          <w:numId w:val="78"/>
        </w:numPr>
      </w:pPr>
      <w:r w:rsidRPr="005B6B3B">
        <w:t>The percentage of KTRs with BPAR in first 3 months and the first 12 months</w:t>
      </w:r>
    </w:p>
    <w:p w14:paraId="6458D3F4" w14:textId="77777777" w:rsidR="00076320" w:rsidRPr="005B6B3B" w:rsidRDefault="00076320" w:rsidP="00067A88">
      <w:pPr>
        <w:pStyle w:val="ListParagraph"/>
        <w:numPr>
          <w:ilvl w:val="0"/>
          <w:numId w:val="78"/>
        </w:numPr>
      </w:pPr>
      <w:r w:rsidRPr="005B6B3B">
        <w:t>The percentage of KTRs requiring TDAs to treat rejection within the first year</w:t>
      </w:r>
    </w:p>
    <w:p w14:paraId="3EC81FA4" w14:textId="77777777" w:rsidR="00076320" w:rsidRPr="005B6B3B" w:rsidRDefault="00076320" w:rsidP="00067A88">
      <w:pPr>
        <w:pStyle w:val="ListParagraph"/>
        <w:numPr>
          <w:ilvl w:val="0"/>
          <w:numId w:val="78"/>
        </w:numPr>
      </w:pPr>
      <w:r w:rsidRPr="005B6B3B">
        <w:t>Complication rates after renal transplant biopsy</w:t>
      </w:r>
    </w:p>
    <w:p w14:paraId="1E72B4EA" w14:textId="77777777" w:rsidR="00076320" w:rsidRDefault="00076320" w:rsidP="00067A88">
      <w:pPr>
        <w:pStyle w:val="ListParagraph"/>
        <w:numPr>
          <w:ilvl w:val="0"/>
          <w:numId w:val="78"/>
        </w:numPr>
      </w:pPr>
      <w:r w:rsidRPr="005B6B3B">
        <w:t xml:space="preserve">The percentage of KTRs with a donor-specific HLA antibody at the time of biopsy </w:t>
      </w:r>
    </w:p>
    <w:p w14:paraId="319342C9" w14:textId="77777777" w:rsidR="00076320" w:rsidRPr="005D7FB8" w:rsidRDefault="00076320" w:rsidP="00067A88">
      <w:pPr>
        <w:pStyle w:val="ListParagraph"/>
        <w:numPr>
          <w:ilvl w:val="0"/>
          <w:numId w:val="78"/>
        </w:numPr>
      </w:pPr>
      <w:r w:rsidRPr="005D7FB8">
        <w:t>Severity of biopsy proven acute rejection (BPAR) recorded by Banff criteria</w:t>
      </w:r>
    </w:p>
    <w:p w14:paraId="3A5211DB" w14:textId="77777777" w:rsidR="00076320" w:rsidRPr="005D7FB8" w:rsidRDefault="00076320" w:rsidP="00067A88">
      <w:pPr>
        <w:pStyle w:val="ListParagraph"/>
        <w:numPr>
          <w:ilvl w:val="0"/>
          <w:numId w:val="78"/>
        </w:numPr>
      </w:pPr>
      <w:r w:rsidRPr="005D7FB8">
        <w:t>Percentage of KTRs initially on a steroid free regime with BPAR in first 3 months and first 12 months</w:t>
      </w:r>
    </w:p>
    <w:p w14:paraId="18D13C1D" w14:textId="77777777" w:rsidR="00076320" w:rsidRPr="005D7FB8" w:rsidRDefault="00076320" w:rsidP="00067A88">
      <w:pPr>
        <w:pStyle w:val="ListParagraph"/>
        <w:numPr>
          <w:ilvl w:val="0"/>
          <w:numId w:val="78"/>
        </w:numPr>
      </w:pPr>
      <w:r w:rsidRPr="005D7FB8">
        <w:t>The percentage of KTRs with positive C4d staining on biopsy</w:t>
      </w:r>
    </w:p>
    <w:p w14:paraId="2DFBF250" w14:textId="77777777" w:rsidR="00076320" w:rsidRPr="00C87E12" w:rsidRDefault="00076320" w:rsidP="00067A88">
      <w:pPr>
        <w:pStyle w:val="ListParagraph"/>
        <w:numPr>
          <w:ilvl w:val="0"/>
          <w:numId w:val="78"/>
        </w:numPr>
        <w:rPr>
          <w:b/>
        </w:rPr>
      </w:pPr>
      <w:r w:rsidRPr="005D7FB8">
        <w:t>Percentage of KTRs requiring TDAs to treat rejection who subsequently develop CMV disease (primary or reactivation)</w:t>
      </w:r>
    </w:p>
    <w:p w14:paraId="358BAF5F" w14:textId="77777777" w:rsidR="00076320" w:rsidRDefault="00076320" w:rsidP="00067A88">
      <w:pPr>
        <w:pStyle w:val="ListParagraph"/>
        <w:numPr>
          <w:ilvl w:val="0"/>
          <w:numId w:val="78"/>
        </w:numPr>
      </w:pPr>
      <w:r w:rsidRPr="005D7FB8">
        <w:t>Percentage of KTRs requiring TDAs to treat rejection who subsequently develop malignancies</w:t>
      </w:r>
    </w:p>
    <w:p w14:paraId="663C3F92" w14:textId="2A051FD6" w:rsidR="00752133" w:rsidRPr="00FF1F82" w:rsidRDefault="00752133" w:rsidP="00752133">
      <w:pPr>
        <w:pStyle w:val="GuidelineUpperHeadings"/>
        <w:rPr>
          <w:sz w:val="24"/>
        </w:rPr>
      </w:pPr>
      <w:bookmarkStart w:id="15" w:name="_Toc213749026"/>
      <w:r>
        <w:t xml:space="preserve">4. </w:t>
      </w:r>
      <w:r w:rsidR="009B0CA8" w:rsidRPr="00306FF4">
        <w:t xml:space="preserve">Kidney Transplant Recipient (KTR): </w:t>
      </w:r>
      <w:r>
        <w:t>Chronic Allograft Injury (Guidelines 4.1 – 4.4)</w:t>
      </w:r>
      <w:bookmarkEnd w:id="15"/>
    </w:p>
    <w:p w14:paraId="5B7A6ECC" w14:textId="633DA72F" w:rsidR="009F4B06" w:rsidRDefault="009F4B06" w:rsidP="00067A88">
      <w:pPr>
        <w:pStyle w:val="ListParagraph"/>
        <w:numPr>
          <w:ilvl w:val="0"/>
          <w:numId w:val="29"/>
        </w:numPr>
      </w:pPr>
      <w:r>
        <w:t xml:space="preserve">The proportion of patients with pre-existing or de novo donor-specific antibodies </w:t>
      </w:r>
    </w:p>
    <w:p w14:paraId="02F9773B" w14:textId="6ED26FF3" w:rsidR="009F4B06" w:rsidRDefault="009F4B06" w:rsidP="00067A88">
      <w:pPr>
        <w:pStyle w:val="ListParagraph"/>
        <w:numPr>
          <w:ilvl w:val="0"/>
          <w:numId w:val="29"/>
        </w:numPr>
      </w:pPr>
      <w:r>
        <w:lastRenderedPageBreak/>
        <w:t>The percentage of patients with chronic allograft injury on biopsy, and the relative proportions of chronic ABMR, BK nephropathy, and CNI toxicity.</w:t>
      </w:r>
    </w:p>
    <w:p w14:paraId="640CD6ED" w14:textId="2164131E" w:rsidR="00752133" w:rsidRPr="005D7FB8" w:rsidRDefault="009F4B06" w:rsidP="00067A88">
      <w:pPr>
        <w:pStyle w:val="ListParagraph"/>
        <w:numPr>
          <w:ilvl w:val="0"/>
          <w:numId w:val="29"/>
        </w:numPr>
      </w:pPr>
      <w:r>
        <w:t>The intra-personal variation in tacrolimus trough levels</w:t>
      </w:r>
    </w:p>
    <w:p w14:paraId="778798EE" w14:textId="21A3152F" w:rsidR="00402D6C" w:rsidRDefault="00402D6C" w:rsidP="00402D6C">
      <w:pPr>
        <w:pStyle w:val="GuidelineUpperHeadings"/>
      </w:pPr>
      <w:bookmarkStart w:id="16" w:name="_Toc213749027"/>
      <w:r>
        <w:t xml:space="preserve">5. </w:t>
      </w:r>
      <w:r w:rsidR="009B0CA8" w:rsidRPr="00306FF4">
        <w:t xml:space="preserve">Kidney Transplant Recipient (KTR): </w:t>
      </w:r>
      <w:proofErr w:type="gramStart"/>
      <w:r w:rsidRPr="00587685">
        <w:t>Cardiovascular disease</w:t>
      </w:r>
      <w:proofErr w:type="gramEnd"/>
      <w:r w:rsidRPr="00587685">
        <w:t xml:space="preserve"> </w:t>
      </w:r>
      <w:r w:rsidR="00B7112B">
        <w:t>–</w:t>
      </w:r>
      <w:r w:rsidRPr="00587685">
        <w:t xml:space="preserve"> hypertension, diabetes, cholesterol (including lifestyle and exercise)</w:t>
      </w:r>
      <w:bookmarkEnd w:id="16"/>
    </w:p>
    <w:p w14:paraId="56E6C45A" w14:textId="085A5490" w:rsidR="00402D6C" w:rsidRPr="00402D6C" w:rsidRDefault="00402D6C" w:rsidP="00441876">
      <w:pPr>
        <w:pStyle w:val="GuidelineHeadings"/>
      </w:pPr>
      <w:r>
        <w:t>Guideline 5.1</w:t>
      </w:r>
      <w:r w:rsidR="00932D5D">
        <w:t>–</w:t>
      </w:r>
      <w:r w:rsidR="00D44273">
        <w:t xml:space="preserve"> Hypertension</w:t>
      </w:r>
    </w:p>
    <w:p w14:paraId="407C0E2E" w14:textId="5BF23FD4" w:rsidR="00402D6C" w:rsidRPr="00524CA4" w:rsidRDefault="00402D6C" w:rsidP="00067A88">
      <w:pPr>
        <w:pStyle w:val="ListParagraph"/>
        <w:numPr>
          <w:ilvl w:val="0"/>
          <w:numId w:val="31"/>
        </w:numPr>
      </w:pPr>
      <w:r w:rsidRPr="00524CA4">
        <w:t>The proportion of transplant centres adopting a standardised BP measurement</w:t>
      </w:r>
    </w:p>
    <w:p w14:paraId="7238C5DC" w14:textId="77777777" w:rsidR="00402D6C" w:rsidRPr="00524CA4" w:rsidRDefault="00402D6C" w:rsidP="00067A88">
      <w:pPr>
        <w:pStyle w:val="ListParagraph"/>
        <w:numPr>
          <w:ilvl w:val="0"/>
          <w:numId w:val="31"/>
        </w:numPr>
      </w:pPr>
      <w:r w:rsidRPr="00524CA4">
        <w:t xml:space="preserve">The proportion of patients achieving a target blood pressure of 130/80 </w:t>
      </w:r>
    </w:p>
    <w:p w14:paraId="070B903F" w14:textId="77777777" w:rsidR="00402D6C" w:rsidRPr="00524CA4" w:rsidRDefault="00402D6C" w:rsidP="00067A88">
      <w:pPr>
        <w:pStyle w:val="ListParagraph"/>
        <w:numPr>
          <w:ilvl w:val="0"/>
          <w:numId w:val="31"/>
        </w:numPr>
      </w:pPr>
      <w:r w:rsidRPr="00524CA4">
        <w:t>The proportion of patients presenting with resistant hypertension and adherence within this subpopulation</w:t>
      </w:r>
    </w:p>
    <w:p w14:paraId="61A97629" w14:textId="77777777" w:rsidR="00402D6C" w:rsidRPr="00524CA4" w:rsidRDefault="00402D6C" w:rsidP="00067A88">
      <w:pPr>
        <w:pStyle w:val="ListParagraph"/>
        <w:numPr>
          <w:ilvl w:val="0"/>
          <w:numId w:val="31"/>
        </w:numPr>
      </w:pPr>
      <w:r w:rsidRPr="00524CA4">
        <w:t>The proportion of patients following lifestyle modifications prior to / in combination to pharmacological management</w:t>
      </w:r>
    </w:p>
    <w:p w14:paraId="3D26E25B" w14:textId="77777777" w:rsidR="00402D6C" w:rsidRPr="00524CA4" w:rsidRDefault="00402D6C" w:rsidP="00067A88">
      <w:pPr>
        <w:pStyle w:val="ListParagraph"/>
        <w:numPr>
          <w:ilvl w:val="0"/>
          <w:numId w:val="31"/>
        </w:numPr>
      </w:pPr>
      <w:r w:rsidRPr="00524CA4">
        <w:t>The proportion of patients receiving information on the burden of hypertension on transplant survival before transplant surgery</w:t>
      </w:r>
    </w:p>
    <w:p w14:paraId="4AD38DDA" w14:textId="523719CD" w:rsidR="00076320" w:rsidRDefault="00441876" w:rsidP="00441876">
      <w:pPr>
        <w:pStyle w:val="GuidelineHeadings"/>
      </w:pPr>
      <w:r>
        <w:t>Guideline 5.2</w:t>
      </w:r>
      <w:r w:rsidR="00D44273">
        <w:t xml:space="preserve"> </w:t>
      </w:r>
      <w:r w:rsidR="00932D5D">
        <w:t>–</w:t>
      </w:r>
      <w:r w:rsidR="00D44273">
        <w:t xml:space="preserve"> Dyslipidaemia</w:t>
      </w:r>
    </w:p>
    <w:p w14:paraId="21C5E4BB" w14:textId="4C9E2022" w:rsidR="00441876" w:rsidRPr="00441876" w:rsidRDefault="00441876" w:rsidP="00067A88">
      <w:pPr>
        <w:pStyle w:val="ListParagraph"/>
        <w:numPr>
          <w:ilvl w:val="0"/>
          <w:numId w:val="33"/>
        </w:numPr>
      </w:pPr>
      <w:r w:rsidRPr="00441876">
        <w:t>Proportion of renal transplant patients with</w:t>
      </w:r>
      <w:r w:rsidR="00D665C1">
        <w:t xml:space="preserve"> regular</w:t>
      </w:r>
      <w:r w:rsidRPr="00441876">
        <w:t xml:space="preserve"> measure</w:t>
      </w:r>
      <w:r w:rsidR="00D20F1E">
        <w:t xml:space="preserve">ments </w:t>
      </w:r>
      <w:r w:rsidRPr="00441876">
        <w:t>of lipids</w:t>
      </w:r>
    </w:p>
    <w:p w14:paraId="3FE4AB88" w14:textId="77E455DF" w:rsidR="00441876" w:rsidRPr="00441876" w:rsidRDefault="00441876" w:rsidP="00067A88">
      <w:pPr>
        <w:pStyle w:val="ListParagraph"/>
        <w:numPr>
          <w:ilvl w:val="0"/>
          <w:numId w:val="33"/>
        </w:numPr>
      </w:pPr>
      <w:r w:rsidRPr="00441876">
        <w:t>Proportion of renal transplant patients taking statins for primary and secondary prevention of cardiovascular disease and adherence</w:t>
      </w:r>
    </w:p>
    <w:p w14:paraId="6936D867" w14:textId="7C87F96D" w:rsidR="00413B0E" w:rsidRDefault="00441876" w:rsidP="00067A88">
      <w:pPr>
        <w:pStyle w:val="ListParagraph"/>
        <w:numPr>
          <w:ilvl w:val="0"/>
          <w:numId w:val="33"/>
        </w:numPr>
      </w:pPr>
      <w:r w:rsidRPr="00441876">
        <w:t>Proportion of patients achieving lipid targets</w:t>
      </w:r>
    </w:p>
    <w:p w14:paraId="3E795E1F" w14:textId="58D5A8A2" w:rsidR="00413B0E" w:rsidRDefault="00413B0E" w:rsidP="00413B0E">
      <w:pPr>
        <w:pStyle w:val="GuidelineHeadings"/>
      </w:pPr>
      <w:r>
        <w:t>Guideline 5.3 – Diabetes Mellitus</w:t>
      </w:r>
    </w:p>
    <w:p w14:paraId="302CFF45" w14:textId="63C759C4" w:rsidR="00413B0E" w:rsidRDefault="00413B0E" w:rsidP="00067A88">
      <w:pPr>
        <w:pStyle w:val="ListParagraph"/>
        <w:numPr>
          <w:ilvl w:val="0"/>
          <w:numId w:val="35"/>
        </w:numPr>
      </w:pPr>
      <w:r>
        <w:t>Proportion of patients diagnosed with PTDM</w:t>
      </w:r>
    </w:p>
    <w:p w14:paraId="4949CB97" w14:textId="54677E6E" w:rsidR="00413B0E" w:rsidRDefault="00413B0E" w:rsidP="00067A88">
      <w:pPr>
        <w:pStyle w:val="ListParagraph"/>
        <w:numPr>
          <w:ilvl w:val="0"/>
          <w:numId w:val="35"/>
        </w:numPr>
      </w:pPr>
      <w:r>
        <w:t>Proportion of patients receiving different pharmacological agents</w:t>
      </w:r>
      <w:r w:rsidR="00D20F1E">
        <w:t xml:space="preserve"> for PTDM</w:t>
      </w:r>
    </w:p>
    <w:p w14:paraId="7A819C47" w14:textId="1A02D1CD" w:rsidR="00413B0E" w:rsidRDefault="00416AEB" w:rsidP="00067A88">
      <w:pPr>
        <w:pStyle w:val="ListParagraph"/>
        <w:numPr>
          <w:ilvl w:val="0"/>
          <w:numId w:val="35"/>
        </w:numPr>
      </w:pPr>
      <w:r>
        <w:t xml:space="preserve">Efficacy and safety of the </w:t>
      </w:r>
      <w:r w:rsidR="00413B0E">
        <w:t>use of SGLT 2 inhibitors</w:t>
      </w:r>
      <w:r>
        <w:t xml:space="preserve"> for PDTM</w:t>
      </w:r>
    </w:p>
    <w:p w14:paraId="6CD68FB8" w14:textId="77777777" w:rsidR="008C7816" w:rsidRPr="00B7112B" w:rsidRDefault="008C7816" w:rsidP="008C7816">
      <w:pPr>
        <w:pStyle w:val="GuidelineHeadings"/>
        <w:ind w:left="0" w:firstLine="0"/>
      </w:pPr>
      <w:r>
        <w:t xml:space="preserve">Guideline </w:t>
      </w:r>
      <w:r w:rsidRPr="00413B0E">
        <w:t>5.4</w:t>
      </w:r>
      <w:r>
        <w:t xml:space="preserve"> – </w:t>
      </w:r>
      <w:r w:rsidRPr="00413B0E">
        <w:t>Cardiovascular disease</w:t>
      </w:r>
    </w:p>
    <w:p w14:paraId="2C3A57E3" w14:textId="3740AEF3" w:rsidR="008C7816" w:rsidRDefault="008C7816" w:rsidP="00067A88">
      <w:pPr>
        <w:pStyle w:val="ListParagraph"/>
        <w:numPr>
          <w:ilvl w:val="0"/>
          <w:numId w:val="37"/>
        </w:numPr>
      </w:pPr>
      <w:r>
        <w:t>Proportion of patients with de novo ischaemic heart disease.</w:t>
      </w:r>
    </w:p>
    <w:p w14:paraId="554A6C91" w14:textId="20B6A38B" w:rsidR="008C7816" w:rsidRDefault="008C7816" w:rsidP="00067A88">
      <w:pPr>
        <w:pStyle w:val="ListParagraph"/>
        <w:numPr>
          <w:ilvl w:val="0"/>
          <w:numId w:val="37"/>
        </w:numPr>
      </w:pPr>
      <w:r>
        <w:t xml:space="preserve">Proportion of patients suffering myocardial infarction </w:t>
      </w:r>
      <w:proofErr w:type="spellStart"/>
      <w:r>
        <w:t>post transplant</w:t>
      </w:r>
      <w:proofErr w:type="spellEnd"/>
      <w:r>
        <w:t>.</w:t>
      </w:r>
    </w:p>
    <w:p w14:paraId="2333E400" w14:textId="14F31371" w:rsidR="008C7816" w:rsidRDefault="008C7816" w:rsidP="00067A88">
      <w:pPr>
        <w:pStyle w:val="ListParagraph"/>
        <w:numPr>
          <w:ilvl w:val="0"/>
          <w:numId w:val="37"/>
        </w:numPr>
      </w:pPr>
      <w:r>
        <w:t>Proportion of patients undergoing primary revascularisation.</w:t>
      </w:r>
    </w:p>
    <w:p w14:paraId="18BE8801" w14:textId="6EAC9EE7" w:rsidR="008C7816" w:rsidRDefault="008C7816" w:rsidP="00067A88">
      <w:pPr>
        <w:pStyle w:val="ListParagraph"/>
        <w:numPr>
          <w:ilvl w:val="0"/>
          <w:numId w:val="37"/>
        </w:numPr>
      </w:pPr>
      <w:r>
        <w:t>Proportion of patients receiving secondary prevention with a statin, anti-platelet agents and RAS blockers.</w:t>
      </w:r>
    </w:p>
    <w:p w14:paraId="0B57C6B8" w14:textId="44AF6EA1" w:rsidR="008C7816" w:rsidRDefault="008C7816" w:rsidP="00067A88">
      <w:pPr>
        <w:pStyle w:val="ListParagraph"/>
        <w:numPr>
          <w:ilvl w:val="0"/>
          <w:numId w:val="37"/>
        </w:numPr>
      </w:pPr>
      <w:r>
        <w:t>Proportion of patients receiving standard of care treatment for heart failure</w:t>
      </w:r>
    </w:p>
    <w:p w14:paraId="28892152" w14:textId="77777777" w:rsidR="008C7816" w:rsidRPr="008C7816" w:rsidRDefault="008C7816" w:rsidP="008C7816">
      <w:pPr>
        <w:pStyle w:val="GuidelineHeadings"/>
        <w:rPr>
          <w:rStyle w:val="eop"/>
          <w:rFonts w:cstheme="minorHAnsi"/>
          <w:sz w:val="22"/>
          <w:szCs w:val="22"/>
        </w:rPr>
      </w:pPr>
      <w:r>
        <w:t xml:space="preserve">Guideline </w:t>
      </w:r>
      <w:r w:rsidRPr="008C7816">
        <w:t xml:space="preserve">5.5 </w:t>
      </w:r>
      <w:r>
        <w:t>–</w:t>
      </w:r>
      <w:r w:rsidRPr="008C7816">
        <w:t xml:space="preserve"> Smoking cessation</w:t>
      </w:r>
      <w:r w:rsidRPr="005F2801">
        <w:rPr>
          <w:rStyle w:val="eop"/>
          <w:rFonts w:ascii="Arial" w:hAnsi="Arial" w:cs="Arial"/>
          <w:color w:val="9C1F4C"/>
          <w:sz w:val="28"/>
          <w:szCs w:val="28"/>
          <w:shd w:val="clear" w:color="auto" w:fill="FFFFFF"/>
        </w:rPr>
        <w:t> </w:t>
      </w:r>
    </w:p>
    <w:p w14:paraId="2FD014DE" w14:textId="77777777" w:rsidR="008C7816" w:rsidRPr="008C7816" w:rsidRDefault="008C7816" w:rsidP="00067A88">
      <w:pPr>
        <w:pStyle w:val="ListParagraph"/>
        <w:numPr>
          <w:ilvl w:val="0"/>
          <w:numId w:val="39"/>
        </w:numPr>
        <w:rPr>
          <w:color w:val="000000"/>
          <w:highlight w:val="white"/>
        </w:rPr>
      </w:pPr>
      <w:r w:rsidRPr="008C7816">
        <w:t>Proportion of KTRs who smoke</w:t>
      </w:r>
    </w:p>
    <w:p w14:paraId="5CBD4676" w14:textId="1399019E" w:rsidR="008C7816" w:rsidRDefault="008C7816" w:rsidP="00067A88">
      <w:pPr>
        <w:pStyle w:val="ListParagraph"/>
        <w:numPr>
          <w:ilvl w:val="0"/>
          <w:numId w:val="39"/>
        </w:numPr>
      </w:pPr>
      <w:r w:rsidRPr="00524CA4">
        <w:lastRenderedPageBreak/>
        <w:t xml:space="preserve">Proportion of cigarette smoking KTRs who have been given formal advice or </w:t>
      </w:r>
      <w:r>
        <w:t>offered</w:t>
      </w:r>
      <w:r w:rsidRPr="00524CA4">
        <w:t xml:space="preserve"> help with cessation </w:t>
      </w:r>
    </w:p>
    <w:p w14:paraId="3956F250" w14:textId="77777777" w:rsidR="00511112" w:rsidRDefault="00511112" w:rsidP="00511112">
      <w:pPr>
        <w:pStyle w:val="GuidelineHeadings"/>
      </w:pPr>
      <w:r>
        <w:t xml:space="preserve">Guideline </w:t>
      </w:r>
      <w:r w:rsidRPr="00CB2D71">
        <w:t>5.6</w:t>
      </w:r>
      <w:r>
        <w:t xml:space="preserve"> </w:t>
      </w:r>
      <w:r w:rsidRPr="00CB2D71">
        <w:t>–</w:t>
      </w:r>
      <w:r>
        <w:t xml:space="preserve"> </w:t>
      </w:r>
      <w:r w:rsidRPr="00CB2D71">
        <w:t>Lifestyle, physical activity, and exercise post-transplant</w:t>
      </w:r>
    </w:p>
    <w:p w14:paraId="579AACF8" w14:textId="00491FEA" w:rsidR="00511112" w:rsidRPr="00511112" w:rsidRDefault="00267584" w:rsidP="00067A88">
      <w:pPr>
        <w:pStyle w:val="ListParagraph"/>
        <w:numPr>
          <w:ilvl w:val="0"/>
          <w:numId w:val="41"/>
        </w:numPr>
      </w:pPr>
      <w:r>
        <w:t>Proportion of patients who are active</w:t>
      </w:r>
    </w:p>
    <w:p w14:paraId="7AF00EE9" w14:textId="77777777" w:rsidR="00D724D7" w:rsidRPr="00D724D7" w:rsidRDefault="00D724D7" w:rsidP="00D724D7">
      <w:pPr>
        <w:pStyle w:val="GuidelineHeadings"/>
      </w:pPr>
      <w:r>
        <w:t>Guideline</w:t>
      </w:r>
      <w:r w:rsidRPr="00D724D7">
        <w:t xml:space="preserve"> 5.</w:t>
      </w:r>
      <w:r>
        <w:t xml:space="preserve">7 </w:t>
      </w:r>
      <w:r w:rsidRPr="00D724D7">
        <w:t>– Dietary measures</w:t>
      </w:r>
    </w:p>
    <w:p w14:paraId="667908A3" w14:textId="77777777" w:rsidR="00D724D7" w:rsidRPr="004A5142" w:rsidRDefault="00D724D7" w:rsidP="00067A88">
      <w:pPr>
        <w:pStyle w:val="ListParagraph"/>
        <w:numPr>
          <w:ilvl w:val="0"/>
          <w:numId w:val="44"/>
        </w:numPr>
      </w:pPr>
      <w:r w:rsidRPr="004A5142">
        <w:t xml:space="preserve">Proportion of patients who are obese or malnourished </w:t>
      </w:r>
    </w:p>
    <w:p w14:paraId="1B7C0F88" w14:textId="087067A5" w:rsidR="008710DB" w:rsidRDefault="008710DB" w:rsidP="008710DB">
      <w:pPr>
        <w:pStyle w:val="GuidelineUpperHeadings"/>
      </w:pPr>
      <w:bookmarkStart w:id="17" w:name="_Toc213749028"/>
      <w:r>
        <w:t xml:space="preserve">6. </w:t>
      </w:r>
      <w:r w:rsidR="009B0CA8" w:rsidRPr="00306FF4">
        <w:t xml:space="preserve">Kidney Transplant Recipient (KTR): </w:t>
      </w:r>
      <w:r>
        <w:t>Neoplasia</w:t>
      </w:r>
      <w:bookmarkEnd w:id="17"/>
    </w:p>
    <w:p w14:paraId="4014B41B" w14:textId="77777777" w:rsidR="008710DB" w:rsidRPr="008710DB" w:rsidRDefault="008710DB" w:rsidP="00067A88">
      <w:pPr>
        <w:pStyle w:val="ListParagraph"/>
        <w:numPr>
          <w:ilvl w:val="0"/>
          <w:numId w:val="48"/>
        </w:numPr>
      </w:pPr>
      <w:r w:rsidRPr="00524CA4">
        <w:t>Proportion of patients having screening procedures for neoplasia at the annual review clinic.</w:t>
      </w:r>
    </w:p>
    <w:p w14:paraId="754E51BD" w14:textId="77777777" w:rsidR="008710DB" w:rsidRDefault="008710DB" w:rsidP="00067A88">
      <w:pPr>
        <w:pStyle w:val="ListParagraph"/>
        <w:numPr>
          <w:ilvl w:val="0"/>
          <w:numId w:val="48"/>
        </w:numPr>
      </w:pPr>
      <w:r w:rsidRPr="00524CA4">
        <w:t>Incidence of all malignancies post transplantation particularly NMSC.</w:t>
      </w:r>
    </w:p>
    <w:p w14:paraId="32E4E8F9" w14:textId="602B7536" w:rsidR="008710DB" w:rsidRPr="00FF3619" w:rsidRDefault="009B0CA8" w:rsidP="008710DB">
      <w:pPr>
        <w:pStyle w:val="GuidelineUpperHeadings"/>
      </w:pPr>
      <w:bookmarkStart w:id="18" w:name="_Toc213749029"/>
      <w:r>
        <w:t>7</w:t>
      </w:r>
      <w:r w:rsidR="008710DB">
        <w:t xml:space="preserve">. </w:t>
      </w:r>
      <w:r w:rsidR="008710DB" w:rsidRPr="00FF3619">
        <w:t>Kidney Transplant Recipient (KTR): Infection Complications (Guidelines 8.1-8.7)</w:t>
      </w:r>
      <w:bookmarkEnd w:id="18"/>
    </w:p>
    <w:p w14:paraId="12CA5B12" w14:textId="40694026" w:rsidR="008710DB" w:rsidRPr="008710DB" w:rsidRDefault="008710DB" w:rsidP="008710DB">
      <w:pPr>
        <w:pStyle w:val="GuidelineHeadings"/>
      </w:pPr>
      <w:r w:rsidRPr="00FF3619">
        <w:t xml:space="preserve">Guideline </w:t>
      </w:r>
      <w:r w:rsidR="00CD3444">
        <w:t>7</w:t>
      </w:r>
      <w:r w:rsidRPr="00FF3619">
        <w:t>.1 – KTR: Vaccination</w:t>
      </w:r>
    </w:p>
    <w:p w14:paraId="7814875E" w14:textId="5F3DF428" w:rsidR="008710DB" w:rsidRPr="00FF3619" w:rsidRDefault="004C583C" w:rsidP="00067A88">
      <w:pPr>
        <w:pStyle w:val="ListParagraph"/>
        <w:numPr>
          <w:ilvl w:val="0"/>
          <w:numId w:val="51"/>
        </w:numPr>
      </w:pPr>
      <w:r>
        <w:t>Proportion of patients who are appropriately vaccinated</w:t>
      </w:r>
    </w:p>
    <w:p w14:paraId="08622D50" w14:textId="3844CC2A" w:rsidR="00516860" w:rsidRPr="00516860" w:rsidRDefault="00516860" w:rsidP="00516860">
      <w:pPr>
        <w:pStyle w:val="GuidelineHeadings"/>
      </w:pPr>
      <w:r w:rsidRPr="00FF3619">
        <w:t xml:space="preserve">Guideline </w:t>
      </w:r>
      <w:r w:rsidR="00CD3444">
        <w:t>7</w:t>
      </w:r>
      <w:r w:rsidRPr="00FF3619">
        <w:t>.2 – KTR: Cytomegalovirus disease</w:t>
      </w:r>
    </w:p>
    <w:p w14:paraId="397108DD" w14:textId="77777777" w:rsidR="00516860" w:rsidRPr="00FF3619" w:rsidRDefault="00516860" w:rsidP="00067A88">
      <w:pPr>
        <w:pStyle w:val="ListParagraph"/>
        <w:numPr>
          <w:ilvl w:val="0"/>
          <w:numId w:val="54"/>
        </w:numPr>
      </w:pPr>
      <w:r w:rsidRPr="00FF3619">
        <w:t>Incidence of CMV disease.</w:t>
      </w:r>
    </w:p>
    <w:p w14:paraId="406DE5F8" w14:textId="77777777" w:rsidR="00516860" w:rsidRPr="00FF3619" w:rsidRDefault="00516860" w:rsidP="00067A88">
      <w:pPr>
        <w:pStyle w:val="ListParagraph"/>
        <w:numPr>
          <w:ilvl w:val="0"/>
          <w:numId w:val="54"/>
        </w:numPr>
      </w:pPr>
      <w:r w:rsidRPr="00FF3619">
        <w:t>Treatment outcomes of viral PCR cases</w:t>
      </w:r>
    </w:p>
    <w:p w14:paraId="531C3335" w14:textId="77777777" w:rsidR="00516860" w:rsidRPr="00FF3619" w:rsidRDefault="00516860" w:rsidP="00067A88">
      <w:pPr>
        <w:pStyle w:val="ListParagraph"/>
        <w:numPr>
          <w:ilvl w:val="0"/>
          <w:numId w:val="54"/>
        </w:numPr>
      </w:pPr>
      <w:r w:rsidRPr="00FF3619">
        <w:t>Completeness of records for CMV donor and recipient serology</w:t>
      </w:r>
    </w:p>
    <w:p w14:paraId="730FCE8C" w14:textId="76BB5B63" w:rsidR="00516860" w:rsidRPr="00516860" w:rsidRDefault="00516860" w:rsidP="00516860">
      <w:pPr>
        <w:pStyle w:val="GuidelineHeadings"/>
      </w:pPr>
      <w:r w:rsidRPr="00FF3619">
        <w:t xml:space="preserve">Guideline </w:t>
      </w:r>
      <w:r w:rsidR="00CD3444">
        <w:t>7</w:t>
      </w:r>
      <w:r w:rsidRPr="00FF3619">
        <w:t>.3 – KTR: Epstein Barr virus infection</w:t>
      </w:r>
    </w:p>
    <w:p w14:paraId="4073BCC2" w14:textId="77777777" w:rsidR="00516860" w:rsidRPr="00FF3619" w:rsidRDefault="00516860" w:rsidP="00067A88">
      <w:pPr>
        <w:pStyle w:val="ListParagraph"/>
        <w:numPr>
          <w:ilvl w:val="0"/>
          <w:numId w:val="62"/>
        </w:numPr>
      </w:pPr>
      <w:r w:rsidRPr="00FF3619">
        <w:t>Rates of EBV infection and PTLD amongst KTRs</w:t>
      </w:r>
    </w:p>
    <w:p w14:paraId="331D2788" w14:textId="77777777" w:rsidR="00516860" w:rsidRPr="00FF3619" w:rsidRDefault="00516860" w:rsidP="00067A88">
      <w:pPr>
        <w:pStyle w:val="ListParagraph"/>
        <w:numPr>
          <w:ilvl w:val="0"/>
          <w:numId w:val="62"/>
        </w:numPr>
      </w:pPr>
      <w:r w:rsidRPr="00FF3619">
        <w:t>Completeness of records for EBV donor and recipient serology</w:t>
      </w:r>
    </w:p>
    <w:p w14:paraId="741BE56E" w14:textId="04B685F6" w:rsidR="00516860" w:rsidRPr="00FF3619" w:rsidRDefault="00516860" w:rsidP="00516860">
      <w:pPr>
        <w:pStyle w:val="GuidelineHeadings"/>
        <w:rPr>
          <w:b w:val="0"/>
          <w:bCs/>
        </w:rPr>
      </w:pPr>
      <w:r w:rsidRPr="00FF3619">
        <w:t xml:space="preserve">Guideline </w:t>
      </w:r>
      <w:r w:rsidR="00CD3444">
        <w:t>7</w:t>
      </w:r>
      <w:r w:rsidRPr="00FF3619">
        <w:t>.4 – KTR: Varicella Zoster Virus infection</w:t>
      </w:r>
    </w:p>
    <w:p w14:paraId="6D3D9EA0" w14:textId="77777777" w:rsidR="00516860" w:rsidRPr="00FF3619" w:rsidRDefault="00516860" w:rsidP="00067A88">
      <w:pPr>
        <w:pStyle w:val="ListParagraph"/>
        <w:numPr>
          <w:ilvl w:val="0"/>
          <w:numId w:val="61"/>
        </w:numPr>
      </w:pPr>
      <w:r w:rsidRPr="00FF3619">
        <w:t>Annual rates of primary VZV and shingles infection</w:t>
      </w:r>
    </w:p>
    <w:p w14:paraId="6FFB4F17" w14:textId="77777777" w:rsidR="00516860" w:rsidRPr="00FF3619" w:rsidRDefault="00516860" w:rsidP="00067A88">
      <w:pPr>
        <w:pStyle w:val="ListParagraph"/>
        <w:numPr>
          <w:ilvl w:val="0"/>
          <w:numId w:val="61"/>
        </w:numPr>
      </w:pPr>
      <w:r w:rsidRPr="00FF3619">
        <w:t>Completeness of records for VZV recipient serology in KTRs</w:t>
      </w:r>
    </w:p>
    <w:p w14:paraId="18995FA5" w14:textId="04C91BC2" w:rsidR="00516860" w:rsidRPr="00FF3619" w:rsidRDefault="00516860" w:rsidP="00516860">
      <w:pPr>
        <w:pStyle w:val="GuidelineHeadings"/>
      </w:pPr>
      <w:r w:rsidRPr="00FF3619">
        <w:t xml:space="preserve">Guideline </w:t>
      </w:r>
      <w:r w:rsidR="00CD3444">
        <w:t>7</w:t>
      </w:r>
      <w:r w:rsidRPr="00FF3619">
        <w:t xml:space="preserve">.5 – KTR: Herpes Simplex Virus infection </w:t>
      </w:r>
    </w:p>
    <w:p w14:paraId="4EF6FE34" w14:textId="77777777" w:rsidR="00516860" w:rsidRPr="00FF3619" w:rsidRDefault="00516860" w:rsidP="00067A88">
      <w:pPr>
        <w:pStyle w:val="ListParagraph"/>
        <w:numPr>
          <w:ilvl w:val="0"/>
          <w:numId w:val="60"/>
        </w:numPr>
      </w:pPr>
      <w:r w:rsidRPr="00FF3619">
        <w:t xml:space="preserve">Rates and outcomes of HSV infections </w:t>
      </w:r>
    </w:p>
    <w:p w14:paraId="2A091E21" w14:textId="0D2BFDE9" w:rsidR="00516860" w:rsidRPr="00516860" w:rsidRDefault="00516860" w:rsidP="00516860">
      <w:pPr>
        <w:pStyle w:val="GuidelineHeadings"/>
      </w:pPr>
      <w:r w:rsidRPr="00FF3619">
        <w:t xml:space="preserve">Guideline </w:t>
      </w:r>
      <w:r w:rsidR="00CD3444">
        <w:t>7</w:t>
      </w:r>
      <w:r w:rsidRPr="00FF3619">
        <w:t xml:space="preserve">.6 – KTR: BK </w:t>
      </w:r>
      <w:r>
        <w:t xml:space="preserve">viral associated </w:t>
      </w:r>
      <w:r w:rsidRPr="00FF3619">
        <w:t>nephropathy</w:t>
      </w:r>
    </w:p>
    <w:p w14:paraId="3AD5AEAE" w14:textId="77777777" w:rsidR="00516860" w:rsidRPr="00FF3619" w:rsidRDefault="00516860" w:rsidP="00067A88">
      <w:pPr>
        <w:pStyle w:val="ListParagraph"/>
        <w:numPr>
          <w:ilvl w:val="0"/>
          <w:numId w:val="64"/>
        </w:numPr>
      </w:pPr>
      <w:r w:rsidRPr="00FF3619">
        <w:t>Rates of BK viral infection in screening tests</w:t>
      </w:r>
    </w:p>
    <w:p w14:paraId="329B291F" w14:textId="77777777" w:rsidR="00516860" w:rsidRPr="00FF3619" w:rsidRDefault="00516860" w:rsidP="00067A88">
      <w:pPr>
        <w:pStyle w:val="ListParagraph"/>
        <w:numPr>
          <w:ilvl w:val="0"/>
          <w:numId w:val="64"/>
        </w:numPr>
      </w:pPr>
      <w:r w:rsidRPr="00FF3619">
        <w:t>Rates and outcomes of BK nephropathy</w:t>
      </w:r>
    </w:p>
    <w:p w14:paraId="1728B06F" w14:textId="212D218C" w:rsidR="00516860" w:rsidRPr="00FF3619" w:rsidRDefault="00516860" w:rsidP="00516860">
      <w:pPr>
        <w:pStyle w:val="GuidelineHeadings"/>
      </w:pPr>
      <w:r w:rsidRPr="00FF3619">
        <w:lastRenderedPageBreak/>
        <w:t xml:space="preserve">Guideline </w:t>
      </w:r>
      <w:r w:rsidR="00CD3444">
        <w:t>7</w:t>
      </w:r>
      <w:r w:rsidRPr="00FF3619">
        <w:t xml:space="preserve">.7 – KTR: Pneumocystis </w:t>
      </w:r>
      <w:proofErr w:type="spellStart"/>
      <w:r w:rsidRPr="00FF3619">
        <w:t>jirovecii</w:t>
      </w:r>
      <w:proofErr w:type="spellEnd"/>
      <w:r w:rsidRPr="00FF3619">
        <w:t xml:space="preserve"> infection- treatment and prophylaxis</w:t>
      </w:r>
    </w:p>
    <w:p w14:paraId="0F053F6F" w14:textId="77777777" w:rsidR="00516860" w:rsidRPr="00FF3619" w:rsidRDefault="00516860" w:rsidP="00067A88">
      <w:pPr>
        <w:pStyle w:val="ListParagraph"/>
        <w:numPr>
          <w:ilvl w:val="0"/>
          <w:numId w:val="66"/>
        </w:numPr>
      </w:pPr>
      <w:r w:rsidRPr="00FF3619">
        <w:t xml:space="preserve">Rates of PJP infection </w:t>
      </w:r>
    </w:p>
    <w:p w14:paraId="575F4623" w14:textId="77777777" w:rsidR="00516860" w:rsidRPr="00FF3619" w:rsidRDefault="00516860" w:rsidP="00067A88">
      <w:pPr>
        <w:pStyle w:val="ListParagraph"/>
        <w:numPr>
          <w:ilvl w:val="0"/>
          <w:numId w:val="66"/>
        </w:numPr>
      </w:pPr>
      <w:r w:rsidRPr="00FF3619">
        <w:t xml:space="preserve">Outcomes of PJP </w:t>
      </w:r>
      <w:proofErr w:type="spellStart"/>
      <w:r w:rsidRPr="00FF3619">
        <w:t>treatement</w:t>
      </w:r>
      <w:proofErr w:type="spellEnd"/>
    </w:p>
    <w:p w14:paraId="793F2BF1" w14:textId="71C5EFBD" w:rsidR="00516860" w:rsidRPr="00FF3619" w:rsidRDefault="009B0CA8" w:rsidP="00516860">
      <w:pPr>
        <w:pStyle w:val="GuidelineUpperHeadings"/>
      </w:pPr>
      <w:bookmarkStart w:id="19" w:name="_Toc213749030"/>
      <w:r>
        <w:t>8</w:t>
      </w:r>
      <w:r w:rsidR="00516860" w:rsidRPr="00FF3619">
        <w:t>. Kidney Transplant Recipient (KTR): Bone and Joint disease (Guidelines 9.1-8.7)</w:t>
      </w:r>
      <w:bookmarkEnd w:id="19"/>
    </w:p>
    <w:p w14:paraId="0785B0EB" w14:textId="76CCE7AE" w:rsidR="00516860" w:rsidRPr="00FF3619" w:rsidRDefault="00516860" w:rsidP="00516860">
      <w:pPr>
        <w:pStyle w:val="GuidelineHeadings"/>
      </w:pPr>
      <w:r w:rsidRPr="00FF3619">
        <w:t xml:space="preserve">Guideline </w:t>
      </w:r>
      <w:r w:rsidR="00CD3444">
        <w:t>8</w:t>
      </w:r>
      <w:r w:rsidRPr="00FF3619">
        <w:t>.1</w:t>
      </w:r>
      <w:r>
        <w:t xml:space="preserve"> </w:t>
      </w:r>
      <w:r w:rsidRPr="00516860">
        <w:t>–</w:t>
      </w:r>
      <w:r w:rsidRPr="00FF3619">
        <w:t xml:space="preserve"> KTR: Osteoporosis</w:t>
      </w:r>
    </w:p>
    <w:p w14:paraId="2EE0DE4B" w14:textId="77777777" w:rsidR="00516860" w:rsidRPr="00FF3619" w:rsidRDefault="00516860" w:rsidP="00067A88">
      <w:pPr>
        <w:pStyle w:val="ListParagraph"/>
        <w:numPr>
          <w:ilvl w:val="0"/>
          <w:numId w:val="69"/>
        </w:numPr>
      </w:pPr>
      <w:r w:rsidRPr="00FF3619">
        <w:t>Prevalence of KTRs on corticosteroids</w:t>
      </w:r>
    </w:p>
    <w:p w14:paraId="03BCC28F" w14:textId="77777777" w:rsidR="00516860" w:rsidRPr="00FF3619" w:rsidRDefault="00516860" w:rsidP="00067A88">
      <w:pPr>
        <w:pStyle w:val="ListParagraph"/>
        <w:numPr>
          <w:ilvl w:val="0"/>
          <w:numId w:val="69"/>
        </w:numPr>
      </w:pPr>
      <w:r w:rsidRPr="00FF3619">
        <w:t>Frequency of bisphosphonate usage amongst KTRs</w:t>
      </w:r>
    </w:p>
    <w:p w14:paraId="7B809D38" w14:textId="77777777" w:rsidR="00516860" w:rsidRPr="00FF3619" w:rsidRDefault="00516860" w:rsidP="00067A88">
      <w:pPr>
        <w:pStyle w:val="ListParagraph"/>
        <w:numPr>
          <w:ilvl w:val="0"/>
          <w:numId w:val="69"/>
        </w:numPr>
      </w:pPr>
      <w:r w:rsidRPr="00FF3619">
        <w:t>Incidence of fractures amongst KTRs</w:t>
      </w:r>
    </w:p>
    <w:p w14:paraId="33689102" w14:textId="2CFCE9B4" w:rsidR="00516860" w:rsidRPr="00FF3619" w:rsidRDefault="00516860" w:rsidP="00516860">
      <w:pPr>
        <w:pStyle w:val="GuidelineHeadings"/>
      </w:pPr>
      <w:r w:rsidRPr="00FF3619">
        <w:t xml:space="preserve">Guideline </w:t>
      </w:r>
      <w:r w:rsidR="00CD3444">
        <w:t>8</w:t>
      </w:r>
      <w:r w:rsidRPr="00FF3619">
        <w:t>.2</w:t>
      </w:r>
      <w:r>
        <w:t xml:space="preserve"> </w:t>
      </w:r>
      <w:r w:rsidRPr="00FF3619">
        <w:t>– KTR: Tertiary hyperparathyroidism</w:t>
      </w:r>
    </w:p>
    <w:p w14:paraId="4D8FDB95" w14:textId="77777777" w:rsidR="00516860" w:rsidRPr="00FF3619" w:rsidRDefault="00516860" w:rsidP="00067A88">
      <w:pPr>
        <w:pStyle w:val="ListParagraph"/>
        <w:numPr>
          <w:ilvl w:val="0"/>
          <w:numId w:val="71"/>
        </w:numPr>
      </w:pPr>
      <w:r w:rsidRPr="00FF3619">
        <w:t>Incidence of hyperparathyroidism</w:t>
      </w:r>
    </w:p>
    <w:p w14:paraId="22E7C583" w14:textId="77777777" w:rsidR="00516860" w:rsidRPr="00FF3619" w:rsidRDefault="00516860" w:rsidP="00067A88">
      <w:pPr>
        <w:pStyle w:val="ListParagraph"/>
        <w:numPr>
          <w:ilvl w:val="0"/>
          <w:numId w:val="71"/>
        </w:numPr>
      </w:pPr>
      <w:r w:rsidRPr="00FF3619">
        <w:t xml:space="preserve">Incidence of parathyroidectomy </w:t>
      </w:r>
    </w:p>
    <w:p w14:paraId="3090F906" w14:textId="77777777" w:rsidR="00516860" w:rsidRPr="00FF3619" w:rsidRDefault="00516860" w:rsidP="00067A88">
      <w:pPr>
        <w:pStyle w:val="ListParagraph"/>
        <w:numPr>
          <w:ilvl w:val="0"/>
          <w:numId w:val="71"/>
        </w:numPr>
      </w:pPr>
      <w:r w:rsidRPr="00FF3619">
        <w:t>Usage of cinacalcet</w:t>
      </w:r>
    </w:p>
    <w:p w14:paraId="2855EF54" w14:textId="77777777" w:rsidR="00CD3444" w:rsidRDefault="00516860" w:rsidP="00CD3444">
      <w:pPr>
        <w:pStyle w:val="GuidelineHeadings"/>
      </w:pPr>
      <w:r w:rsidRPr="00FF3619">
        <w:t xml:space="preserve">Guideline </w:t>
      </w:r>
      <w:r w:rsidR="00CD3444">
        <w:t>8</w:t>
      </w:r>
      <w:r w:rsidRPr="00FF3619">
        <w:t>.3 – KTR: Treatment and management of gout</w:t>
      </w:r>
    </w:p>
    <w:p w14:paraId="3A34692C" w14:textId="50675C8A" w:rsidR="008C7816" w:rsidRDefault="00516860" w:rsidP="00CD3444">
      <w:pPr>
        <w:pStyle w:val="ListParagraph"/>
        <w:numPr>
          <w:ilvl w:val="0"/>
          <w:numId w:val="82"/>
        </w:numPr>
      </w:pPr>
      <w:r w:rsidRPr="00FF3619">
        <w:t>Frequency of gout and hyperuricaemia amongst KTRs</w:t>
      </w:r>
    </w:p>
    <w:p w14:paraId="000C2DA3" w14:textId="1A229F64" w:rsidR="00516860" w:rsidRPr="00FF3619" w:rsidRDefault="009B0CA8" w:rsidP="00516860">
      <w:pPr>
        <w:pStyle w:val="GuidelineUpperHeadings"/>
      </w:pPr>
      <w:bookmarkStart w:id="20" w:name="_Toc213749031"/>
      <w:r>
        <w:t>9</w:t>
      </w:r>
      <w:r w:rsidR="00516860">
        <w:t xml:space="preserve">. </w:t>
      </w:r>
      <w:r w:rsidRPr="00306FF4">
        <w:t xml:space="preserve">Kidney Transplant Recipient (KTR): </w:t>
      </w:r>
      <w:r w:rsidR="00516860" w:rsidRPr="00FF3619">
        <w:t xml:space="preserve"> Haematological complications</w:t>
      </w:r>
      <w:bookmarkEnd w:id="20"/>
    </w:p>
    <w:p w14:paraId="02346740" w14:textId="77777777" w:rsidR="00516860" w:rsidRPr="00FF3619" w:rsidRDefault="00516860" w:rsidP="00067A88">
      <w:pPr>
        <w:pStyle w:val="ListParagraph"/>
        <w:numPr>
          <w:ilvl w:val="0"/>
          <w:numId w:val="75"/>
        </w:numPr>
      </w:pPr>
      <w:r w:rsidRPr="00FF3619">
        <w:t>The efficacy and safety of HIF-PH inhibitors amongst people with a functioning renal transplant in the management of PTA</w:t>
      </w:r>
    </w:p>
    <w:p w14:paraId="2F69B56D" w14:textId="77777777" w:rsidR="00516860" w:rsidRDefault="00516860" w:rsidP="00067A88">
      <w:pPr>
        <w:pStyle w:val="ListParagraph"/>
        <w:numPr>
          <w:ilvl w:val="0"/>
          <w:numId w:val="75"/>
        </w:numPr>
      </w:pPr>
      <w:r w:rsidRPr="00FF3619">
        <w:t xml:space="preserve">The efficacy and safety of SGLT2 inhibitors amongst people with a functioning renal transplant in the management of PTA </w:t>
      </w:r>
    </w:p>
    <w:p w14:paraId="4F072D78" w14:textId="499D2E47" w:rsidR="001161CA" w:rsidRPr="00FF3619" w:rsidRDefault="001161CA" w:rsidP="001161CA">
      <w:pPr>
        <w:pStyle w:val="GuidelineUpperHeadings"/>
      </w:pPr>
      <w:bookmarkStart w:id="21" w:name="_Toc213749032"/>
      <w:r>
        <w:t>1</w:t>
      </w:r>
      <w:r w:rsidR="009B0CA8">
        <w:t>0</w:t>
      </w:r>
      <w:r>
        <w:t xml:space="preserve">. </w:t>
      </w:r>
      <w:r w:rsidR="009B0CA8" w:rsidRPr="00306FF4">
        <w:t xml:space="preserve">Kidney Transplant Recipient (KTR): </w:t>
      </w:r>
      <w:r w:rsidRPr="00FF3619">
        <w:t>Reproductive issues and sexual function in the renal transplant recipient</w:t>
      </w:r>
      <w:bookmarkEnd w:id="21"/>
    </w:p>
    <w:p w14:paraId="3CD25375" w14:textId="77777777" w:rsidR="001161CA" w:rsidRPr="00FF3619" w:rsidRDefault="001161CA" w:rsidP="00067A88">
      <w:pPr>
        <w:numPr>
          <w:ilvl w:val="0"/>
          <w:numId w:val="77"/>
        </w:numPr>
        <w:spacing w:line="259" w:lineRule="auto"/>
      </w:pPr>
      <w:r w:rsidRPr="00FF3619">
        <w:t xml:space="preserve">Long-term monitoring of children born to renal transplant recipients is essential as they grow into adulthood to assess for potential subtle effects of immunosuppression exposure. </w:t>
      </w:r>
    </w:p>
    <w:p w14:paraId="6BD880E0" w14:textId="77777777" w:rsidR="001161CA" w:rsidRPr="00FF3619" w:rsidRDefault="001161CA" w:rsidP="00067A88">
      <w:pPr>
        <w:numPr>
          <w:ilvl w:val="0"/>
          <w:numId w:val="77"/>
        </w:numPr>
        <w:spacing w:line="259" w:lineRule="auto"/>
      </w:pPr>
      <w:r w:rsidRPr="00FF3619">
        <w:t xml:space="preserve">Comparative studies of bottle-fed infants exposed to immunosuppression in utero and breast-fed infants with peripartum exposure. </w:t>
      </w:r>
    </w:p>
    <w:p w14:paraId="450C32F8" w14:textId="6D6C5C47" w:rsidR="001161CA" w:rsidRDefault="001161CA" w:rsidP="00067A88">
      <w:pPr>
        <w:numPr>
          <w:ilvl w:val="0"/>
          <w:numId w:val="77"/>
        </w:numPr>
        <w:spacing w:line="259" w:lineRule="auto"/>
      </w:pPr>
      <w:r w:rsidRPr="00FF3619">
        <w:t xml:space="preserve">Further studies on the risks of assisted reproductive therapy in renal transplant recipients </w:t>
      </w:r>
      <w:proofErr w:type="gramStart"/>
      <w:r w:rsidRPr="00FF3619">
        <w:t>is</w:t>
      </w:r>
      <w:proofErr w:type="gramEnd"/>
      <w:r w:rsidRPr="00FF3619">
        <w:t xml:space="preserve"> warranted. </w:t>
      </w:r>
    </w:p>
    <w:p w14:paraId="711D1397" w14:textId="77777777" w:rsidR="001161CA" w:rsidRDefault="001161CA">
      <w:r>
        <w:br w:type="page"/>
      </w:r>
    </w:p>
    <w:p w14:paraId="3E3FEAA9" w14:textId="77777777" w:rsidR="00076320" w:rsidRPr="00214185" w:rsidRDefault="00076320" w:rsidP="00453296">
      <w:pPr>
        <w:pStyle w:val="Heading1"/>
      </w:pPr>
      <w:bookmarkStart w:id="22" w:name="_Toc213749033"/>
      <w:r w:rsidRPr="00453296">
        <w:lastRenderedPageBreak/>
        <w:t>Rationale for Clinical Practice Guidelines</w:t>
      </w:r>
      <w:bookmarkEnd w:id="22"/>
    </w:p>
    <w:p w14:paraId="351A395A" w14:textId="7820316C" w:rsidR="00076320" w:rsidRDefault="00453296" w:rsidP="00453296">
      <w:pPr>
        <w:pStyle w:val="GuidelineUpperHeadings"/>
      </w:pPr>
      <w:bookmarkStart w:id="23" w:name="_Toc213749034"/>
      <w:bookmarkStart w:id="24" w:name="_Hlk198736213"/>
      <w:r>
        <w:t xml:space="preserve">1. </w:t>
      </w:r>
      <w:r w:rsidR="00076320">
        <w:t>Kidney Transplant Recipient (KTR): Organisation of Outpatient Follow-up (Guidelines 1.1-1.4)</w:t>
      </w:r>
      <w:bookmarkEnd w:id="23"/>
    </w:p>
    <w:bookmarkEnd w:id="24"/>
    <w:p w14:paraId="4A16F102" w14:textId="37EC3D92" w:rsidR="00076320" w:rsidRPr="00CA50AA" w:rsidRDefault="00076320" w:rsidP="00076320">
      <w:pPr>
        <w:ind w:left="360"/>
        <w:rPr>
          <w:lang w:eastAsia="en-GB" w:bidi="en-GB"/>
        </w:rPr>
      </w:pPr>
      <w:r w:rsidRPr="00CA50AA">
        <w:rPr>
          <w:lang w:eastAsia="en-GB" w:bidi="en-GB"/>
        </w:rPr>
        <w:t>All KTRs should have ready access to a senior clinical opinion with appropriate knowledge and experience, and such a clinician should be available at renal transplant clinics. This may be a specialist, associate specialist and speciality doctor, consultant-level nurse, or medical or surgical consultant. The exact type of healthcare professional</w:t>
      </w:r>
      <w:r w:rsidR="004C583C">
        <w:rPr>
          <w:lang w:eastAsia="en-GB" w:bidi="en-GB"/>
        </w:rPr>
        <w:t xml:space="preserve"> may vary</w:t>
      </w:r>
      <w:r w:rsidRPr="00CA50AA">
        <w:rPr>
          <w:lang w:eastAsia="en-GB" w:bidi="en-GB"/>
        </w:rPr>
        <w:t>, but KTRs and junior staff should have access to an individual with appropriate knowledge and experience. This will also benefit the training of junior staff. A dedicated outpatient area is beneficial as it provides a familiar environment and staff experienced in managing</w:t>
      </w:r>
      <w:r w:rsidR="0033256F">
        <w:rPr>
          <w:lang w:eastAsia="en-GB" w:bidi="en-GB"/>
        </w:rPr>
        <w:t xml:space="preserve"> KTRs</w:t>
      </w:r>
      <w:r w:rsidRPr="00CA50AA">
        <w:rPr>
          <w:lang w:eastAsia="en-GB" w:bidi="en-GB"/>
        </w:rPr>
        <w:t xml:space="preserve">. </w:t>
      </w:r>
    </w:p>
    <w:p w14:paraId="6D28C638" w14:textId="6ED771E8" w:rsidR="00076320" w:rsidRDefault="00076320" w:rsidP="00076320">
      <w:pPr>
        <w:ind w:left="360"/>
        <w:rPr>
          <w:lang w:eastAsia="en-GB" w:bidi="en-GB"/>
        </w:rPr>
      </w:pPr>
      <w:r w:rsidRPr="00CA50AA">
        <w:rPr>
          <w:lang w:eastAsia="en-GB" w:bidi="en-GB"/>
        </w:rPr>
        <w:t>Prompt availability and formal review of test results are desirable since most complications can be resolved quickly if recognised early, particularly in the first few weeks after renal transplantation. Patient care should be carried out according to the principles laid out in the Department of Health (</w:t>
      </w:r>
      <w:proofErr w:type="spellStart"/>
      <w:r w:rsidRPr="00CA50AA">
        <w:rPr>
          <w:lang w:eastAsia="en-GB" w:bidi="en-GB"/>
        </w:rPr>
        <w:t>DoH</w:t>
      </w:r>
      <w:proofErr w:type="spellEnd"/>
      <w:r w:rsidRPr="00CA50AA">
        <w:rPr>
          <w:lang w:eastAsia="en-GB" w:bidi="en-GB"/>
        </w:rPr>
        <w:t>) leaflet “Achieving Excellence in Kidney Care”</w:t>
      </w:r>
      <w:r>
        <w:rPr>
          <w:lang w:eastAsia="en-GB" w:bidi="en-GB"/>
        </w:rPr>
        <w:t xml:space="preserve"> </w:t>
      </w:r>
      <w:r>
        <w:rPr>
          <w:lang w:eastAsia="en-GB" w:bidi="en-GB"/>
        </w:rPr>
        <w:fldChar w:fldCharType="begin"/>
      </w:r>
      <w:r w:rsidR="006528EA">
        <w:rPr>
          <w:lang w:eastAsia="en-GB" w:bidi="en-GB"/>
        </w:rPr>
        <w:instrText xml:space="preserve"> ADDIN ZOTERO_ITEM CSL_CITATION {"citationID":"hXxFJVdp","properties":{"formattedCitation":"\\super 1\\nosupersub{}","plainCitation":"1","noteIndex":0},"citationItems":[{"id":18968,"uris":["http://zotero.org/users/3444308/items/N9EEGNNB"],"itemData":{"id":18968,"type":"report","title":"Achieving Excellence in Kidney Care: Delivering the National Service Framework for Renal Services","author":[{"literal":"Department of Health"}],"accessed":{"date-parts":[["2025",10,21]]},"issued":{"date-parts":[["2009",12,14]]}}}],"schema":"https://github.com/citation-style-language/schema/raw/master/csl-citation.json"} </w:instrText>
      </w:r>
      <w:r>
        <w:rPr>
          <w:lang w:eastAsia="en-GB" w:bidi="en-GB"/>
        </w:rPr>
        <w:fldChar w:fldCharType="separate"/>
      </w:r>
      <w:r w:rsidR="00A04B9C" w:rsidRPr="00A04B9C">
        <w:rPr>
          <w:rFonts w:ascii="Calibri" w:hAnsi="Calibri" w:cs="Calibri"/>
          <w:vertAlign w:val="superscript"/>
        </w:rPr>
        <w:t>1</w:t>
      </w:r>
      <w:r>
        <w:rPr>
          <w:lang w:eastAsia="en-GB" w:bidi="en-GB"/>
        </w:rPr>
        <w:fldChar w:fldCharType="end"/>
      </w:r>
      <w:r w:rsidRPr="005D4D6C">
        <w:rPr>
          <w:vertAlign w:val="superscript"/>
          <w:lang w:eastAsia="en-GB" w:bidi="en-GB"/>
        </w:rPr>
        <w:t xml:space="preserve"> </w:t>
      </w:r>
      <w:r w:rsidRPr="00CA50AA">
        <w:rPr>
          <w:lang w:eastAsia="en-GB" w:bidi="en-GB"/>
        </w:rPr>
        <w:t>and the report by Kidney Research UK “Kidney Health Delivering Excellence”</w:t>
      </w:r>
      <w:r>
        <w:rPr>
          <w:lang w:eastAsia="en-GB" w:bidi="en-GB"/>
        </w:rPr>
        <w:t xml:space="preserve"> </w:t>
      </w:r>
      <w:r>
        <w:rPr>
          <w:lang w:eastAsia="en-GB" w:bidi="en-GB"/>
        </w:rPr>
        <w:fldChar w:fldCharType="begin"/>
      </w:r>
      <w:r w:rsidR="006528EA">
        <w:rPr>
          <w:lang w:eastAsia="en-GB" w:bidi="en-GB"/>
        </w:rPr>
        <w:instrText xml:space="preserve"> ADDIN ZOTERO_ITEM CSL_CITATION {"citationID":"jO4g1ztH","properties":{"formattedCitation":"\\super 2\\nosupersub{}","plainCitation":"2","noteIndex":0},"citationItems":[{"id":18967,"uris":["http://zotero.org/users/3444308/items/9QWBQTKX"],"itemData":{"id":18967,"type":"report","title":"Kidney Health: Delivering Excellence","author":[{"literal":"The Kidney Health Advisory Group"}],"issued":{"date-parts":[["2013"]]}}}],"schema":"https://github.com/citation-style-language/schema/raw/master/csl-citation.json"} </w:instrText>
      </w:r>
      <w:r>
        <w:rPr>
          <w:lang w:eastAsia="en-GB" w:bidi="en-GB"/>
        </w:rPr>
        <w:fldChar w:fldCharType="separate"/>
      </w:r>
      <w:r w:rsidR="00A04B9C" w:rsidRPr="00A04B9C">
        <w:rPr>
          <w:rFonts w:ascii="Calibri" w:hAnsi="Calibri" w:cs="Calibri"/>
          <w:vertAlign w:val="superscript"/>
        </w:rPr>
        <w:t>2</w:t>
      </w:r>
      <w:r>
        <w:rPr>
          <w:lang w:eastAsia="en-GB" w:bidi="en-GB"/>
        </w:rPr>
        <w:fldChar w:fldCharType="end"/>
      </w:r>
      <w:r>
        <w:rPr>
          <w:lang w:eastAsia="en-GB" w:bidi="en-GB"/>
        </w:rPr>
        <w:t>.</w:t>
      </w:r>
      <w:r w:rsidRPr="00CA50AA">
        <w:rPr>
          <w:lang w:eastAsia="en-GB" w:bidi="en-GB"/>
        </w:rPr>
        <w:t xml:space="preserve"> </w:t>
      </w:r>
    </w:p>
    <w:p w14:paraId="50495325" w14:textId="08FAE0B3" w:rsidR="00076320" w:rsidRPr="00E72613" w:rsidRDefault="00076320" w:rsidP="00076320">
      <w:pPr>
        <w:ind w:left="360"/>
      </w:pPr>
      <w:r>
        <w:t>Freedom from regular hospital attendance is an essential benefit of renal transplantation, balanced against the risks and prevention of complications. These risks (especially surgical complications) are highest in the immediate postoperative period and during the first few weeks following hospital discharge, when the burden of immunosuppression is</w:t>
      </w:r>
      <w:r w:rsidR="0033256F">
        <w:t xml:space="preserve"> high</w:t>
      </w:r>
      <w:r>
        <w:t xml:space="preserve"> </w:t>
      </w:r>
      <w:r>
        <w:fldChar w:fldCharType="begin"/>
      </w:r>
      <w:r w:rsidR="006528EA">
        <w:instrText xml:space="preserve"> ADDIN ZOTERO_ITEM CSL_CITATION {"citationID":"bPcEibi9","properties":{"formattedCitation":"\\super 3\\nosupersub{}","plainCitation":"3","noteIndex":0},"citationItems":[{"id":18966,"uris":["http://zotero.org/users/3444308/items/MGTKLDXK"],"itemData":{"id":18966,"type":"article-journal","abstract":"BACKGROUND AND AIMS: The aim of the study was to clarify the frequency and the sequel of surgical complications occurring within 1 year after renal transplantation.\nPATIENTS AND METHODS: Surgical complications after 1670 consecutive adult kidney transplantations performed between 2000 and 2009 were retrospectively analyzed. In 2%, a living-related allograft was used, and 10% were retransplantations. An intravesical technique without stenting was used for the ureteric implantation.\nRESULTS: There were 282 surgical complications occurring in 259 (15.5%) transplantations. Ureteral obstruction occurred in 53 (3.1%), lymphoceles in 39 (1.5%), postoperative hemorrhage in 36 (2.1%), and renal vein thrombosis in 22 (1.3%) patients, respectively. Out of the 17 lung emboli, 4 were fatal. Male recipients had twice as much ureteral stenosis as female (2.4 vs 1.2%, p &lt; 0.05), and the opposite was true of urinary leakage (1.8% vs 4.0%, p &lt; 0.025). Five-year patient and graft survival was impaired in patients with complications compared with patients without complications. Five-year patient survival was 92% versus 88% and graft survival 87% versus 74%.\nCONCLUSION: Surgical complications impair patient and graft survival after kidney transplantation.","container-title":"Scandinavian journal of surgery: SJS: official organ for the Finnish Surgical Society and the Scandinavian Surgical Society","DOI":"10.1177/1457496914565419","ISSN":"1799-7267","issue":"4","journalAbbreviation":"Scand J Surg","language":"eng","note":"PMID: 25567856","page":"254-259","source":"PubMed","title":"Surgical complications following 1670 consecutive adult renal transplantations: A single center study","title-short":"Surgical complications following 1670 consecutive adult renal transplantations","volume":"104","author":[{"family":"Lempinen","given":"M."},{"family":"Stenman","given":"J."},{"family":"Kyllönen","given":"L."},{"family":"Salmela","given":"K."}],"issued":{"date-parts":[["2015",12]]}}}],"schema":"https://github.com/citation-style-language/schema/raw/master/csl-citation.json"} </w:instrText>
      </w:r>
      <w:r>
        <w:fldChar w:fldCharType="separate"/>
      </w:r>
      <w:r w:rsidR="00A04B9C" w:rsidRPr="00A04B9C">
        <w:rPr>
          <w:rFonts w:ascii="Calibri" w:hAnsi="Calibri" w:cs="Calibri"/>
          <w:vertAlign w:val="superscript"/>
        </w:rPr>
        <w:t>3</w:t>
      </w:r>
      <w:r>
        <w:fldChar w:fldCharType="end"/>
      </w:r>
      <w:r>
        <w:t xml:space="preserve">. For typical patients, monitoring should be most frequent during this period and then diminish with time. Virtual renal clinics should be explored as a complementary form of KTR review as it might be more convenient for some patients. </w:t>
      </w:r>
    </w:p>
    <w:p w14:paraId="28079593" w14:textId="1D1231B3" w:rsidR="00076320" w:rsidRDefault="00076320" w:rsidP="00076320">
      <w:pPr>
        <w:ind w:left="360"/>
      </w:pPr>
      <w:r>
        <w:t xml:space="preserve">Patients should be encouraged to actively participate in their care according to principles embodied in the National Service Framework </w:t>
      </w:r>
      <w:r>
        <w:fldChar w:fldCharType="begin"/>
      </w:r>
      <w:r w:rsidR="006528EA">
        <w:instrText xml:space="preserve"> ADDIN ZOTERO_ITEM CSL_CITATION {"citationID":"HZX8MbJO","properties":{"formattedCitation":"\\super 1\\nosupersub{}","plainCitation":"1","noteIndex":0},"citationItems":[{"id":18968,"uris":["http://zotero.org/users/3444308/items/N9EEGNNB"],"itemData":{"id":18968,"type":"report","title":"Achieving Excellence in Kidney Care: Delivering the National Service Framework for Renal Services","author":[{"literal":"Department of Health"}],"accessed":{"date-parts":[["2025",10,21]]},"issued":{"date-parts":[["2009",12,14]]}}}],"schema":"https://github.com/citation-style-language/schema/raw/master/csl-citation.json"} </w:instrText>
      </w:r>
      <w:r>
        <w:fldChar w:fldCharType="separate"/>
      </w:r>
      <w:r w:rsidR="00A04B9C" w:rsidRPr="00A04B9C">
        <w:rPr>
          <w:rFonts w:ascii="Calibri" w:hAnsi="Calibri" w:cs="Calibri"/>
          <w:vertAlign w:val="superscript"/>
        </w:rPr>
        <w:t>1</w:t>
      </w:r>
      <w:r>
        <w:fldChar w:fldCharType="end"/>
      </w:r>
      <w:r>
        <w:t xml:space="preserve">. Interest in their blood results should be welcomed, and KTRs should be encouraged to use Patient View (https://www.patientview.org/; formerly known as Renal Patient View). Patient education is a crucial element in the success of renal transplantation, and easy access to information should be provided for all patients in different formats (e.g. paper-based and electronic). </w:t>
      </w:r>
    </w:p>
    <w:p w14:paraId="4601E7CB" w14:textId="0D660FC7" w:rsidR="00076320" w:rsidRDefault="00076320" w:rsidP="00076320">
      <w:pPr>
        <w:ind w:left="360"/>
      </w:pPr>
      <w:r w:rsidRPr="0019063D">
        <w:t xml:space="preserve">Since KTRs experience considerable late morbidity, which is unlikely to be appropriately managed in a traditional clinical setting (e.g. skin lesions, sexual dysfunction, weight gain/loss and psychological morbidity) </w:t>
      </w:r>
      <w:r w:rsidRPr="0019063D">
        <w:fldChar w:fldCharType="begin"/>
      </w:r>
      <w:r w:rsidR="006528EA">
        <w:instrText xml:space="preserve"> ADDIN ZOTERO_ITEM CSL_CITATION {"citationID":"lwE0MqJk","properties":{"formattedCitation":"\\super 4\\nosupersub{}","plainCitation":"4","noteIndex":0},"citationItems":[{"id":18965,"uris":["http://zotero.org/users/3444308/items/WD28JFVW"],"itemData":{"id":18965,"type":"article-journal","abstract":"Renal transplant recipients are at high risk for multiple non-melanoma skin cancers (NMSC) that occur at a younger age and behave more aggressively. Consequently, the American Society of Transplantation has recommended that physicians conduct annual screenings for NMSC in this population. Few centres currently offer a dedicated surveillance programme. This article discusses a model for skin cancer surveillance in which a trained nurse works within a validated competency programme to provide annual skin surveillance and education in the renal transplant outpatient clinic.","container-title":"Nephrology Nursing Journal: Journal of the American Nephrology Nurses' Association","ISSN":"1526-744X","issue":"3","journalAbbreviation":"Nephrol Nurs J","language":"eng","note":"PMID: 12164075","page":"257-259, 267","source":"PubMed","title":"A model for nurse-led skin cancer surveillance following renal transplantation","volume":"29","author":[{"family":"Reece","given":"Sarah M."},{"family":"Harden","given":"Paul N."},{"family":"Smith","given":"Andrew G."},{"family":"Ramsay","given":"Helen M."}],"issued":{"date-parts":[["2002",6]]}}}],"schema":"https://github.com/citation-style-language/schema/raw/master/csl-citation.json"} </w:instrText>
      </w:r>
      <w:r w:rsidRPr="0019063D">
        <w:fldChar w:fldCharType="separate"/>
      </w:r>
      <w:r w:rsidR="00A04B9C" w:rsidRPr="00A04B9C">
        <w:rPr>
          <w:rFonts w:ascii="Calibri" w:hAnsi="Calibri" w:cs="Calibri"/>
          <w:vertAlign w:val="superscript"/>
        </w:rPr>
        <w:t>4</w:t>
      </w:r>
      <w:r w:rsidRPr="0019063D">
        <w:fldChar w:fldCharType="end"/>
      </w:r>
      <w:r w:rsidRPr="0019063D">
        <w:t xml:space="preserve">, it seems sensible to facilitate periodic follow-up in a different and more holistic environment </w:t>
      </w:r>
      <w:r w:rsidRPr="0019063D">
        <w:fldChar w:fldCharType="begin"/>
      </w:r>
      <w:r w:rsidR="006528EA">
        <w:instrText xml:space="preserve"> ADDIN ZOTERO_ITEM CSL_CITATION {"citationID":"sGAz9zJJ","properties":{"formattedCitation":"\\super 5\\nosupersub{}","plainCitation":"5","noteIndex":0},"citationItems":[{"id":18964,"uris":["http://zotero.org/users/3444308/items/8WRVIUIV"],"itemData":{"id":18964,"type":"article-journal","abstract":"Renal transplant recipients now have an increased life expectancy, and this has highlighted the need for increased concern about the long-term complications associated with transplantation. To better manage renal transplant recipients over the long term, it is essential to schedule periodic clinic visits to detect problems and intervene in a timely fashion. Besides enabling early detection and possible treatment, periodic visits permit continuing patient education. Unfortunately, there is no scientifically based consensus that indicates what the optimal frequency and timing of such visits should be, although the AST has recently issued some guidelines. At the MINT, an Annual Review Clinic has been implemented to provide better service to renal transplant recipients over the long term. The clinic offers a comprehensive medical assessment, identifies and quantifies risk factors for CVD, and initiates referrals to appropriate specialists. The Annual Review Clinic increases patient awareness in a number of areas specific to transplantation, promotes a positive approach to healthcare, enables collection of structured data for analysis, and, with hope, engenders a significant degree of patient well-being and satisfaction. The medical community needs to continue long-term patient evaluation and clinical audit as means to improve long-term patient and graft survival, as well as patient quality of life.","container-title":"Transplantation","ISSN":"0041-1337","issue":"12 Suppl","journalAbbreviation":"Transplantation","language":"eng","note":"PMID: 11833148","page":"S94-98","source":"PubMed","title":"Clinical audit and long-term evaluation of renal transplant recipients","volume":"72","author":[{"family":"Short","given":"C. D."},{"family":"Russell","given":"S."},{"family":"Valentine","given":"A."}],"issued":{"date-parts":[["2001",12,27]]}}}],"schema":"https://github.com/citation-style-language/schema/raw/master/csl-citation.json"} </w:instrText>
      </w:r>
      <w:r w:rsidRPr="0019063D">
        <w:fldChar w:fldCharType="separate"/>
      </w:r>
      <w:r w:rsidR="00A04B9C" w:rsidRPr="00A04B9C">
        <w:rPr>
          <w:rFonts w:ascii="Calibri" w:hAnsi="Calibri" w:cs="Calibri"/>
          <w:vertAlign w:val="superscript"/>
        </w:rPr>
        <w:t>5</w:t>
      </w:r>
      <w:r w:rsidRPr="0019063D">
        <w:fldChar w:fldCharType="end"/>
      </w:r>
      <w:r w:rsidRPr="0019063D">
        <w:t xml:space="preserve">. </w:t>
      </w:r>
    </w:p>
    <w:p w14:paraId="522623D9" w14:textId="77777777" w:rsidR="00076320" w:rsidRDefault="00076320" w:rsidP="00076320">
      <w:pPr>
        <w:spacing w:after="46"/>
        <w:ind w:left="-5"/>
      </w:pPr>
    </w:p>
    <w:p w14:paraId="7E766984" w14:textId="19C6946E" w:rsidR="00076320" w:rsidRDefault="00453296" w:rsidP="00453296">
      <w:pPr>
        <w:pStyle w:val="GuidelineUpperHeadings"/>
      </w:pPr>
      <w:bookmarkStart w:id="25" w:name="_Toc213749035"/>
      <w:r>
        <w:t xml:space="preserve">2. </w:t>
      </w:r>
      <w:r w:rsidR="009B0CA8" w:rsidRPr="00306FF4">
        <w:t xml:space="preserve">Kidney Transplant Recipient (KTR): </w:t>
      </w:r>
      <w:r w:rsidR="00076320">
        <w:t>Immunosuppression with non-adherence</w:t>
      </w:r>
      <w:r w:rsidR="00BC4364">
        <w:t xml:space="preserve"> to medicines</w:t>
      </w:r>
      <w:r w:rsidR="00076320">
        <w:t xml:space="preserve"> (Guidelines 2.1-2.6.4)</w:t>
      </w:r>
      <w:bookmarkEnd w:id="25"/>
    </w:p>
    <w:p w14:paraId="1FBAE06C" w14:textId="5A4AFA37" w:rsidR="00076320" w:rsidRPr="00DA42A3" w:rsidRDefault="00076320" w:rsidP="00076320">
      <w:pPr>
        <w:spacing w:before="240" w:line="240" w:lineRule="auto"/>
        <w:jc w:val="both"/>
        <w:rPr>
          <w:rFonts w:cstheme="minorHAnsi"/>
        </w:rPr>
      </w:pPr>
      <w:r w:rsidRPr="00DA42A3">
        <w:rPr>
          <w:rFonts w:cstheme="minorHAnsi"/>
        </w:rPr>
        <w:lastRenderedPageBreak/>
        <w:t>Non-adherence with immunosuppressive medication is an important, potentially reversible, factor associated with allograft rejection and loss.  Some studies indicate up to one third of patients report regularly missing tablets</w:t>
      </w:r>
      <w:r>
        <w:rPr>
          <w:rFonts w:cstheme="minorHAnsi"/>
        </w:rPr>
        <w:t xml:space="preserve"> </w:t>
      </w:r>
      <w:r>
        <w:rPr>
          <w:rFonts w:cstheme="minorHAnsi"/>
        </w:rPr>
        <w:fldChar w:fldCharType="begin"/>
      </w:r>
      <w:r w:rsidR="006528EA">
        <w:rPr>
          <w:rFonts w:cstheme="minorHAnsi"/>
        </w:rPr>
        <w:instrText xml:space="preserve"> ADDIN ZOTERO_ITEM CSL_CITATION {"citationID":"zLIFmz0n","properties":{"formattedCitation":"\\super 6\\nosupersub{}","plainCitation":"6","noteIndex":0},"citationItems":[{"id":18963,"uris":["http://zotero.org/users/3444308/items/ABIDDAGB"],"itemData":{"id":18963,"type":"article-journal","abstract":"Nonadherence to immunosuppressants is recognized to occur after renal transplantation, but the size of its impact on transplant survival is not known. A systematic literature search identified 325 studies (in 324 articles) published from 1980 to 2001 reporting the frequency and impact of nonadherence in adult renal transplant recipients. Thirty-six studies meeting the inclusion criteria for further review were grouped into cross-sectional and cohort studies and case series. Meta-analysis was used to estimate the size of the impact of nonadherence on graft failure. Only two studies measured adherence using electronic monitoring, which is currently thought to be the most accurate measure. Cross-sectional studies (n=15) tended to rely on self-report questionnaires, but these were poorly described; a median (interquartile range) of 22% (18%-26%) of recipients were nonadherent. Cohort studies (n=10) indicated that nonadherence contributes substantially to graft loss; a median (interquartile range) of 36% (14%-65%) of graft losses were associated with prior nonadherence. Meta-analysis of these studies showed that the odds of graft failure increased sevenfold (95% confidence interval, 4%-12%) in nonadherent subjects compared with adherent subjects. Standardized methods of assessing adherence in clinical populations need to be developed, and future studies should attempt to identify the level of adherence that increases the risk of graft failure. However, this review shows nonadherence to be common and to have a large impact on transplant survival. Therefore, significant improvements in graft survival could be expected from effective interventions to improve adherence.","container-title":"Transplantation","DOI":"10.1097/01.tp.0000110408.83054.88","ISSN":"0041-1337","issue":"5","journalAbbreviation":"Transplantation","language":"eng","note":"PMID: 15021846","page":"769-776","source":"PubMed","title":"Frequency and impact of nonadherence to immunosuppressants after renal transplantation: a systematic review","title-short":"Frequency and impact of nonadherence to immunosuppressants after renal transplantation","volume":"77","author":[{"family":"Butler","given":"Janet A."},{"family":"Roderick","given":"Paul"},{"family":"Mullee","given":"Mark"},{"family":"Mason","given":"Juan C."},{"family":"Peveler","given":"Robert C."}],"issued":{"date-parts":[["2004",3,15]]}}}],"schema":"https://github.com/citation-style-language/schema/raw/master/csl-citation.json"}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6</w:t>
      </w:r>
      <w:r>
        <w:rPr>
          <w:rFonts w:cstheme="minorHAnsi"/>
        </w:rPr>
        <w:fldChar w:fldCharType="end"/>
      </w:r>
      <w:r w:rsidRPr="00DA42A3">
        <w:rPr>
          <w:rStyle w:val="Strong"/>
          <w:rFonts w:cstheme="minorHAnsi"/>
        </w:rPr>
        <w:t xml:space="preserve"> and the risk increases with time after implantation</w:t>
      </w:r>
      <w:r w:rsidRPr="00DA42A3">
        <w:rPr>
          <w:rFonts w:cstheme="minorHAnsi"/>
        </w:rPr>
        <w:t xml:space="preserve">.   In addition, loss of a transplant due to medication non- adherence can reduce the chances of a </w:t>
      </w:r>
      <w:r w:rsidR="00F10BCF" w:rsidRPr="00DA42A3">
        <w:rPr>
          <w:rFonts w:cstheme="minorHAnsi"/>
        </w:rPr>
        <w:t>well-matched</w:t>
      </w:r>
      <w:r w:rsidRPr="00DA42A3">
        <w:rPr>
          <w:rFonts w:cstheme="minorHAnsi"/>
        </w:rPr>
        <w:t xml:space="preserve"> subsequent graft due to sensitisation.  Characteristics associated with non-adherence can be broadly categorised into patient, disease, cultural and socioeconomic groups and should be discussed with prospective recipients and wider transplant multidisciplinary team </w:t>
      </w:r>
      <w:r w:rsidRPr="00DA42A3">
        <w:rPr>
          <w:rFonts w:cstheme="minorHAnsi"/>
          <w:i/>
        </w:rPr>
        <w:t>before</w:t>
      </w:r>
      <w:r w:rsidRPr="00DA42A3">
        <w:rPr>
          <w:rFonts w:cstheme="minorHAnsi"/>
        </w:rPr>
        <w:t xml:space="preserve"> wait listing.    Additional clinical parameters which raise suspicion of non-adherence after transplantation are well recognised and should be used to assess risk to long graft survival e.g. erratic or low immunosuppression levels, clinic non-attendance, psychiatric illness, low belief in the need for medication, adolescence and early adulthood</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{"citationID":"OEzy8aZZ","properties":{"formattedCitation":"\\super 7,8\\nosupersub{}","plainCitation":"7,8","noteIndex":0},"citationItems":[{"id":18961,"uris":["http://zotero.org/users/3444308/items/D5U59T96"],"itemData":{"id":18961,"type":"article-journal","abstract":"Medication non-adherence (MNA) is a major issue in kidney transplantation and it is associated with increased risk of rejection, allograft loss, patients' death and higher healthcare costs. Despite its crucial importance, it is still unclear what are the best strategies to diagnose, prevent and treat MNA. MNA can be intentional (deliberate refusal to take the medication as prescribed) or unintentional (non-deliberate missing the prescribed medication). Its diagnosis may rely on direct methods, aiming at measuring drug ingestions, or indirect methods that analyse the habits of patients to adhere to correct drug dose (taking adherence) and interval (time adherence). Identifying individual risk factors for MNA may provide the basis for a personalized approach to the treatment of MNA. Randomized control trials performed so far have tested a combination of strategies, such as enhancing medication adherence through the commitment of healthcare personnel involved in drug distribution, the use of electronic reminders, therapy simplification or various multidisciplinary approaches to maximize the correction of individual risk factors. Although most of these approaches reduced MNA in the short-term, the long-term effects on MNA and, more importantly, on clinical outcomes remain unclear. In this review, we provide a critical appraisal of traditional and newer methods for detecting, preventing and treating non-adherence to immunosuppression after kidney transplantation from the perspective of the practising physician.","container-title":"Clinical Kidney Journal","DOI":"10.1093/ckj/sfac017","ISSN":"2048-8505","issue":"7","journalAbbreviation":"Clin Kidney J","language":"eng","note":"PMID: 35756738\nPMCID: PMC9217626","page":"1253-1274","source":"PubMed","title":"Detecting, preventing and treating non-adherence to immunosuppression after kidney transplantation","volume":"15","author":[{"family":"Gandolfini","given":"Ilaria"},{"family":"Palmisano","given":"Alessandra"},{"family":"Fiaccadori","given":"Enrico"},{"family":"Cravedi","given":"Paolo"},{"family":"Maggiore","given":"Umberto"}],"issued":{"date-parts":[["2022",7]]}}},{"id":17546,"uris":["http://zotero.org/groups/6220082/items/XNSRFJZF"],"itemData":{"id":17546,"type":"article-journal","abstract":"Background: Transfusion</w:instrText>
      </w:r>
      <w:r w:rsidR="006528EA">
        <w:rPr>
          <w:rFonts w:ascii="Cambria Math" w:hAnsi="Cambria Math" w:cs="Cambria Math"/>
          <w:vertAlign w:val="superscript"/>
        </w:rPr>
        <w:instrText>‐</w:instrText>
      </w:r>
      <w:r w:rsidR="006528EA">
        <w:rPr>
          <w:rFonts w:cstheme="minorHAnsi"/>
          <w:vertAlign w:val="superscript"/>
        </w:rPr>
        <w:instrText>Associated Circulatory Overload (TACO) is increasingly recognized as a cause of significant morbidity and mortality amongst transfusion</w:instrText>
      </w:r>
      <w:r w:rsidR="006528EA">
        <w:rPr>
          <w:rFonts w:ascii="Cambria Math" w:hAnsi="Cambria Math" w:cs="Cambria Math"/>
          <w:vertAlign w:val="superscript"/>
        </w:rPr>
        <w:instrText>‐</w:instrText>
      </w:r>
      <w:r w:rsidR="006528EA">
        <w:rPr>
          <w:rFonts w:cstheme="minorHAnsi"/>
          <w:vertAlign w:val="superscript"/>
        </w:rPr>
        <w:instrText>recipients, particularly those with a history of cardiac and renal disease. While diuretics are standard of care for the treatment of congestive heart failure, it is unclear whether they are safe and effective for the prevention of TACO. There is an urgent need for a well</w:instrText>
      </w:r>
      <w:r w:rsidR="006528EA">
        <w:rPr>
          <w:rFonts w:ascii="Cambria Math" w:hAnsi="Cambria Math" w:cs="Cambria Math"/>
          <w:vertAlign w:val="superscript"/>
        </w:rPr>
        <w:instrText>‐</w:instrText>
      </w:r>
      <w:r w:rsidR="006528EA">
        <w:rPr>
          <w:rFonts w:cstheme="minorHAnsi"/>
          <w:vertAlign w:val="superscript"/>
        </w:rPr>
        <w:instrText>conducted randomized controlled trial (RCT) to address this question. Aims: To determine whether a double</w:instrText>
      </w:r>
      <w:r w:rsidR="006528EA">
        <w:rPr>
          <w:rFonts w:ascii="Cambria Math" w:hAnsi="Cambria Math" w:cs="Cambria Math"/>
          <w:vertAlign w:val="superscript"/>
        </w:rPr>
        <w:instrText>‐</w:instrText>
      </w:r>
      <w:r w:rsidR="006528EA">
        <w:rPr>
          <w:rFonts w:cstheme="minorHAnsi"/>
          <w:vertAlign w:val="superscript"/>
        </w:rPr>
        <w:instrText>blind RCT of pre</w:instrText>
      </w:r>
      <w:r w:rsidR="006528EA">
        <w:rPr>
          <w:rFonts w:ascii="Cambria Math" w:hAnsi="Cambria Math" w:cs="Cambria Math"/>
          <w:vertAlign w:val="superscript"/>
        </w:rPr>
        <w:instrText>‐</w:instrText>
      </w:r>
      <w:r w:rsidR="006528EA">
        <w:rPr>
          <w:rFonts w:cstheme="minorHAnsi"/>
          <w:vertAlign w:val="superscript"/>
        </w:rPr>
        <w:instrText>transfusion furosemide for the prevention of TACO in high</w:instrText>
      </w:r>
      <w:r w:rsidR="006528EA">
        <w:rPr>
          <w:rFonts w:ascii="Cambria Math" w:hAnsi="Cambria Math" w:cs="Cambria Math"/>
          <w:vertAlign w:val="superscript"/>
        </w:rPr>
        <w:instrText>‐</w:instrText>
      </w:r>
      <w:r w:rsidR="006528EA">
        <w:rPr>
          <w:rFonts w:cstheme="minorHAnsi"/>
          <w:vertAlign w:val="superscript"/>
        </w:rPr>
        <w:instrText>risk patients is feasible. Methods: Pilot double</w:instrText>
      </w:r>
      <w:r w:rsidR="006528EA">
        <w:rPr>
          <w:rFonts w:ascii="Cambria Math" w:hAnsi="Cambria Math" w:cs="Cambria Math"/>
          <w:vertAlign w:val="superscript"/>
        </w:rPr>
        <w:instrText>‐</w:instrText>
      </w:r>
      <w:r w:rsidR="006528EA">
        <w:rPr>
          <w:rFonts w:cstheme="minorHAnsi"/>
          <w:vertAlign w:val="superscript"/>
        </w:rPr>
        <w:instrText>blind placebo</w:instrText>
      </w:r>
      <w:r w:rsidR="006528EA">
        <w:rPr>
          <w:rFonts w:ascii="Cambria Math" w:hAnsi="Cambria Math" w:cs="Cambria Math"/>
          <w:vertAlign w:val="superscript"/>
        </w:rPr>
        <w:instrText>‐</w:instrText>
      </w:r>
      <w:r w:rsidR="006528EA">
        <w:rPr>
          <w:rFonts w:cstheme="minorHAnsi"/>
          <w:vertAlign w:val="superscript"/>
        </w:rPr>
        <w:instrText>controlled RCT of 20 mg IV furosemide was performed in adult inpatients 65 years or older and scheduled to receive a single unit of RBCS during regular working hours. The primary outcome was the time required to have 80 patients complete the study protocol. Secondary feasibility out</w:instrText>
      </w:r>
      <w:r w:rsidR="006528EA">
        <w:rPr>
          <w:rFonts w:ascii="Cambria Math" w:hAnsi="Cambria Math" w:cs="Cambria Math"/>
          <w:vertAlign w:val="superscript"/>
        </w:rPr>
        <w:instrText>‐</w:instrText>
      </w:r>
      <w:r w:rsidR="006528EA">
        <w:rPr>
          <w:rFonts w:cstheme="minorHAnsi"/>
          <w:vertAlign w:val="superscript"/>
        </w:rPr>
        <w:instrText>comes included proportion of RBC transfusions meeting eligibility criteria (target &gt; 10%), proportion of eligible patients enrolled (target &gt; 25%), and proportion of eligible patients complying with study protocol (goal &gt; 80%). Clinical outcomes measured included the incidence of TACO using standard definitional criteria, related cardiac and respiratory complications, and the incidence of hyponatremia, hypokalemia, hypotension and acute renal injury. Results: Nearly 10 months of enrollment was required before 80 patients completed the study protocol, a result of both fewer transfusions than expected meeting eligibility criteria (1.8% when analyzed at mid</w:instrText>
      </w:r>
      <w:r w:rsidR="006528EA">
        <w:rPr>
          <w:rFonts w:ascii="Cambria Math" w:hAnsi="Cambria Math" w:cs="Cambria Math"/>
          <w:vertAlign w:val="superscript"/>
        </w:rPr>
        <w:instrText>‐</w:instrText>
      </w:r>
      <w:r w:rsidR="006528EA">
        <w:rPr>
          <w:rFonts w:cstheme="minorHAnsi"/>
          <w:vertAlign w:val="superscript"/>
        </w:rPr>
        <w:instrText>trial) and of eligible patients consenting to participate (19.6%). Protocol compliance did not achieve 80% target primarily due to missing chart documentation by caregivers. Blinding was maintained through the study and during data analysis. Most enrolled patients were admitted for hema</w:instrText>
      </w:r>
      <w:r w:rsidR="006528EA">
        <w:rPr>
          <w:rFonts w:ascii="Cambria Math" w:hAnsi="Cambria Math" w:cs="Cambria Math"/>
          <w:vertAlign w:val="superscript"/>
        </w:rPr>
        <w:instrText>‐</w:instrText>
      </w:r>
      <w:r w:rsidR="006528EA">
        <w:rPr>
          <w:rFonts w:cstheme="minorHAnsi"/>
          <w:vertAlign w:val="superscript"/>
        </w:rPr>
        <w:instrText>tologic malignancy. 54% of enrollees had a history of cardiac disease, 30% had renal impairment and 33% were prescribed chronic diuretics. Treatment arms were well</w:instrText>
      </w:r>
      <w:r w:rsidR="006528EA">
        <w:rPr>
          <w:rFonts w:ascii="Cambria Math" w:hAnsi="Cambria Math" w:cs="Cambria Math"/>
          <w:vertAlign w:val="superscript"/>
        </w:rPr>
        <w:instrText>‐</w:instrText>
      </w:r>
      <w:r w:rsidR="006528EA">
        <w:rPr>
          <w:rFonts w:cstheme="minorHAnsi"/>
          <w:vertAlign w:val="superscript"/>
        </w:rPr>
        <w:instrText>balanced in regards to patient characteristics and transfusion therapy. A single case of TACO occurred in each arm of the study, for an overall incidence of 2.5% (95% CI 0.3</w:instrText>
      </w:r>
      <w:r w:rsidR="006528EA">
        <w:rPr>
          <w:rFonts w:ascii="Cambria Math" w:hAnsi="Cambria Math" w:cs="Cambria Math"/>
          <w:vertAlign w:val="superscript"/>
        </w:rPr>
        <w:instrText>‐</w:instrText>
      </w:r>
      <w:r w:rsidR="006528EA">
        <w:rPr>
          <w:rFonts w:cstheme="minorHAnsi"/>
          <w:vertAlign w:val="superscript"/>
        </w:rPr>
        <w:instrText>8.7%). Although volume status and chest imaging was not consistently performed in all patients, no difference was observed in post</w:instrText>
      </w:r>
      <w:r w:rsidR="006528EA">
        <w:rPr>
          <w:rFonts w:ascii="Cambria Math" w:hAnsi="Cambria Math" w:cs="Cambria Math"/>
          <w:vertAlign w:val="superscript"/>
        </w:rPr>
        <w:instrText>‐</w:instrText>
      </w:r>
      <w:r w:rsidR="006528EA">
        <w:rPr>
          <w:rFonts w:cstheme="minorHAnsi"/>
          <w:vertAlign w:val="superscript"/>
        </w:rPr>
        <w:instrText>transfusion change in vital signs or B</w:instrText>
      </w:r>
      <w:r w:rsidR="006528EA">
        <w:rPr>
          <w:rFonts w:ascii="Cambria Math" w:hAnsi="Cambria Math" w:cs="Cambria Math"/>
          <w:vertAlign w:val="superscript"/>
        </w:rPr>
        <w:instrText>‐</w:instrText>
      </w:r>
      <w:r w:rsidR="006528EA">
        <w:rPr>
          <w:rFonts w:cstheme="minorHAnsi"/>
          <w:vertAlign w:val="superscript"/>
        </w:rPr>
        <w:instrText>natriuretic peptide. No difference in cardiac or respiratory complications was observed, but there was a trend towards decreased 30</w:instrText>
      </w:r>
      <w:r w:rsidR="006528EA">
        <w:rPr>
          <w:rFonts w:ascii="Cambria Math" w:hAnsi="Cambria Math" w:cs="Cambria Math"/>
          <w:vertAlign w:val="superscript"/>
        </w:rPr>
        <w:instrText>‐</w:instrText>
      </w:r>
      <w:r w:rsidR="006528EA">
        <w:rPr>
          <w:rFonts w:cstheme="minorHAnsi"/>
          <w:vertAlign w:val="superscript"/>
        </w:rPr>
        <w:instrText>day mortality in patients randomized to pre</w:instrText>
      </w:r>
      <w:r w:rsidR="006528EA">
        <w:rPr>
          <w:rFonts w:ascii="Cambria Math" w:hAnsi="Cambria Math" w:cs="Cambria Math"/>
          <w:vertAlign w:val="superscript"/>
        </w:rPr>
        <w:instrText>‐</w:instrText>
      </w:r>
      <w:r w:rsidR="006528EA">
        <w:rPr>
          <w:rFonts w:cstheme="minorHAnsi"/>
          <w:vertAlign w:val="superscript"/>
        </w:rPr>
        <w:instrText>transfusion furosemide (5% v 17%, P = 0.09) which achieved statistical significance when extended to hospital length</w:instrText>
      </w:r>
      <w:r w:rsidR="006528EA">
        <w:rPr>
          <w:rFonts w:ascii="Cambria Math" w:hAnsi="Cambria Math" w:cs="Cambria Math"/>
          <w:vertAlign w:val="superscript"/>
        </w:rPr>
        <w:instrText>‐</w:instrText>
      </w:r>
      <w:r w:rsidR="006528EA">
        <w:rPr>
          <w:rFonts w:cstheme="minorHAnsi"/>
          <w:vertAlign w:val="superscript"/>
        </w:rPr>
        <w:instrText>of</w:instrText>
      </w:r>
      <w:r w:rsidR="006528EA">
        <w:rPr>
          <w:rFonts w:ascii="Cambria Math" w:hAnsi="Cambria Math" w:cs="Cambria Math"/>
          <w:vertAlign w:val="superscript"/>
        </w:rPr>
        <w:instrText>‐</w:instrText>
      </w:r>
      <w:r w:rsidR="006528EA">
        <w:rPr>
          <w:rFonts w:cstheme="minorHAnsi"/>
          <w:vertAlign w:val="superscript"/>
        </w:rPr>
        <w:instrText>stay (5% vs 24%, P =0.02). No difference between treatment arms was observed in regards to hyponatremia, hypokalemia, hypotension or renal injury. Summary/Conclusions: The pilot protocol for pre</w:instrText>
      </w:r>
      <w:r w:rsidR="006528EA">
        <w:rPr>
          <w:rFonts w:ascii="Cambria Math" w:hAnsi="Cambria Math" w:cs="Cambria Math"/>
          <w:vertAlign w:val="superscript"/>
        </w:rPr>
        <w:instrText>‐</w:instrText>
      </w:r>
      <w:r w:rsidR="006528EA">
        <w:rPr>
          <w:rFonts w:cstheme="minorHAnsi"/>
          <w:vertAlign w:val="superscript"/>
        </w:rPr>
        <w:instrText xml:space="preserve">transfusion diuresis for the prevention of TACO will require modification to achieve target feasibility outcomes before a larger RCT can be performed. The dose of furosemide studied appeared to be safe and may be associated with improved clinical outcomes.","archive_location":"CN-01613130","container-title":"Vox sanguinis","DOI":"10.1111/vox.12658","journalAbbreviation":"Vox sanguinis","page":"313","title":"Transfusion-associated circulatory overload: best eliminated with lasix®? results of a pilot, double-blind randomized controlled trial (taco-bel)","volume":"113","author":[{"family":"Pendergrast","given":"J"},{"family":"Armali","given":"C"},{"family":"Cserti-Gazdewich","given":"C"},{"family":"Hansen","given":"M"},{"family":"Kiss","given":"A"},{"family":"Lieberman","given":"L"},{"family":"Lin","given":"Y"},{"family":"Parmar","given":"N"},{"family":"Scales","given":"D"},{"family":"Skeate","given":"R"},{"literal":"et al."}],"issued":{"date-parts":[["2018"]]}}}],"schema":"https://github.com/citation-style-language/schema/raw/master/csl-citation.json"}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7,8</w:t>
      </w:r>
      <w:r>
        <w:rPr>
          <w:rFonts w:cstheme="minorHAnsi"/>
          <w:vertAlign w:val="superscript"/>
        </w:rPr>
        <w:fldChar w:fldCharType="end"/>
      </w:r>
      <w:r>
        <w:rPr>
          <w:rFonts w:cstheme="minorHAnsi"/>
        </w:rPr>
        <w:t>.</w:t>
      </w:r>
      <w:r>
        <w:rPr>
          <w:rFonts w:cstheme="minorHAnsi"/>
          <w:vertAlign w:val="superscript"/>
        </w:rPr>
        <w:t xml:space="preserve"> </w:t>
      </w:r>
      <w:r>
        <w:rPr>
          <w:rFonts w:cstheme="minorHAnsi"/>
        </w:rPr>
        <w:t>High w</w:t>
      </w:r>
      <w:r w:rsidRPr="00DA42A3">
        <w:rPr>
          <w:rFonts w:cstheme="minorHAnsi"/>
        </w:rPr>
        <w:t>ithin-patient variability of CNI levels has also been shown to be associated with poor graft outcomes and can readily be monitored in the clinic</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{"citationID":"4WuY5CP0","properties":{"formattedCitation":"\\super 9\\nosupersub{}","plainCitation":"9","noteIndex":0},"citationItems":[{"id":18960,"uris":["http://zotero.org/users/3444308/items/S5FSXP8D"],"itemData":{"id":18960,"type":"article-journal","abstract":"Within-patient variability in immunosuppressive drug exposure is easily identified by measurement of drug concentrations at the outpatient clinic. Fluctuating levels despite a stable drug dose can be observed in a substantial proportion of patients. It has now been shown that this within-patient variability is a predictor for poor long-term outcome after transplantation. Nonadherence most likely is an important determinant of variability, and strategies to tackle nonadherence are being developed.","container-title":"Kidney International","DOI":"10.1038/ki.2013.484","ISSN":"1523-1755","issue":"6","journalAbbreviation":"Kidney Int","language":"eng","note":"PMID: 24875549","page":"1267-1268","source":"PubMed","title":"Within-patient variability in immunosuppressive drug exposure as a predictor for poor outcome after transplantation","volume":"85","author":[{"family":"Gelder","given":"Teun","non-dropping-particle":"van"}],"issued":{"date-parts":[["2014",6]]}}}],"schema":"https://github.com/citation-style-language/schema/raw/master/csl-citation.json"}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9</w:t>
      </w:r>
      <w:r>
        <w:rPr>
          <w:rFonts w:cstheme="minorHAnsi"/>
          <w:vertAlign w:val="superscript"/>
        </w:rPr>
        <w:fldChar w:fldCharType="end"/>
      </w:r>
      <w:r w:rsidRPr="00DA42A3">
        <w:rPr>
          <w:rFonts w:cstheme="minorHAnsi"/>
        </w:rPr>
        <w:t xml:space="preserve">. </w:t>
      </w:r>
    </w:p>
    <w:p w14:paraId="5F403F43" w14:textId="22241EC2" w:rsidR="00076320" w:rsidRDefault="00076320" w:rsidP="00076320">
      <w:pPr>
        <w:spacing w:before="240" w:line="240" w:lineRule="auto"/>
        <w:jc w:val="both"/>
        <w:rPr>
          <w:rFonts w:cstheme="minorHAnsi"/>
          <w:b/>
        </w:rPr>
      </w:pPr>
      <w:r w:rsidRPr="00DA42A3">
        <w:rPr>
          <w:rFonts w:cstheme="minorHAnsi"/>
        </w:rPr>
        <w:t xml:space="preserve">Interventions to improve non-adherence include counselling from clinicians/ allied </w:t>
      </w:r>
      <w:r w:rsidR="00F10BCF" w:rsidRPr="00DA42A3">
        <w:rPr>
          <w:rFonts w:cstheme="minorHAnsi"/>
        </w:rPr>
        <w:t>health professionals</w:t>
      </w:r>
      <w:r w:rsidRPr="00DA42A3">
        <w:rPr>
          <w:rFonts w:cstheme="minorHAnsi"/>
        </w:rPr>
        <w:t xml:space="preserve"> with experience assisting transplant patients (</w:t>
      </w:r>
      <w:proofErr w:type="spellStart"/>
      <w:r w:rsidRPr="00DA42A3">
        <w:rPr>
          <w:rFonts w:cstheme="minorHAnsi"/>
        </w:rPr>
        <w:t>e.g</w:t>
      </w:r>
      <w:proofErr w:type="spellEnd"/>
      <w:r w:rsidRPr="00DA42A3">
        <w:rPr>
          <w:rFonts w:cstheme="minorHAnsi"/>
        </w:rPr>
        <w:t xml:space="preserve"> pharmacists, clinical psychologists, advance nurse practitioners), phone reminders, rationalising medication regimen to reduce dosing frequency.  Each</w:t>
      </w:r>
      <w:r w:rsidR="00E6514A">
        <w:rPr>
          <w:rFonts w:cstheme="minorHAnsi"/>
        </w:rPr>
        <w:t xml:space="preserve"> patient</w:t>
      </w:r>
      <w:r w:rsidRPr="00DA42A3">
        <w:rPr>
          <w:rFonts w:cstheme="minorHAnsi"/>
        </w:rPr>
        <w:t xml:space="preserve"> require</w:t>
      </w:r>
      <w:r w:rsidR="00E6514A">
        <w:rPr>
          <w:rFonts w:cstheme="minorHAnsi"/>
        </w:rPr>
        <w:t>s</w:t>
      </w:r>
      <w:r w:rsidRPr="00DA42A3">
        <w:rPr>
          <w:rFonts w:cstheme="minorHAnsi"/>
        </w:rPr>
        <w:t xml:space="preserve"> educating and involving all stake holders including patients and their relatives/care givers</w:t>
      </w:r>
      <w:r>
        <w:rPr>
          <w:rFonts w:cstheme="minorHAnsi"/>
        </w:rPr>
        <w:fldChar w:fldCharType="begin"/>
      </w:r>
      <w:r w:rsidR="006528EA">
        <w:rPr>
          <w:rFonts w:cstheme="minorHAnsi"/>
        </w:rPr>
        <w:instrText xml:space="preserve"> ADDIN ZOTERO_ITEM CSL_CITATION {"citationID":"g5V7ZhY9","properties":{"formattedCitation":"\\super 7\\nosupersub{}","plainCitation":"7","noteIndex":0},"citationItems":[{"id":18961,"uris":["http://zotero.org/users/3444308/items/D5U59T96"],"itemData":{"id":18961,"type":"article-journal","abstract":"Medication non-adherence (MNA) is a major issue in kidney transplantation and it is associated with increased risk of rejection, allograft loss, patients' death and higher healthcare costs. Despite its crucial importance, it is still unclear what are the best strategies to diagnose, prevent and treat MNA. MNA can be intentional (deliberate refusal to take the medication as prescribed) or unintentional (non-deliberate missing the prescribed medication). Its diagnosis may rely on direct methods, aiming at measuring drug ingestions, or indirect methods that analyse the habits of patients to adhere to correct drug dose (taking adherence) and interval (time adherence). Identifying individual risk factors for MNA may provide the basis for a personalized approach to the treatment of MNA. Randomized control trials performed so far have tested a combination of strategies, such as enhancing medication adherence through the commitment of healthcare personnel involved in drug distribution, the use of electronic reminders, therapy simplification or various multidisciplinary approaches to maximize the correction of individual risk factors. Although most of these approaches reduced MNA in the short-term, the long-term effects on MNA and, more importantly, on clinical outcomes remain unclear. In this review, we provide a critical appraisal of traditional and newer methods for detecting, preventing and treating non-adherence to immunosuppression after kidney transplantation from the perspective of the practising physician.","container-title":"Clinical Kidney Journal","DOI":"10.1093/ckj/sfac017","ISSN":"2048-8505","issue":"7","journalAbbreviation":"Clin Kidney J","language":"eng","note":"PMID: 35756738\nPMCID: PMC9217626","page":"1253-1274","source":"PubMed","title":"Detecting, preventing and treating non-adherence to immunosuppression after kidney transplantation","volume":"15","author":[{"family":"Gandolfini","given":"Ilaria"},{"family":"Palmisano","given":"Alessandra"},{"family":"Fiaccadori","given":"Enrico"},{"family":"Cravedi","given":"Paolo"},{"family":"Maggiore","given":"Umberto"}],"issued":{"date-parts":[["2022",7]]}}}],"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7</w:t>
      </w:r>
      <w:r>
        <w:rPr>
          <w:rFonts w:cstheme="minorHAnsi"/>
        </w:rPr>
        <w:fldChar w:fldCharType="end"/>
      </w:r>
      <w:r w:rsidRPr="00DA42A3">
        <w:rPr>
          <w:rStyle w:val="docsum-pmid"/>
          <w:rFonts w:cstheme="minorHAnsi"/>
        </w:rPr>
        <w:t>.  Initial results from randomised controlled trials demonstrate improvement around the time of intervention</w:t>
      </w:r>
      <w:r>
        <w:rPr>
          <w:rStyle w:val="docsum-pmid"/>
          <w:rFonts w:cstheme="minorHAnsi"/>
        </w:rPr>
        <w:fldChar w:fldCharType="begin"/>
      </w:r>
      <w:r w:rsidR="006528EA">
        <w:rPr>
          <w:rStyle w:val="docsum-pmid"/>
          <w:rFonts w:cstheme="minorHAnsi"/>
        </w:rPr>
        <w:instrText xml:space="preserve"> ADDIN ZOTERO_ITEM CSL_CITATION {"citationID":"jEeo5adT","properties":{"formattedCitation":"\\super 10,11\\nosupersub{}","plainCitation":"10,11","noteIndex":0},"citationItems":[{"id":18958,"uris":["http://zotero.org/users/3444308/items/KLBSWF7E"],"itemData":{"id":18958,"type":"article-journal","abstract":"PURPOSE: Solid-organ transplant recipients present a high rate of non-adherence to drug treatment. Few interventional studies have included approaches aimed at increasing adherence. The objective of this study was to evaluate the impact of an educational and behavioral strategy on treatment adherence of kidney transplant recipients.\nMETHODS: In a randomized prospective study, incident renal transplant patients (n = 111) were divided into two groups: control group (received usual transplant patient education) and treatment group (usual transplant patient education plus ten additional weekly 30-min education/counseling sessions about immunosuppressive drugs and behavioral changes). Treatment adherence was assessed using ITAS adherence questionnaire after 3 months. Renal function at 3, 6, and 12 months, and the incidence of transplant rejection were evaluated.\nRESULTS: The non-adherence rates were 46.4 and 14.5 % in the control and treatment groups (p = 0.001), respectively. The relative risk for non-adherence was 2.59 times (CI 1.38-4.88) higher in the control group. Multivariate analysis demonstrated a 5.84 times (CI 1.8-18.8, p = 0.003) higher risk of non-adherence in the control group. There were no differences in renal function and rejection rates between groups.\nCONCLUSIONS: A behavioral and educational strategy addressing the patient's perceptions and knowledge about the anti-rejection drugs significantly improved the short-term adherence to immunosuppressive therapy.","container-title":"International Urology and Nephrology","DOI":"10.1007/s11255-015-1104-z","ISSN":"1573-2584","issue":"11","journalAbbreviation":"Int Urol Nephrol","language":"eng","note":"PMID: 26377496","page":"1899-1905","source":"PubMed","title":"Behavioral measures to reduce non-adherence in renal transplant recipients: a prospective randomized controlled trial","title-short":"Behavioral measures to reduce non-adherence in renal transplant recipients","volume":"47","author":[{"family":"Garcia","given":"Márcia Fátima Faraldo Martinez"},{"family":"Bravin","given":"Ariane Moyses"},{"family":"Garcia","given":"Paula Dalsoglio"},{"family":"Contti","given":"Mariana Moraes"},{"family":"Nga","given":"Hong Si"},{"family":"Takase","given":"Henrique Mochida"},{"family":"Andrade","given":"Luis Gustavo Modelli","non-dropping-particle":"de"}],"issued":{"date-parts":[["2015",11]]}}},{"id":18959,"uris":["http://zotero.org/users/3444308/items/BWT9B35F"],"itemData":{"id":18959,"type":"article-journal","abstract":"BACKGROUND: Immunosuppressive medication non-adherence is one of the most prevalent but preventable causes of poor outcomes in adult renal transplant recipients, yet there is a paucity of studies testing interventions in this area.\nMETHODS: Using a randomized controlled trial design, 30 adult renal transplant recipients were screened for medication non-adherence using electronic monitoring. Fifteen non-adherent participants were randomized to receive either a continuous self-improvement intervention or attention control management. The six-month continuous self-improvement intervention involved the participant and clinical nurse specialist collaboratively identifying the person's life routines, important people, and possible solutions to enhance medication taking. The participant then received individual monthly medication taking feedback delivered via a graphic printout of daily medication taking generated from electronic monitoring.\nRESULTS: The mean medication adherence score for the continuous self-improvement intervention group (n = 8) was statistically significantly higher than the attention control group's (n = 5) mean medication adherence score (p = 0.03). The continuous self-improvement intervention effect size (Cohen's d) was large at 1.4. Participants' perceptions of the intervention were highly favorable.\nCONCLUSIONS: The continuous self-improvement intervention shows promise as an effective and feasible approach to improve medication adherence in adult renal transplant recipients. A fully-powered study with a diverse sample is needed to confirm these preliminary findings.","container-title":"Clinical Transplantation","DOI":"10.1111/j.1399-0012.2010.01358.x","ISSN":"1399-0012","issue":"6","journalAbbreviation":"Clin Transplant","language":"eng","note":"PMID: 21077956\nPMCID: PMC3130117","page":"864-870","source":"PubMed","title":"Taking immunosuppressive medications effectively (TIMELink): a pilot randomized controlled trial in adult kidney transplant recipients","title-short":"Taking immunosuppressive medications effectively (TIMELink)","volume":"25","author":[{"family":"Russell","given":"Cynthia"},{"family":"Conn","given":"Vicki"},{"family":"Ashbaugh","given":"Catherine"},{"family":"Madsen","given":"Richard"},{"family":"Wakefield","given":"Mark"},{"family":"Webb","given":"Andrew"},{"family":"Coffey","given":"Deanna"},{"family":"Peace","given":"Leanne"}],"issued":{"date-parts":[["2011"]]}}}],"schema":"https://github.com/citation-style-language/schema/raw/master/csl-citation.json"} </w:instrText>
      </w:r>
      <w:r>
        <w:rPr>
          <w:rStyle w:val="docsum-pmid"/>
          <w:rFonts w:cstheme="minorHAnsi"/>
        </w:rPr>
        <w:fldChar w:fldCharType="separate"/>
      </w:r>
      <w:r w:rsidR="00A04B9C" w:rsidRPr="00A04B9C">
        <w:rPr>
          <w:rFonts w:ascii="Calibri" w:hAnsi="Calibri" w:cs="Calibri"/>
          <w:vertAlign w:val="superscript"/>
        </w:rPr>
        <w:t>10,11</w:t>
      </w:r>
      <w:r>
        <w:rPr>
          <w:rStyle w:val="docsum-pmid"/>
          <w:rFonts w:cstheme="minorHAnsi"/>
        </w:rPr>
        <w:fldChar w:fldCharType="end"/>
      </w:r>
      <w:r w:rsidRPr="00DA42A3">
        <w:rPr>
          <w:rStyle w:val="Strong"/>
          <w:rFonts w:cstheme="minorHAnsi"/>
        </w:rPr>
        <w:t xml:space="preserve"> </w:t>
      </w:r>
      <w:r w:rsidRPr="00086216">
        <w:rPr>
          <w:rStyle w:val="Strong"/>
          <w:rFonts w:cstheme="minorHAnsi"/>
          <w:b w:val="0"/>
          <w:bCs w:val="0"/>
        </w:rPr>
        <w:t>but results in the longer term have been less beneficial.</w:t>
      </w:r>
      <w:r w:rsidRPr="00DA42A3">
        <w:rPr>
          <w:rFonts w:cstheme="minorHAnsi"/>
          <w:b/>
        </w:rPr>
        <w:t xml:space="preserve">  </w:t>
      </w:r>
    </w:p>
    <w:p w14:paraId="3EC7D7BD" w14:textId="77777777" w:rsidR="00076320" w:rsidRPr="00F036F7" w:rsidRDefault="00076320" w:rsidP="00076320">
      <w:pPr>
        <w:spacing w:before="240"/>
      </w:pPr>
      <w:r>
        <w:t xml:space="preserve">Immunosuppressive therapy for kidney transplantation has a wide and potentially serious side effect profile, including increased risk of cancer, cardiovascular disease and infection. Engagement with patients about anticipated short- and long-term side effects of immunosuppressive therapy allows discussions to be reassured about some anticipated side effects while informing others. This may aid treatment adherence and allay untoward concerns about medication side effects.  </w:t>
      </w:r>
    </w:p>
    <w:p w14:paraId="52D84FD4" w14:textId="4260168A" w:rsidR="00076320" w:rsidRDefault="00076320" w:rsidP="001161CA">
      <w:pPr>
        <w:spacing w:before="240"/>
        <w:ind w:left="-5"/>
      </w:pPr>
      <w:r>
        <w:t>Following an allogeneic renal transplant, there is an intense period of immunological activity during which recipient lymphocytes respond to allogeneic material.</w:t>
      </w:r>
      <w:r w:rsidR="00086216">
        <w:t xml:space="preserve"> </w:t>
      </w:r>
      <w:r w:rsidR="00067A88">
        <w:t>Immunosuppression</w:t>
      </w:r>
      <w:r w:rsidR="00086216">
        <w:t xml:space="preserve"> i</w:t>
      </w:r>
      <w:r>
        <w:t xml:space="preserve">nduction therapy aims to minimise this response and the risk of early graft rejection at a time when oral agents may not have reached effective concentrations. </w:t>
      </w:r>
    </w:p>
    <w:p w14:paraId="4F7B4C4F" w14:textId="5B5CA9EC" w:rsidR="00076320" w:rsidRDefault="00076320" w:rsidP="00076320">
      <w:pPr>
        <w:spacing w:before="240"/>
        <w:ind w:left="-5"/>
      </w:pPr>
      <w:r>
        <w:t xml:space="preserve">There is good evidence that IL2-RAs reduce the risk of early rejection compared to placebo. However, there is no definitive evidence of improved graft survival at three years, nor are there trials of adequate statistical power to answer the question of long-term benefits. However, some evidence from registry data suggests that the lower rejection rates might translate into better graft survival </w:t>
      </w:r>
      <w:r>
        <w:fldChar w:fldCharType="begin"/>
      </w:r>
      <w:r w:rsidR="006528EA">
        <w:instrText xml:space="preserve"> ADDIN ZOTERO_ITEM CSL_CITATION {"citationID":"Agci6Ca8","properties":{"formattedCitation":"\\super 12\\nosupersub{}","plainCitation":"12","noteIndex":0},"citationItems":[{"id":18957,"uris":["http://zotero.org/users/3444308/items/JG2279SR"],"itemData":{"id":18957,"type":"article-journal","abstract":"In renal transplantation, the use of interleukin-2 receptor antibody (IL-2Ra) has been associated with reduced rejection rates, but the effect of this agent on rejection severity and type, long-term graft function and risk of infection and malignancy-related mortality remains unclear. Using Australia and New Zealand Dialysis and Transplant Registry, all live- and deceased-donor renal transplant recipients in Australia between 2000 and 2006 were included. Of the 3344 renal transplant recipients, 1874 (56.0%) received no induction and 1470 (44.0%) had received IL-2Ra. Compared with no induction, IL-2Ra was associated with reduced rejection risk (relative risk 0.70, 95% CI 0.60, 0.81) and higher estimated glomerular filtration rate at 5 years (difference in means 3.51, 95% CI 0.83, 6.19). Severity and type of rejection were similar in both the groups. The adjusted rate of death attributed to malignancy for no induction and IL-2Ra per 1000 patient-years was 1.48 and 1.63, respectively, whereas death attributed to infection was 2.42 and 2.16 respectively. This registry analysis demonstrates that IL-2Ra induction in kidney transplantation is associated with substantial clinical benefits of reduced risk of acute rejection and improved long-term graft function without an increase in adverse events.","container-title":"Transplant International: Official Journal of the European Society for Organ Transplantation","DOI":"10.1111/j.1432-2277.2010.01124.x","ISSN":"1432-2277","issue":"12","journalAbbreviation":"Transpl Int","language":"eng","note":"PMID: 20536789","page":"1207-1215","source":"PubMed","title":"Effect of interleukin-2 receptor antibody therapy on acute rejection risk and severity, long-term renal function, infection and malignancy-related mortality in renal transplant recipients","volume":"23","author":[{"family":"Lim","given":"Wai"},{"family":"Chadban","given":"Steve"},{"family":"Campbell","given":"Scott"},{"family":"Dent","given":"Hannah"},{"family":"Russ","given":"Graeme"},{"family":"McDonald","given":"Stephen"}],"issued":{"date-parts":[["2010",12]]}}}],"schema":"https://github.com/citation-style-language/schema/raw/master/csl-citation.json"} </w:instrText>
      </w:r>
      <w:r>
        <w:fldChar w:fldCharType="separate"/>
      </w:r>
      <w:r w:rsidR="00A04B9C" w:rsidRPr="00A04B9C">
        <w:rPr>
          <w:rFonts w:ascii="Calibri" w:hAnsi="Calibri" w:cs="Calibri"/>
          <w:vertAlign w:val="superscript"/>
        </w:rPr>
        <w:t>12</w:t>
      </w:r>
      <w:r>
        <w:fldChar w:fldCharType="end"/>
      </w:r>
      <w:r>
        <w:t xml:space="preserve">. Pharmacoeconomic analysis has shown that these agents are cost-effective in the early post-transplant period, and this is embodied in the National Institute for Clinical Excellence (NICE) guidelines </w:t>
      </w:r>
      <w:r>
        <w:fldChar w:fldCharType="begin"/>
      </w:r>
      <w:r w:rsidR="006528EA">
        <w:instrText xml:space="preserve"> ADDIN ZOTERO_ITEM CSL_CITATION {"citationID":"uGCQSC06","properties":{"formattedCitation":"\\super 13,14\\nosupersub{}","plainCitation":"13,14","noteIndex":0},"citationItems":[{"id":18956,"uris":["http://zotero.org/users/3444308/items/VL8K4B82"],"itemData":{"id":18956,"type":"standard","abstract":"Evidence-based recommendations on immunosuppressive therapies for preventing kidney rejection in adults","language":"eng","publisher":"NICE","title":"Immunosuppressive therapy for kidney transplant in adults","URL":"https://www.nice.org.uk/guidance/ta481","author":[{"literal":"National Institute for Health and Care Excellence"}],"accessed":{"date-parts":[["2025",10,21]]},"issued":{"date-parts":[["2017",10,11]]}}},{"id":18955,"uris":["http://zotero.org/users/3444308/items/LN5BGQDM"],"itemData":{"id":18955,"type":"article-journal","abstract":"INTRODUCTION: Basiliximab is a chimeric monoclonal antibody directed against the alpha chain of interleukin-2 receptor (IL-2R). When administered intravenously at a dosage of 20 mg at the time of transplantation and 4 days later, basiliximab saturates the alpha chain of IL-2R for 4 weeks.\nAREAS COVERED: This review evaluates the efficacy and safety of basiliximab in kidney transplantation. Randomized controlled trials showed that basiliximab can significantly reduce the incidence of acute rejection without increasing the risk of adverse events. When compared with other antibodies used for induction, basiliximab showed efficacy and safety profiles similar to daclizumab, another monoclonal antibody directed against the alpha chain of IL-2R. In comparison with rabbit anti-thymocyte globulins (rATG), basiliximab showed a similar efficacy. However, in patients at higher risk of rejection, rATG proved to be more effective. No serious safety problems related to basiliximab have been reported.\nEXPERT OPINION: There is a solid evidence that basiliximab can significantly decrease the risk of acute rejection in kidney transplant recipients without increasing adverse events. This can allow decreased dosage or avoidance of glucocorticoids and reduced dosage of calcineurin inhibitors. On the basis of efficacy, tolerability, ease of administration, and cost effectiveness, basiliximab may be considered the drug of choice for the prophylaxis of acute rejection in standard renal transplant recipients.","container-title":"Expert Opinion on Drug Safety","DOI":"10.1517/14740338.2014.861816","ISSN":"1744-764X","issue":"3","journalAbbreviation":"Expert Opin Drug Saf","language":"eng","note":"PMID: 24266670","page":"373-381","source":"PubMed","title":"Basiliximab: efficacy and safety evaluation in kidney transplantation","title-short":"Basiliximab","volume":"13","author":[{"family":"Ponticelli","given":"Claudio"}],"issued":{"date-parts":[["2014",3]]}}}],"schema":"https://github.com/citation-style-language/schema/raw/master/csl-citation.json"} </w:instrText>
      </w:r>
      <w:r>
        <w:fldChar w:fldCharType="separate"/>
      </w:r>
      <w:r w:rsidR="00A04B9C" w:rsidRPr="00A04B9C">
        <w:rPr>
          <w:rFonts w:ascii="Calibri" w:hAnsi="Calibri" w:cs="Calibri"/>
          <w:vertAlign w:val="superscript"/>
        </w:rPr>
        <w:t>13,14</w:t>
      </w:r>
      <w:r>
        <w:fldChar w:fldCharType="end"/>
      </w:r>
      <w:r>
        <w:t xml:space="preserve">. </w:t>
      </w:r>
    </w:p>
    <w:p w14:paraId="482B59CD" w14:textId="07DB28CD" w:rsidR="00076320" w:rsidRDefault="00076320" w:rsidP="00076320">
      <w:pPr>
        <w:spacing w:before="240" w:after="51"/>
        <w:ind w:left="-5"/>
      </w:pPr>
      <w:r>
        <w:t xml:space="preserve">There is moderate evidence that TDAs reduce the risk of acute rejection in high-risk immunological recipients. However, this benefit is generally gained at the expense of </w:t>
      </w:r>
      <w:r>
        <w:lastRenderedPageBreak/>
        <w:t xml:space="preserve">increased side effects - particularly an increased incidence of malignancy, cytopenia and infection. Four randomised controlled trials comparing alemtuzumab to </w:t>
      </w:r>
      <w:proofErr w:type="spellStart"/>
      <w:r>
        <w:t>basiliximab</w:t>
      </w:r>
      <w:proofErr w:type="spellEnd"/>
      <w:r>
        <w:t xml:space="preserve"> in standard-risk patients have consistently demonstrated reduced acute rejection rates with alemtuzumab, but longer-term outcomes are still awaited </w:t>
      </w:r>
      <w:r>
        <w:rPr>
          <w:vertAlign w:val="superscript"/>
        </w:rPr>
        <w:fldChar w:fldCharType="begin"/>
      </w:r>
      <w:r w:rsidR="006528EA">
        <w:rPr>
          <w:vertAlign w:val="superscript"/>
        </w:rPr>
        <w:instrText xml:space="preserve"> ADDIN ZOTERO_ITEM CSL_CITATION {"citationID":"Y9lx5NN2","properties":{"formattedCitation":"\\super 15\\uc0\\u8211{}18\\nosupersub{}","plainCitation":"15–18","noteIndex":0},"citationItems":[{"id":18953,"uris":["http://zotero.org/users/3444308/items/YEQBQRES"],"itemData":{"id":18953,"type":"article-journal","abstract":"BACKGROUND: Calcineurin inhibitors (CNIs) reduce short-term kidney transplant failure, but might contribute to transplant failure in the long-term. The role of alemtuzumab (a potent lymphocyte-depleting antibody) as an induction treatment followed by an early reduction in CNI and mycophenolate exposure and steroid avoidance, after kidney transplantation is uncertain. We aimed to assess the efficacy and safety of alemtuzumab-based induction treatment compared with basiliximab-based induction treatment in patients receiving kidney transplants.\nMETHODS: For this randomised trial, we enrolled patients aged 18 years and older who were scheduled to receive a kidney transplant in the next 24 h from 18 transplant centres in the UK. Using minimised randomisation, we randomly assigned patients (1:1; minimised for age, sex, and immunological risk) to either alemtuzumab-based induction treatment (ie, alemtuzumab followed by low-dose tacrolimus and mycophenolate without steroids) or basiliximab-based induction treatment (basiliximab followed by standard-dose tacrolimus, mycophenolate, and prednisolone). Participants were reviewed at discharge from hospital and at 1, 3, 6, 9, and 12 months after transplantation. The primary outcome was biopsy-proven acute rejection at 6 months, analysed by intention to treat. The study is registered at ClinicalTrials.gov, number NCT01120028, and isrctn.org, number ISRCTN88894088.\nFINDINGS: Between Oct 4, 2010, and Jan 21, 2013, we randomly assigned 852 participants to treatment: 426 to alemtuzumab-based treatment and 426 to basiliximab-based treatment. Overall, individuals allocated to alemtuzumab-based treatment had a 58% proportional reduction in biopsy-proven acute rejection compared with those allocated to basiliximab-based treatment (31 [7%] patients in the alemtuzumab group vs 68 [16%] patients in the basiliximab group; hazard ratio (HR) 0·42, 95% CI 0·28-0·64; log-rank p&lt;0·0001). We detected no between-group difference in treatment effect on transplant failure during the first 6 months (16 [4%] patients vs 13 [3%] patients; HR 1·23, 0·59-2·55; p=0·58) or serious infection (135 [32%] patients vs 136 [32%] patients; HR 1·02, 0·80-1·29; p=0·88). During the first 6 months after transplantation, 11 (3%) patients given alemtuzumab-based treatment and six (1%) patients given basiliximab-based treatment died (HR 1·79, 95% CI 0·66-4·83; p=0·25).\nINTERPRETATION: Compared with standard basiliximab-based treatment, alemtuzumab-based induction therapy followed by reduced CNI and mycophenolate exposure and steroid avoidance reduced the risk of biopsy-proven acute rejection in a broad range of patients receiving a kidney transplant. Long-term follow-up of this trial will assess whether these effects translate into differences in long-term transplant function and survival.\nFUNDING: UK National Health Service Blood and Transplant Research and Development Programme, Pfizer, and Novartis UK.","container-title":"Lancet (London, England)","DOI":"10.1016/S0140-6736(14)61095-3","ISSN":"1474-547X","issue":"9955","journalAbbreviation":"Lancet","language":"eng","note":"PMID: 25078310","page":"1684-1690","source":"PubMed","title":"Alemtuzumab-based induction treatment versus basiliximab-based induction treatment in kidney transplantation (the 3C Study): a randomised trial","title-short":"Alemtuzumab-based induction treatment versus basiliximab-based induction treatment in kidney transplantation (the 3C Study)","volume":"384","author":[{"literal":"3C Study Collaborative Group"},{"family":"Haynes","given":"Richard"},{"family":"Harden","given":"Paul"},{"family":"Judge","given":"Parminder"},{"family":"Blackwell","given":"Lisa"},{"family":"Emberson","given":"Jonathan"},{"family":"Landray","given":"Martin J."},{"family":"Baigent","given":"Colin"},{"family":"Friend","given":"Peter J."}],"issued":{"date-parts":[["2014",11,8]]}}},{"id":18954,"uris":["http://zotero.org/users/3444308/items/QUX96SN8"],"itemData":{"id":18954,"type":"article-journal","abstract":"BACKGROUND: Immunosuppressive regimens for kidney transplantation which reduce the long-term burden of immunosuppression are attractive, but little data are available to judge the safety and efficacy of the different strategies used. We tested the hypothesis that the simple, cheap, regimen of alemtuzumab induction combined with tacrolimus monotherapy maintenance provided equivalent outcomes to the more commonly used combination of interleukin-2 receptor monoclonal antibody induction with tacrolimus and mycophenolate mofetil combination maintenance, both regimens using steroid withdrawal after 7 days.\nMETHODS: One hundred twenty-three live or deceased donor renal transplant recipients were randomized 2:1 to receive alemtuzumab/tacrolimus or daclizumab/tacrolimus/mycophenolate. The primary endpoint was survival with a functioning graft at 1 year.\nRESULTS: Both regimens produced equivalent, excellent outcomes with the primary outcome measure of 97.6% in the alemtuzumab arm and 95.1% in the daclizumab arm at 1 year (95% confidence interval of difference 6.9% to -1.7%) and at 2 years 92.6% and 95.1%. Rejection was less frequent in the alemtuzumab arm with 1- and 2-year rejection-free survival of 91.2% and 89.9% compared with 82.3% and 82.3% in the daclizumab arm. There were no significant differences in terms of the occurrence of opportunistic infections.\nCONCLUSION: Alemtuzumab induction with tacrolimus maintenance monotherapy and short-course steroid use provides a simple, safe, and effective immunosuppressive regimen for renal transplantation.","container-title":"Transplantation","DOI":"10.1097/TP.0b013e31822ca7ca","ISSN":"1534-6080","issue":"7","journalAbbreviation":"Transplantation","language":"eng","note":"PMID: 21836540","page":"774-780","source":"PubMed","title":"Kidney transplantation with minimized maintenance: alemtuzumab induction with tacrolimus monotherapy--an open label, randomized trial","title-short":"Kidney transplantation with minimized maintenance","volume":"92","author":[{"family":"Chan","given":"Kakit"},{"family":"Taube","given":"David"},{"family":"Roufosse","given":"Candice"},{"family":"Cook","given":"Terence"},{"family":"Brookes","given":"Paul"},{"family":"Goodall","given":"Dawn"},{"family":"Galliford","given":"Jack"},{"family":"Cairns","given":"Tom"},{"family":"Dorling","given":"Anthony"},{"family":"Duncan","given":"Neill"},{"family":"Hakim","given":"Nadey"},{"family":"Palmer","given":"Andrew"},{"family":"Papalois","given":"Vassilios"},{"family":"Warrens","given":"Anthony N."},{"family":"Willicombe","given":"Michelle"},{"family":"McLean","given":"Adam G."}],"issued":{"date-parts":[["2011",10,15]]}}},{"id":18952,"uris":["http://zotero.org/users/3444308/items/X7C66RTW"],"itemData":{"id":18952,"type":"article-journal","abstract":"BACKGROUND: There are few comparisons of antibody induction therapy allowing early glucocorticoid withdrawal in renal-transplant recipients. The purpose of the present study was to compare induction therapy involving alemtuzumab with the most commonly used induction regimens in patient populations at either high immunologic risk or low immunologic risk.\nMETHODS: In this prospective study, we randomly assigned patients to receive alemtuzumab or conventional induction therapy (basiliximab or rabbit antithymocyte globulin). Patients were stratified according to acute rejection risk, with a high risk defined by a repeat transplant, a peak or current value of panel-reactive antibodies of 20% or more, or black race. The 139 high-risk patients received alemtuzumab (one dose of 30 mg, in 70 patients) or rabbit antithymocyte globulin (a total of 6 mg per kilogram of body weight given over 4 days, in 69 patients). The 335 low-risk patients received alemtuzumab (one dose of 30 mg, in 164 patients) or basiliximab (a total of 40 mg over 4 days, in 171 patients). All patients received tacrolimus and mycophenolate mofetil and underwent a 5-day glucocorticoid taper in a regimen of early steroid withdrawal. The primary end point was biopsy-confirmed acute rejection at 6 months and 12 months. Patients were followed for 3 years for safety and efficacy end points.\nRESULTS: The rate of biopsy-confirmed acute rejection was significantly lower in the alemtuzumab group than in the conventional-therapy group at both 6 months (3% vs. 15%, P&lt;0.001) and 12 months (5% vs. 17%, P&lt;0.001). At 3 years, the rate of biopsy-confirmed acute rejection in low-risk patients was lower with alemtuzumab than with basiliximab (10% vs. 22%, P=0.003), but among high-risk patients, no significant difference was seen between alemtuzumab and rabbit antithymocyte globulin (18% vs. 15%, P=0.63). Adverse-event rates were similar among all four treatment groups.\nCONCLUSIONS: By the first year after transplantation, biopsy-confirmed acute rejection was less frequent with alemtuzumab than with conventional therapy. The apparent superiority of alemtuzumab with respect to early biopsy-confirmed acute rejection was restricted to patients at low risk for transplant rejection; among high-risk patients, alemtuzumab and rabbit antithymocyte globulin had similar efficacy. (Funded by Astellas Pharma Global Development; INTAC ClinicalTrials.gov number, NCT00113269.).","container-title":"The New England Journal of Medicine","DOI":"10.1056/NEJMoa1009546","ISSN":"1533-4406","issue":"20","journalAbbreviation":"N Engl J Med","language":"eng","note":"PMID: 21591943","page":"1909-1919","source":"PubMed","title":"Alemtuzumab induction in renal transplantation","volume":"364","author":[{"family":"Hanaway","given":"Michael J."},{"family":"Woodle","given":"E. Steve"},{"family":"Mulgaonkar","given":"Shamkant"},{"family":"Peddi","given":"V. Ram"},{"family":"Kaufman","given":"Dixon B."},{"family":"First","given":"M. Roy"},{"family":"Croy","given":"Richard"},{"family":"Holman","given":"John"},{"literal":"INTAC Study Group"}],"issued":{"date-parts":[["2011",5,19]]}}},{"id":18951,"uris":["http://zotero.org/users/3444308/items/DIHIRAU4"],"itemData":{"id":18951,"type":"article-journal","abstract":"BACKGROUND: The use of alemtuzumab as induction immunosuppression for renal transplantation introduces the possibility of long-term tacrolimus monotherapy, avoiding maintenance with both corticosteroids and mycophenolate mofetil (MMF).\nMETHODS: We conducted a single-center, prospective, open-label, randomized controlled trial comparing two steroid avoidance regimens between December 2006 and November 2010. One hundred and sixteen adult patients were randomized to either basiliximab induction followed by tacrolimus and MMF maintenance or to alemtuzumab induction followed by tacrolimus monotherapy. The primary endpoint was noninferiority of isotopic glomerular filtration rate at 1 year; secondary endpoints included patient and graft survival, incidence of delayed graft function, and incidence and severity of biopsy-proven acute rejection.\nRESULTS: The two groups were well matched for all baseline demographics. Isotopic glomerular filtration rate was comparable between the groups at 1 year (57±26 mL/min for alemtuzumab group and 53±21 mL/min for basiliximab group; P=0.42). Secondary endpoints were also similar between the groups. The rate of biopsy-proven acute rejection by 12 months was lower in the alemtuzumab group (n=6 vs. n=14 in basiliximab arm) just reaching statistical significance (P=0.049); however, a single extra case in the alemtuzumab arm included when considering clinically treated rejection removes this significance (P=0.082). Similar rates of cardiovascular, infective, and neoplastic complications were observed in both groups. Forty-seven (81.0%) of the patients in the alemtuzumab group remained on tacrolimus monotherapy at 12 months.\nCONCLUSIONS: Renal transplantation with alemtuzumab induction followed by tacrolimus monotherapy leads to good graft and patient outcomes, with no major differences detected compared with basiliximab induction and tacrolimus/MMF maintenance at 1 year.","container-title":"Transplantation","DOI":"10.1097/TP.0b013e3182a64db9","ISSN":"1534-6080","issue":"12","journalAbbreviation":"Transplantation","language":"eng","note":"PMID: 24056618","page":"1082-1088","source":"PubMed","title":"Alemtuzumab induction in renal transplantation permits safe steroid avoidance with tacrolimus monotherapy: a randomized controlled trial","title-short":"Alemtuzumab induction in renal transplantation permits safe steroid avoidance with tacrolimus monotherapy","volume":"96","author":[{"family":"Welberry Smith","given":"Matthew P."},{"family":"Cherukuri","given":"Aravind"},{"family":"Newstead","given":"Chas G."},{"family":"Lewington","given":"Andrew J. P."},{"family":"Ahmad","given":"Niaz"},{"family":"Menon","given":"Krish"},{"family":"Pollard","given":"Stephen G."},{"family":"Prasad","given":"Padmini"},{"family":"Tibble","given":"Steve"},{"family":"Giddings","given":"Emma"},{"family":"Baker","given":"Richard J."}],"issued":{"date-parts":[["2013",12,27]]}}}],"schema":"https://github.com/citation-style-language/schema/raw/master/csl-citation.json"}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15–18</w:t>
      </w:r>
      <w:r>
        <w:rPr>
          <w:vertAlign w:val="superscript"/>
        </w:rPr>
        <w:fldChar w:fldCharType="end"/>
      </w:r>
      <w:r>
        <w:t xml:space="preserve">. However, alemtuzumab has been associated with increased side effects in most studies and for most patients, it would seem unnecessary other than as part of a strategy to avoid other drugs, e.g. corticosteroids. Anti-thymocyte globulin has been shown to reduce the incidence of acute rejection in standard risk KTRs when compared to an IL2RA. Still, follow-up at ten years did not show any significant clinical differences between the two groups </w:t>
      </w:r>
      <w:r>
        <w:fldChar w:fldCharType="begin"/>
      </w:r>
      <w:r w:rsidR="006528EA">
        <w:instrText xml:space="preserve"> ADDIN ZOTERO_ITEM CSL_CITATION {"citationID":"gLC93pSy","properties":{"formattedCitation":"\\super 19\\nosupersub{}","plainCitation":"19","noteIndex":0},"citationItems":[{"id":18950,"uris":["http://zotero.org/users/3444308/items/BFRWKSHE"],"itemData":{"id":18950,"type":"article-journal","abstract":"BACKGROUND: Rabbit antithymocyte globulin (rATG, Thymoglobulin®) is the most common induction immunosuppression therapy in kidney transplantation. We applied a database integration strategy to capture and compare long-term (10-year) outcome data for US participants in a clinical trial of rATG versus FDA-approved basiliximab.\nMETHODS: Records for US participants in an international, 1-year, randomized clinical trial comparing rATG and basiliximab induction in deceased donor kidney transplantation were integrated with records from the US national Organ Procurement and Transplantation (OPTN) registry using center, transplant dates, recipient sex, and birthdates. The OPTN captures center-reported acute rejection, graft failure, death, and cancer events, and incorporates comprehensive death records from the Social Security Death Master File. Ten-year outcomes according to randomized induction regimen were compared by Kaplan-Meier analysis (two-sided P). Non-inferiority of rATG was assessed using a one-tailed equivalence test (a-priori equivalence margins of 0-10 %).\nRESULTS: Of 183 US trial participants, 89 % (n = 163) matched OPTN records exactly; the remainder were matched by extending agreement windows for transplant and birthdates. Matches were validated by donor and recipient blood types. By Kaplan-Meier analysis, 10 years post-transplant, freedom from acute rejection, graft failure, or death was 32.6 % and 24.0 % in the rATG and basiliximab arms, respectively (P = 0.09). The incidence of acute rejection with rATG versus basiliximab induction was 21.0 % versus 32.8 % (P = 0.07). Patient survival (52.8 % [Corrected] versus 52.2 %, P = 0.92) and graft survival (34.3 % versus 30.9 %, P = 0.56) rates were numerically and statistically similar for both arms. Comparison of the composite outcome meets non-inferiority criteria even with a 0 % equivalence margin (one-sided P = 0.04). With a 10 % equivalence margin, the odds that rATG is no worse than basiliximab for 10-year risk of the composite endpoint are &gt;99 %.\nCONCLUSIONS: Ten years post-transplant, rATG induction has comparable efficacy and safety to FDA-approved basiliximab. Integration of clinical trial records with national registry data can enable long-term monitoring of trial participants in transplantation, circumventing logistical and cost barriers of extended follow-up.\nTRIAL REGISTRATION: ClinicalTrials.gov NCT00235300.","container-title":"Trials","DOI":"10.1186/s13063-015-0891-y","ISSN":"1745-6215","journalAbbreviation":"Trials","language":"eng","note":"PMID: 26285695\nPMCID: PMC4545548","page":"365","source":"PubMed","title":"Long-term safety and efficacy of antithymocyte globulin induction: use of integrated national registry data to achieve ten-year follow-up of 10-10 Study participants","title-short":"Long-term safety and efficacy of antithymocyte globulin induction","volume":"16","author":[{"family":"Lentine","given":"Krista L."},{"family":"Schnitzler","given":"Mark A."},{"family":"Xiao","given":"Huiling"},{"family":"Brennan","given":"Daniel C."}],"issued":{"date-parts":[["2015",8,19]]}}}],"schema":"https://github.com/citation-style-language/schema/raw/master/csl-citation.json"} </w:instrText>
      </w:r>
      <w:r>
        <w:fldChar w:fldCharType="separate"/>
      </w:r>
      <w:r w:rsidR="00A04B9C" w:rsidRPr="00A04B9C">
        <w:rPr>
          <w:rFonts w:ascii="Calibri" w:hAnsi="Calibri" w:cs="Calibri"/>
          <w:vertAlign w:val="superscript"/>
        </w:rPr>
        <w:t>19</w:t>
      </w:r>
      <w:r>
        <w:fldChar w:fldCharType="end"/>
      </w:r>
      <w:r>
        <w:t xml:space="preserve">. A multicentre prospective RCT compared ATG to IL2RA in high-risk KTRs and demonstrated significantly reduced rejection rates but no significant difference in five-year outcomes </w:t>
      </w:r>
      <w:r>
        <w:fldChar w:fldCharType="begin"/>
      </w:r>
      <w:r w:rsidR="006528EA">
        <w:instrText xml:space="preserve"> ADDIN ZOTERO_ITEM CSL_CITATION {"citationID":"xQJNWSg5","properties":{"formattedCitation":"\\super 20\\nosupersub{}","plainCitation":"20","noteIndex":0},"citationItems":[{"id":18949,"uris":["http://zotero.org/users/3444308/items/R57XARWN"],"itemData":{"id":18949,"type":"article-journal","abstract":"We previously reported a randomized controlled trial in which 227 de novo deceased-donor kidney transplant recipients were randomized to rabbit antithymocyte (rATG, Thymoglobulin) or daclizumab if they were considered to be at high immunological risk, defined as high panel reactive antibodies (PRA), loss of a first kidney graft through rejection within 2 years of transplantation, or third or fourth transplantation. Patients treated with rATG had lower incidences of biopsy-proven acute rejection (BPAR) and steroid-resistant rejection at 1 year. Patients were followed to 5 years posttransplant in an observational study; findings are described here. Treatment with rATG was associated with a lower rate of BPAR at 5 years (14.2% vs. 26.0% with daclizumab; p = 0.035). Only one rATG-treated patient (0.9%) and one daclizumab-treated patient (1.0%) developed BPAR after 1 year. Five-year graft and patient survival rates, and renal function, were similar between the two groups. Overall graft survival at 5 years was significantly higher in patients without BPAR (81.0% vs. 54.8%; p &lt; 0.001). In conclusion, rATG is superior to daclizumab for the prevention of BPAR among high-immunological-risk renal transplant recipients. Overall graft survival at 5 years was approximately 70% with either induction therapy, which compares favorably to low-risk cohorts.","container-title":"American Journal of Transplantation: Official Journal of the American Society of Transplantation and the American Society of Transplant Surgeons","DOI":"10.1111/ajt.13191","ISSN":"1600-6143","issue":"7","journalAbbreviation":"Am J Transplant","language":"eng","note":"PMID: 25707875","page":"1923-1932","source":"PubMed","title":"Daclizumab Versus Rabbit Antithymocyte Globulin in High-Risk Renal Transplants: Five-Year Follow-up of a Randomized Study","title-short":"Daclizumab Versus Rabbit Antithymocyte Globulin in High-Risk Renal Transplants","volume":"15","author":[{"family":"Hellemans","given":"R."},{"family":"Hazzan","given":"M."},{"family":"Durand","given":"D."},{"family":"Mourad","given":"G."},{"family":"Lang","given":"P."},{"family":"Kessler","given":"M."},{"family":"Charpentier","given":"B."},{"family":"Touchard","given":"G."},{"family":"Berthoux","given":"F."},{"family":"Merville","given":"P."},{"family":"Ouali","given":"N."},{"family":"Squifflet","given":"J.-P."},{"family":"Bayle","given":"F."},{"family":"Wissing","given":"K. M."},{"family":"Noël","given":"C."},{"family":"Abramowicz","given":"D."}],"issued":{"date-parts":[["2015",7]]}}}],"schema":"https://github.com/citation-style-language/schema/raw/master/csl-citation.json"} </w:instrText>
      </w:r>
      <w:r>
        <w:fldChar w:fldCharType="separate"/>
      </w:r>
      <w:r w:rsidR="00A04B9C" w:rsidRPr="00A04B9C">
        <w:rPr>
          <w:rFonts w:ascii="Calibri" w:hAnsi="Calibri" w:cs="Calibri"/>
          <w:vertAlign w:val="superscript"/>
        </w:rPr>
        <w:t>20</w:t>
      </w:r>
      <w:r>
        <w:fldChar w:fldCharType="end"/>
      </w:r>
      <w:r>
        <w:t>. Similarly, ATG may reduce acute rejection rates in black KTRs and reduce the incidence of antibody-mediated rejection (AMR) and donor-specific antibody production, but long-term evidence of benefit is lacking</w:t>
      </w:r>
      <w:r>
        <w:rPr>
          <w:vertAlign w:val="superscript"/>
        </w:rPr>
        <w:t xml:space="preserve"> </w:t>
      </w:r>
      <w:r>
        <w:rPr>
          <w:vertAlign w:val="superscript"/>
        </w:rPr>
        <w:fldChar w:fldCharType="begin"/>
      </w:r>
      <w:r w:rsidR="006528EA">
        <w:rPr>
          <w:vertAlign w:val="superscript"/>
        </w:rPr>
        <w:instrText xml:space="preserve"> ADDIN ZOTERO_ITEM CSL_CITATION {"citationID":"oJn1PT4U","properties":{"formattedCitation":"\\super 21,22\\nosupersub{}","plainCitation":"21,22","noteIndex":0},"citationItems":[{"id":18948,"uris":["http://zotero.org/users/3444308/items/2GSQINDE"],"itemData":{"id":18948,"type":"article-journal","abstract":"BACKGROUND: Recent evidence suggests that de novo donor-specific antibodies (dnDSA) are associated with antibody-mediated rejection (ABMR) and graft failure after kidney transplantation. The effects of induction immunosuppression on dnDSA are unknown.\nMETHODS: The study population comprised 114 consecutive moderately sensitized (positive DSA and negative flow crossmatch) recipients who received deceased donor renal transplants between December 2009 and November 2011. Patients were divided into two groups based on induction immunosuppression: antithymocyte globulin (ATG) (n=85) or basiliximab (n=29) and were followed up for 36 months.\nRESULTS: Patients in the ATG group received a mean dose of 4.98 mg/kg ± 7.9 mg/kg, had a significantly higher PRA, and received more plasmapheresis and IVIG at the time of transplant. The incidence of dnDSA (P=0.02, HR=0.33, 95% CI 0.09-1.24) and ABMR (P=0.002, HR=0.2, 95% CI 0.04-0.87) was significantly lower in the ATG group. In multivariate regression analyses, ATG induction was the single most important variable associated with both ABMR and dnDSA.\nCONCLUSIONS: In moderately sensitized deceased donor renal transplant recipients, induction with ATG is associated with a reduction in the occurrence of dnDSA and ABMR when compared with basiliximab.","container-title":"Transplantation","DOI":"10.1097/TP.0000000000000031","ISSN":"1534-6080","issue":"6","journalAbbreviation":"Transplantation","language":"eng","note":"PMID: 24531846\nPMCID: PMC4106033","page":"612-617","source":"PubMed","title":"Antithymocyte globulin is associated with a lower incidence of de novo donor-specific antibodies in moderately sensitized renal transplant recipients","volume":"97","author":[{"family":"Brokhof","given":"Marissa M."},{"family":"Sollinger","given":"Hans W."},{"family":"Hager","given":"David R."},{"family":"Muth","given":"Brenda L."},{"family":"Pirsch","given":"John D."},{"family":"Fernandez","given":"Luis A."},{"family":"Bellingham","given":"Janet M."},{"family":"Mezrich","given":"Joshua D."},{"family":"Foley","given":"David P."},{"family":"D'Alessandro","given":"Anthony M."},{"family":"Odorico","given":"Jon S."},{"family":"Mohamed","given":"Maha A."},{"family":"Vidyasagar","given":"Vijay"},{"family":"Ellis","given":"Thomas M."},{"family":"Kaufman","given":"Dixon B."},{"family":"Djamali","given":"Arjang"}],"issued":{"date-parts":[["2014",3,27]]}}},{"id":18947,"uris":["http://zotero.org/users/3444308/items/LNXVZ9TM"],"itemData":{"id":18947,"type":"article-journal","abstract":"OBJECTIVE: The aim of this study was to determine the safety and efficacy of induction with rabbit antithymocyte globulin (RATG) compared with interleukin-2 receptor antagonists in a racially diverse kidney transplant patient population under modern immunosuppression.\nBACKGROUND: The optimal induction therapy in patients at risk for rejection, particularly black recipients, in the modern era of immunosuppression with flow cytometry-based cross-matching is unclear.\nMETHODS: This was a prospective, risk-stratified, randomized, single-center, open-label study of 200 consecutively enrolled patients in a large academic teaching center. Patients were randomized to receive either daclizumab or basiliximab versus RATG for induction in combination with tacrolimus, mycophenolate mofetil, and corticosteroids. Patients were stratified between groups to ensure equal numbers of black, retransplants, high panel reactive antibodies (PRAs) (&gt;20%), and prolonged cold ischemic times (&gt;24 hours) in each group. Primary outcome measure is treatment efficacy defined as the incidence of biopsy-proven acute rejection and estimated creatinine clearance. Patients were followed up for 12 months. Renal transplant recipients were included if they were adult (≥18 years old) and received an allograft from a deceased, living unrelated, or nonhuman leukocyte antigen identical living-related donor.\nRESULTS: A total of 200 patients (n = 98 in the interleukin-2 receptor antagonists, and n = 102 in the RATG) were enrolled from February 2009 through July 2011. One-year acute rejection rates were low and similar between groups (10% in the interleukin-2 receptor antagonist group vs 6% in the RATG group; P = 0.30). Creatinine clearance was also similar between groups (interleukin-2 receptor antagonist group 56 ± 20 mL/min per 1.73 m2 vs RATG group 55 ± 22 mL/min per 1.73 m2; P = 0.73). Subanalysis of recipient race revealed that in blacks only RATG was protective against 6- and 12-month acute rejection, without an increased risk of infection. Induction did not affect rejection rates according to recipient calculated PRAs; however, RATG was associated with an increased risk of BK virus in low-PRA patients.\nCONCLUSIONS AND RELEVANCE: RATG induction provides improved protection against early acute rejection in black renal transplant recipients, whereas sensitized patients do not seem to demonstrate a similar benefit from this therapy. This study is registered at Clinicaltrials.gov (NCT00859131).","container-title":"Annals of Surgery","DOI":"10.1097/SLA.0000000000000496","ISSN":"1528-1140","issue":"5","journalAbbreviation":"Ann Surg","language":"eng","note":"PMID: 24513787","page":"888-893","source":"PubMed","title":"Prospective randomized controlled trial of rabbit antithymocyte globulin compared with IL-2 receptor antagonist induction therapy in kidney transplantation","volume":"259","author":[{"family":"Pilch","given":"Nicole A."},{"family":"Taber","given":"David J."},{"family":"Moussa","given":"Omar"},{"family":"Thomas","given":"Beje"},{"family":"Denmark","given":"Signe"},{"family":"Meadows","given":"Holly B."},{"family":"McGillicuddy","given":"John W."},{"family":"Srinivas","given":"Titte R."},{"family":"Baliga","given":"Prabhakar K."},{"family":"Chavin","given":"Kenneth D."}],"issued":{"date-parts":[["2014",5]]}}}],"schema":"https://github.com/citation-style-language/schema/raw/master/csl-citation.json"}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21,22</w:t>
      </w:r>
      <w:r>
        <w:rPr>
          <w:vertAlign w:val="superscript"/>
        </w:rPr>
        <w:fldChar w:fldCharType="end"/>
      </w:r>
      <w:r>
        <w:t xml:space="preserve">. </w:t>
      </w:r>
    </w:p>
    <w:p w14:paraId="4220E4EA" w14:textId="3255C3E6" w:rsidR="00076320" w:rsidRPr="006E77C8" w:rsidRDefault="00076320" w:rsidP="00076320">
      <w:pPr>
        <w:spacing w:before="240"/>
        <w:ind w:left="-5"/>
      </w:pPr>
      <w:r>
        <w:t xml:space="preserve">There is limited evidence to suggest that the clinical profile of alemtuzumab differs from that of other T cell-depleting antibodies, with a lower incidence of post-transplant lymphoproliferative disease (PTLD) </w:t>
      </w:r>
      <w:r>
        <w:fldChar w:fldCharType="begin"/>
      </w:r>
      <w:r w:rsidR="006528EA">
        <w:instrText xml:space="preserve"> ADDIN ZOTERO_ITEM CSL_CITATION {"citationID":"MpBPUKGS","properties":{"formattedCitation":"\\super 23\\nosupersub{}","plainCitation":"23","noteIndex":0},"citationItems":[{"id":18946,"uris":["http://zotero.org/users/3444308/items/NAWHJK7T"],"itemData":{"id":18946,"type":"article-journal","abstract":"Transplant patients are at the risk for posttransplant lymphoproliferative disease (PTLD), a virally-driven malignancy. Induction with the depleting antibody preparations Thymoglobulin and OKT3 is associated with PTLD suggesting that the T-cell depletion increases PTLD risk. We therefore studied 59 560 kidney recipients from the Organ Procurement and Transplantation Network/United Network for Organ Sharing (OPTN/UNOS) database for a relationship between induction agent use and PTLD. Two agents with comparable T-cell depletional effects, alemtuzumab and Thymoglobulin, were compared to nondepletional induction agents or no induction. The overall incidence of PTLD was 0.46% and differed significantly by induction strategy (p &lt; 0.01): without induction (0.43%), basiliximab (0.38%), daclizumab (0.33%), Thymoglobulin (0.67%) and alemtuzumab (0.37%). Thymoglobulin was associated with significantly increased PTLD risk (p = 0.0025), but alemtuzumab (p = 0.74), basiliximab (p = 0.33) and daclizumab, which trended toward a protective effect (p = 0.06), were not. Alemtuzumab and Thymoglobulin treated patients did not differ in any established parameter affecting PTLD risk although alemtuzumab is known to have a more pronounced B-cell depleting effect. Interestingly, maintenance therapy with an mTOR inhibitor was strongly associated with PTLD (0.71%, p &lt; 0.0001). Thus, depletional induction is not an independent risk factor for PTLD. Rather, maintenance drug selection or perhaps the balance between B- and T-cell depletion may be more relevant determinants of PTLD risk.","container-title":"American Journal of Transplantation: Official Journal of the American Society of Transplantation and the American Society of Transplant Surgeons","DOI":"10.1111/j.1600-6143.2007.01972.x","ISSN":"1600-6135","issue":"11","journalAbbreviation":"Am J Transplant","language":"eng","note":"PMID: 17868060\nPMCID: PMC2778321","page":"2619-2625","source":"PubMed","title":"Dissociation of depletional induction and posttransplant lymphoproliferative disease in kidney recipients treated with alemtuzumab","volume":"7","author":[{"family":"Kirk","given":"A. D."},{"family":"Cherikh","given":"W. S."},{"family":"Ring","given":"M."},{"family":"Burke","given":"G."},{"family":"Kaufman","given":"D."},{"family":"Knechtle","given":"S. J."},{"family":"Potdar","given":"S."},{"family":"Shapiro","given":"R."},{"family":"Dharnidharka","given":"V. R."},{"family":"Kauffman","given":"H. M."}],"issued":{"date-parts":[["2007",11]]}}}],"schema":"https://github.com/citation-style-language/schema/raw/master/csl-citation.json"} </w:instrText>
      </w:r>
      <w:r>
        <w:fldChar w:fldCharType="separate"/>
      </w:r>
      <w:r w:rsidR="00A04B9C" w:rsidRPr="00A04B9C">
        <w:rPr>
          <w:rFonts w:ascii="Calibri" w:hAnsi="Calibri" w:cs="Calibri"/>
          <w:vertAlign w:val="superscript"/>
        </w:rPr>
        <w:t>23</w:t>
      </w:r>
      <w:r>
        <w:fldChar w:fldCharType="end"/>
      </w:r>
      <w:r>
        <w:t>. Preliminary evidence suggests that B lymphocyte-depleting antibodies, such as anti-CD20 (rituximab), are unsuitable as routine induction agents</w:t>
      </w:r>
      <w:r>
        <w:rPr>
          <w:vertAlign w:val="superscript"/>
        </w:rPr>
        <w:t xml:space="preserve"> </w:t>
      </w:r>
      <w:r>
        <w:rPr>
          <w:vertAlign w:val="superscript"/>
        </w:rPr>
        <w:fldChar w:fldCharType="begin"/>
      </w:r>
      <w:r w:rsidR="006528EA">
        <w:rPr>
          <w:vertAlign w:val="superscript"/>
        </w:rPr>
        <w:instrText xml:space="preserve"> ADDIN ZOTERO_ITEM CSL_CITATION {"citationID":"rtYBZic6","properties":{"formattedCitation":"\\super 24,25\\nosupersub{}","plainCitation":"24,25","noteIndex":0},"citationItems":[{"id":18945,"uris":["http://zotero.org/users/3444308/items/DNA7X278"],"itemData":{"id":18945,"type":"article-journal","container-title":"The New England Journal of Medicine","DOI":"10.1056/NEJMc0808481","ISSN":"1533-4406","issue":"25","journalAbbreviation":"N Engl J Med","language":"eng","note":"PMID: 19535812\nPMCID: PMC4143588","page":"2683-2685","source":"PubMed","title":"B-cell-depleting induction therapy and acute cellular rejection","volume":"360","author":[{"family":"Clatworthy","given":"Menna R."},{"family":"Watson","given":"Christopher J. E."},{"family":"Plotnek","given":"Gemma"},{"family":"Bardsley","given":"Vicky"},{"family":"Chaudhry","given":"Afzal N."},{"family":"Bradley","given":"J. Andrew"},{"family":"Smith","given":"Kenneth G. C."}],"issued":{"date-parts":[["2009",6,18]]}}},{"id":18944,"uris":["http://zotero.org/users/3444308/items/HGW692SY"],"itemData":{"id":18944,"type":"article-journal","abstract":"Rituximab is a B-lymphocyte depleting agent used to treat lymphoma and autoimmune diseases. There has been recent interest in its use both for management of highly-sensitised and ABO-incompatible recipients but also for induction therapy before transplantation. This systematic review evaluates the evidence for its use as part of induction protocols in ABO-compatible, non-sensitised recipients. 4 databases and 3 trial registries were searched for studies of the use of rituximab as part of induction protocols. The small number of identified studies precluded meta-analysis and thus a narrative review was conducted. 12 manuscripts met the inclusion criteria, relating to 5 individual studies. No significant improvements in patient and graft survival or acute rejection rates were identified with rituximab induction. A single small study reported a trend towards improved graft function with the addition of rituximab induction to a standard immunosuppressive regimen. Rituximab was not found to be associated with increased infectious complications in any study but concerns were raised over possible associations with leukopaenia and cardiovascular mortality. Overall, no convincing benefit of rituximab induction was found and some safety concerns were identified. The results of on-going trials are awaited but further studies may be required before we can draw firm conclusions regarding the efficacy and safety of rituximab in this setting.","container-title":"Transplantation Reviews (Orlando, Fla.)","DOI":"10.1016/j.trre.2014.12.001","ISSN":"1557-9816","issue":"2","journalAbbreviation":"Transplant Rev (Orlando)","language":"eng","note":"PMID: 25555541","page":"103-108","source":"PubMed","title":"A systematic review of the use of rituximab as induction therapy in renal transplantation","volume":"29","author":[{"family":"Macklin","given":"Philip S."},{"family":"Morris","given":"Peter J."},{"family":"Knight","given":"Simon R."}],"issued":{"date-parts":[["2015",4]]}}}],"schema":"https://github.com/citation-style-language/schema/raw/master/csl-citation.json"}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24,25</w:t>
      </w:r>
      <w:r>
        <w:rPr>
          <w:vertAlign w:val="superscript"/>
        </w:rPr>
        <w:fldChar w:fldCharType="end"/>
      </w:r>
      <w:r>
        <w:t>. Rituximab may be helpful to as an induction agent in ABO-incompatible transplantation</w:t>
      </w:r>
      <w:r>
        <w:rPr>
          <w:vertAlign w:val="superscript"/>
        </w:rPr>
        <w:t xml:space="preserve"> </w:t>
      </w:r>
      <w:r>
        <w:rPr>
          <w:vertAlign w:val="superscript"/>
        </w:rPr>
        <w:fldChar w:fldCharType="begin"/>
      </w:r>
      <w:r w:rsidR="006528EA">
        <w:rPr>
          <w:vertAlign w:val="superscript"/>
        </w:rPr>
        <w:instrText xml:space="preserve"> ADDIN ZOTERO_ITEM CSL_CITATION {"citationID":"wwnzTaUM","properties":{"formattedCitation":"\\super 26\\nosupersub{}","plainCitation":"26","noteIndex":0},"citationItems":[{"id":18943,"uris":["http://zotero.org/users/3444308/items/ZZQ6UEGB"],"itemData":{"id":18943,"type":"article-journal","abstract":"BACKGROUND: ABO-incompatible (ABOi) kidney transplantation is now an established form of renal replacement therapy, but the efficacy and safety of the different types of preconditioning therapies are unclear. We aimed to synthesize the totality of the published evidence about the effects of any form of preconditioning therapies in living donor ABOi kidney transplantation on graft and patient outcomes.\nMETHODS: We searched MEDLINE, Embase, and Clinicaltrial.gov databases (inception through June 2015) to identify all studies that described the outcomes of adult living donor ABOi kidney transplantations using any form of preconditioning therapies. Two independent reviewers identified studies, extracted data, and assessed the risk of bias. Data were summarized using the random effects model, and heterogeneity was explored using subgroup analyses. We assessed confidence in the evidence using the Grading of Recommendations Assessment, Development, and Evaluation framework.\nRESULTS: Eighty-three studies (54 case reports and case series, 25 cohort, 2 case-control, and 2 registry studies) involving 4810 ABOi transplant recipients were identified. Overall, confidence in the available evidence was low. During a mean follow-up time of 28 (standard deviation [SD], 26.6) months, the overall graft survival for recipients who received immunoadsorption or apheresis was 94.1% (95% confidence interval [95%CI], 88.2%-97.1%) and 88.0% (95% CI, 82.6%-91.8%), respectively. For those who received rituximab or underwent splenectomy, the overall graft survival was 94.5% (95% CI, 91.6%-96.5%) and 79.7% (95% CI, 72.9%-85.1%), respectively. Data on other longer-term outcomes, including malignancy, were sparse.\nCONCLUSIONS: Rituximab or immunoadsorption appeared to be promising preconditioning strategies before ABOi kidney transplantation. However, the overall quality of evidence and the confidence in the observed treatment effects are low. The increased use of ABOi kidney transplantation needs to be matched with randomized trials of different types, dosing, and frequency of preconditioning therapies so that this scarce resource can be used most effectively and efficiently.","container-title":"Transplantation","DOI":"10.1097/TP.0000000000000933","ISSN":"1534-6080","issue":"4","journalAbbreviation":"Transplantation","language":"eng","note":"PMID: 26425876","page":"933-942","source":"PubMed","title":"Preconditioning Therapy in ABO-Incompatible Living Kidney Transplantation: A Systematic Review and Meta-Analysis","title-short":"Preconditioning Therapy in ABO-Incompatible Living Kidney Transplantation","volume":"100","author":[{"family":"Lo","given":"Phillip"},{"family":"Sharma","given":"Ankit"},{"family":"Craig","given":"Jonathan C."},{"family":"Wyburn","given":"Kate"},{"family":"Lim","given":"Wai"},{"family":"Chapman","given":"Jeremy R."},{"family":"Palmer","given":"Suetonia C."},{"family":"Strippoli","given":"Giovanni F. M."},{"family":"Wong","given":"Germaine"}],"issued":{"date-parts":[["2016",4]]}}}],"schema":"https://github.com/citation-style-language/schema/raw/master/csl-citation.json"}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26</w:t>
      </w:r>
      <w:r>
        <w:rPr>
          <w:vertAlign w:val="superscript"/>
        </w:rPr>
        <w:fldChar w:fldCharType="end"/>
      </w:r>
      <w:r>
        <w:t xml:space="preserve">. </w:t>
      </w:r>
    </w:p>
    <w:p w14:paraId="02FABDE0" w14:textId="77777777" w:rsidR="00076320" w:rsidRPr="00CA78A5" w:rsidRDefault="00076320" w:rsidP="00076320">
      <w:pPr>
        <w:spacing w:before="240" w:after="100" w:afterAutospacing="1"/>
        <w:rPr>
          <w:rFonts w:cstheme="minorHAnsi"/>
        </w:rPr>
      </w:pPr>
      <w:r w:rsidRPr="00CA78A5">
        <w:rPr>
          <w:rFonts w:cstheme="minorHAnsi"/>
        </w:rPr>
        <w:t xml:space="preserve">Immunosuppressive drugs are generally used in combination to balance effective total immunosuppression with minimisation of drug-specific side effects. Since the graft is most immunogenic in the early post- transplant period it is important to use higher doses of these drugs during this period. Thereafter dosages and thus blood levels can be reduced to minimise the risks of infection and malignancy. Account should be taken of the immunological risk of the transplant </w:t>
      </w:r>
      <w:proofErr w:type="gramStart"/>
      <w:r w:rsidRPr="00CA78A5">
        <w:rPr>
          <w:rFonts w:cstheme="minorHAnsi"/>
        </w:rPr>
        <w:t>and also</w:t>
      </w:r>
      <w:proofErr w:type="gramEnd"/>
      <w:r w:rsidRPr="00CA78A5">
        <w:rPr>
          <w:rFonts w:cstheme="minorHAnsi"/>
        </w:rPr>
        <w:t xml:space="preserve"> the strength of induction therapy, i.e. KTRs induced with TDAs often require less intensive maintenance therapy. </w:t>
      </w:r>
    </w:p>
    <w:p w14:paraId="6852FE2F" w14:textId="77777777" w:rsidR="00076320" w:rsidRPr="00CA78A5" w:rsidRDefault="00076320" w:rsidP="00076320">
      <w:pPr>
        <w:spacing w:before="100" w:beforeAutospacing="1" w:after="100" w:afterAutospacing="1"/>
        <w:rPr>
          <w:rFonts w:cstheme="minorHAnsi"/>
        </w:rPr>
      </w:pPr>
      <w:r w:rsidRPr="00CA78A5">
        <w:rPr>
          <w:rFonts w:cstheme="minorHAnsi"/>
        </w:rPr>
        <w:t xml:space="preserve">Except for transplants from syngeneic or haploidentical live donors, it is generally established practice in renal transplantation to use triple therapy as maintenance, consisting of a CNI, an antiproliferative agent and corticosteroids. Such regimens have led to the lowest rejection rates and are considered the benchmark to which other regimens are compared. Induction therapy plus low-dose tacrolimus, mycophenolate mofetil (MMF) and corticosteroids have produced the lowest rates of acute rejection, superior graft function, and better graft survival. There are examples of other regimens for maintenance therapy, generally involving avoidance, minimisation or withdrawal of either steroids or CNIs. Such regimes can produce similar outcomes in selected patients but there are currently no reliable instruments to predict which KTRs will benefit. </w:t>
      </w:r>
    </w:p>
    <w:p w14:paraId="52EE39AD" w14:textId="54B834A5" w:rsidR="00076320" w:rsidRPr="00CA78A5" w:rsidRDefault="00076320" w:rsidP="00076320">
      <w:pPr>
        <w:spacing w:before="100" w:beforeAutospacing="1" w:after="100" w:afterAutospacing="1"/>
        <w:rPr>
          <w:rFonts w:cstheme="minorHAnsi"/>
          <w:color w:val="212121"/>
        </w:rPr>
      </w:pPr>
      <w:r w:rsidRPr="00CA78A5">
        <w:rPr>
          <w:rFonts w:cstheme="minorHAnsi"/>
        </w:rPr>
        <w:t xml:space="preserve">A large randomised controlled trial (RCT) suggested that low dose tacrolimus combined with MMF and steroids with an IL2-RA as induction was superior at 12 months in terms of graft </w:t>
      </w:r>
      <w:r w:rsidRPr="00CA78A5">
        <w:rPr>
          <w:rFonts w:cstheme="minorHAnsi"/>
        </w:rPr>
        <w:lastRenderedPageBreak/>
        <w:t>function, graft survival and acute rejection rate to either standard or low dose ciclosporin in low immunological risk KTRs</w:t>
      </w:r>
      <w:r>
        <w:rPr>
          <w:rFonts w:cstheme="minorHAnsi"/>
          <w:color w:val="4D8055"/>
          <w:shd w:val="clear" w:color="auto" w:fill="FFFFFF"/>
          <w:vertAlign w:val="superscript"/>
        </w:rPr>
        <w:t xml:space="preserve"> </w:t>
      </w:r>
      <w:r>
        <w:rPr>
          <w:rFonts w:cstheme="minorHAnsi"/>
          <w:color w:val="4D8055"/>
          <w:shd w:val="clear" w:color="auto" w:fill="FFFFFF"/>
          <w:vertAlign w:val="superscript"/>
        </w:rPr>
        <w:fldChar w:fldCharType="begin"/>
      </w:r>
      <w:r w:rsidR="006528EA">
        <w:rPr>
          <w:rFonts w:cstheme="minorHAnsi"/>
          <w:color w:val="4D8055"/>
          <w:shd w:val="clear" w:color="auto" w:fill="FFFFFF"/>
          <w:vertAlign w:val="superscript"/>
        </w:rPr>
        <w:instrText xml:space="preserve"> ADDIN ZOTERO_ITEM CSL_CITATION {"citationID":"F6nzQXqw","properties":{"formattedCitation":"\\super 27,28\\nosupersub{}","plainCitation":"27,28","noteIndex":0},"citationItems":[{"id":18942,"uris":["http://zotero.org/users/3444308/items/8X8LZ9W7"],"itemData":{"id":18942,"type":"article-journal","abstract":"The Symphony study showed that at 1 year posttransplant, a regimen based on daclizumab induction, 2 g mycophenolate mofetil (MMF), low-dose tacrolimus and steroids resulted in better renal function and lower acute rejection and graft loss rates compared with three other regimens: two with low-doses of cyclosporine or sirolimus instead of tacrolimus and one with no induction and standard cyclosporine dosage. This is an observational follow-up for 2 additional years with the same endpoints as the core study. Overall, 958 patients participated in the follow-up. During the study, many patients changed their immunosuppressive regimen (e.g. switched from sirolimus to tacrolimus), but the vast majority (95%) remained on MMF. During the follow-up, renal function remained stable (mean change: -0.6 ml/min), and rates of death, graft loss and acute rejection were low (all about 1% per year). The MMF and low-dose tacrolimus arm continued to have the highest GFR (68.6 +/- 23.8 ml/min vs. 65.9 +/- 26.2 ml/min in the standard-dose cyclosporine, 64.0 +/- 23.1 ml/min in the low-dose cyclosporine and 65.3 +/- 26.2 ml/min in the low-dose sirolimus arm), but the difference with the other arms was not significant (p = 0.17 in an overall test and 0.077, 0.039 and 0.11, respectively, in pair-wise tests). The MMF and low-dose tacrolimus arm also had the highest graft survival rate, but with reduced differences between groups over time, and the least acute rejection rate. In the Symphony study, the largest ever prospective study in de novo kidney transplantation, over 3 years, daclizumab induction, MMF, steroids and low-dose tacrolimus proved highly efficacious, without the negative effects on renal function commonly reported for standard CNI regimens.","container-title":"American Journal of Transplantation: Official Journal of the American Society of Transplantation and the American Society of Transplant Surgeons","DOI":"10.1111/j.1600-6143.2009.02726.x","ISSN":"1600-6143","issue":"8","journalAbbreviation":"Am J Transplant","language":"eng","note":"PMID: 19563339","page":"1876-1885","source":"PubMed","title":"Calcineurin inhibitor minimization in the Symphony study: observational results 3 years after transplantation","title-short":"Calcineurin inhibitor minimization in the Symphony study","volume":"9","author":[{"family":"Ekberg","given":"H."},{"family":"Bernasconi","given":"C."},{"family":"Tedesco-Silva","given":"H."},{"family":"Vítko","given":"S."},{"family":"Hugo","given":"C."},{"family":"Demirbas","given":"A."},{"family":"Acevedo","given":"R. Reyes"},{"family":"Grinyó","given":"J."},{"family":"Frei","given":"U."},{"family":"Vanrenterghem","given":"Y."},{"family":"Daloze","given":"P."},{"family":"Halloran","given":"P."}],"issued":{"date-parts":[["2009",8]]}}},{"id":18941,"uris":["http://zotero.org/users/3444308/items/KZAMFGFU"],"itemData":{"id":18941,"type":"article-journal","abstract":"BACKGROUND: Immunosuppressive regimens with the fewest possible toxic effects are desirable for transplant recipients. This study evaluated the efficacy and relative toxic effects of four immunosuppressive regimens.\nMETHODS: We randomly assigned 1645 renal-transplant recipients to receive standard-dose cyclosporine, mycophenolate mofetil, and corticosteroids, or daclizumab induction, mycophenolate mofetil, and corticosteroids in combination with low-dose cyclosporine, low-dose tacrolimus, or low-dose sirolimus. The primary end point was the estimated glomerular filtration rate (GFR), as calculated by the Cockcroft-Gault formula, 12 months after transplantation. Secondary end points included acute rejection and allograft survival.\nRESULTS: The mean calculated GFR was higher in patients receiving low-dose tacrolimus (65.4 ml per minute) than in the other three groups (range, 56.7 to 59.4 ml per minute). The rate of biopsy-proven acute rejection was lower in patients receiving low-dose tacrolimus (12.3%) than in those receiving standard-dose cyclosporine (25.8%), low-dose cyclosporine (24.0%), or low-dose sirolimus (37.2%). Allograft survival differed significantly among the four groups (P=0.02) and was highest in the low-dose tacrolimus group (94.2%), followed by the low-dose cyclosporine group (93.1%), the standard-dose cyclosporine group (89.3%), and the low-dose sirolimus group (89.3%). Serious adverse events were more common in the low-dose sirolimus group than in the other groups (53.2% vs. a range of 43.4 to 44.3%), although a similar proportion of patients in each group had at least one adverse event during treatment (86.3 to 90.5%).\nCONCLUSIONS: A regimen of daclizumab, mycophenolate mofetil, and corticosteroids in combination with low-dose tacrolimus may be advantageous for renal function, allograft survival, and acute rejection rates, as compared with regimens containing daclizumab induction plus either low-dose cyclosporine or low-dose sirolimus or with standard-dose cyclosporine without induction. (ClinicalTrials.gov number, NCT00231764 [ClinicalTrials.gov].).","container-title":"The New England Journal of Medicine","DOI":"10.1056/NEJMoa067411","ISSN":"1533-4406","issue":"25","journalAbbreviation":"N Engl J Med","language":"eng","note":"PMID: 18094377","page":"2562-2575","source":"PubMed","title":"Reduced exposure to calcineurin inhibitors in renal transplantation","volume":"357","author":[{"family":"Ekberg","given":"Henrik"},{"family":"Tedesco-Silva","given":"Helio"},{"family":"Demirbas","given":"Alper"},{"family":"Vítko","given":"Stefan"},{"family":"Nashan","given":"Björn"},{"family":"Gürkan","given":"Alp"},{"family":"Margreiter","given":"Raimund"},{"family":"Hugo","given":"Christian"},{"family":"Grinyó","given":"Josep M."},{"family":"Frei","given":"Ulrich"},{"family":"Vanrenterghem","given":"Yves"},{"family":"Daloze","given":"Pierre"},{"family":"Halloran","given":"Philip F."},{"literal":"ELITE-Symphony Study"}],"issued":{"date-parts":[["2007",12,20]]}}}],"schema":"https://github.com/citation-style-language/schema/raw/master/csl-citation.json"} </w:instrText>
      </w:r>
      <w:r>
        <w:rPr>
          <w:rFonts w:cstheme="minorHAnsi"/>
          <w:color w:val="4D8055"/>
          <w:shd w:val="clear" w:color="auto" w:fill="FFFFFF"/>
          <w:vertAlign w:val="superscript"/>
        </w:rPr>
        <w:fldChar w:fldCharType="separate"/>
      </w:r>
      <w:r w:rsidR="00A04B9C" w:rsidRPr="00A04B9C">
        <w:rPr>
          <w:rFonts w:ascii="Calibri" w:hAnsi="Calibri" w:cs="Calibri"/>
          <w:vertAlign w:val="superscript"/>
        </w:rPr>
        <w:t>27,28</w:t>
      </w:r>
      <w:r>
        <w:rPr>
          <w:rFonts w:cstheme="minorHAnsi"/>
          <w:color w:val="4D8055"/>
          <w:shd w:val="clear" w:color="auto" w:fill="FFFFFF"/>
          <w:vertAlign w:val="superscript"/>
        </w:rPr>
        <w:fldChar w:fldCharType="end"/>
      </w:r>
      <w:r w:rsidRPr="00CA78A5">
        <w:rPr>
          <w:rFonts w:cstheme="minorHAnsi"/>
        </w:rPr>
        <w:t>. There are concerns over the early nephrotoxic effects of CNIs but whether these observations extend to lower doses and levels is unknown. To date, no alternative to CNIs has been shown to improve either early or late graft outcomes. Favourable outcomes in this trial</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{"citationID":"6SkhxIzz","properties":{"formattedCitation":"\\super 28\\nosupersub{}","plainCitation":"28","noteIndex":0},"citationItems":[{"id":18941,"uris":["http://zotero.org/users/3444308/items/KZAMFGFU"],"itemData":{"id":18941,"type":"article-journal","abstract":"BACKGROUND: Immunosuppressive regimens with the fewest possible toxic effects are desirable for transplant recipients. This study evaluated the efficacy and relative toxic effects of four immunosuppressive regimens.\nMETHODS: We randomly assigned 1645 renal-transplant recipients to receive standard-dose cyclosporine, mycophenolate mofetil, and corticosteroids, or daclizumab induction, mycophenolate mofetil, and corticosteroids in combination with low-dose cyclosporine, low-dose tacrolimus, or low-dose sirolimus. The primary end point was the estimated glomerular filtration rate (GFR), as calculated by the Cockcroft-Gault formula, 12 months after transplantation. Secondary end points included acute rejection and allograft survival.\nRESULTS: The mean calculated GFR was higher in patients receiving low-dose tacrolimus (65.4 ml per minute) than in the other three groups (range, 56.7 to 59.4 ml per minute). The rate of biopsy-proven acute rejection was lower in patients receiving low-dose tacrolimus (12.3%) than in those receiving standard-dose cyclosporine (25.8%), low-dose cyclosporine (24.0%), or low-dose sirolimus (37.2%). Allograft survival differed significantly among the four groups (P=0.02) and was highest in the low-dose tacrolimus group (94.2%), followed by the low-dose cyclosporine group (93.1%), the standard-dose cyclosporine group (89.3%), and the low-dose sirolimus group (89.3%). Serious adverse events were more common in the low-dose sirolimus group than in the other groups (53.2% vs. a range of 43.4 to 44.3%), although a similar proportion of patients in each group had at least one adverse event during treatment (86.3 to 90.5%).\nCONCLUSIONS: A regimen of daclizumab, mycophenolate mofetil, and corticosteroids in combination with low-dose tacrolimus may be advantageous for renal function, allograft survival, and acute rejection rates, as compared with regimens containing daclizumab induction plus either low-dose cyclosporine or low-dose sirolimus or with standard-dose cyclosporine without induction. (ClinicalTrials.gov number, NCT00231764 [ClinicalTrials.gov].).","container-title":"The New England Journal of Medicine","DOI":"10.1056/NEJMoa067411","ISSN":"1533-4406","issue":"25","journalAbbreviation":"N Engl J Med","language":"eng","note":"PMID: 18094377","page":"2562-2575","source":"PubMed","title":"Reduced exposure to calcineurin inhibitors in renal transplantation","volume":"357","author":[{"family":"Ekberg","given":"Henrik"},{"family":"Tedesco-Silva","given":"Helio"},{"family":"Demirbas","given":"Alper"},{"family":"Vítko","given":"Stefan"},{"family":"Nashan","given":"Björn"},{"family":"Gürkan","given":"Alp"},{"family":"Margreiter","given":"Raimund"},{"family":"Hugo","given":"Christian"},{"family":"Grinyó","given":"Josep M."},{"family":"Frei","given":"Ulrich"},{"family":"Vanrenterghem","given":"Yves"},{"family":"Daloze","given":"Pierre"},{"family":"Halloran","given":"Philip F."},{"literal":"ELITE-Symphony Study"}],"issued":{"date-parts":[["2007",12,20]]}}}],"schema":"https://github.com/citation-style-language/schema/raw/master/csl-citation.json"}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28</w:t>
      </w:r>
      <w:r>
        <w:rPr>
          <w:rFonts w:cstheme="minorHAnsi"/>
          <w:vertAlign w:val="superscript"/>
        </w:rPr>
        <w:fldChar w:fldCharType="end"/>
      </w:r>
      <w:r w:rsidRPr="00CA78A5">
        <w:rPr>
          <w:rFonts w:cstheme="minorHAnsi"/>
          <w:position w:val="10"/>
        </w:rPr>
        <w:t xml:space="preserve"> </w:t>
      </w:r>
      <w:r w:rsidRPr="00CA78A5">
        <w:rPr>
          <w:rFonts w:cstheme="minorHAnsi"/>
        </w:rPr>
        <w:t>were based on tacrolimus levels of 3-7 ng/</w:t>
      </w:r>
      <w:proofErr w:type="spellStart"/>
      <w:r w:rsidRPr="00CA78A5">
        <w:rPr>
          <w:rFonts w:cstheme="minorHAnsi"/>
        </w:rPr>
        <w:t>mL.</w:t>
      </w:r>
      <w:proofErr w:type="spellEnd"/>
      <w:r w:rsidRPr="00CA78A5">
        <w:rPr>
          <w:rFonts w:cstheme="minorHAnsi"/>
        </w:rPr>
        <w:t xml:space="preserve"> More recent data suggest that trough tacrolimus levels &lt;4.0ng/mL was associated with higher levels of rejection in the ‘post- SYMPHONY’ era</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{"citationID":"TjISS6dt","properties":{"formattedCitation":"\\super 27\\nosupersub{}","plainCitation":"27","noteIndex":0},"citationItems":[{"id":18942,"uris":["http://zotero.org/users/3444308/items/8X8LZ9W7"],"itemData":{"id":18942,"type":"article-journal","abstract":"The Symphony study showed that at 1 year posttransplant, a regimen based on daclizumab induction, 2 g mycophenolate mofetil (MMF), low-dose tacrolimus and steroids resulted in better renal function and lower acute rejection and graft loss rates compared with three other regimens: two with low-doses of cyclosporine or sirolimus instead of tacrolimus and one with no induction and standard cyclosporine dosage. This is an observational follow-up for 2 additional years with the same endpoints as the core study. Overall, 958 patients participated in the follow-up. During the study, many patients changed their immunosuppressive regimen (e.g. switched from sirolimus to tacrolimus), but the vast majority (95%) remained on MMF. During the follow-up, renal function remained stable (mean change: -0.6 ml/min), and rates of death, graft loss and acute rejection were low (all about 1% per year). The MMF and low-dose tacrolimus arm continued to have the highest GFR (68.6 +/- 23.8 ml/min vs. 65.9 +/- 26.2 ml/min in the standard-dose cyclosporine, 64.0 +/- 23.1 ml/min in the low-dose cyclosporine and 65.3 +/- 26.2 ml/min in the low-dose sirolimus arm), but the difference with the other arms was not significant (p = 0.17 in an overall test and 0.077, 0.039 and 0.11, respectively, in pair-wise tests). The MMF and low-dose tacrolimus arm also had the highest graft survival rate, but with reduced differences between groups over time, and the least acute rejection rate. In the Symphony study, the largest ever prospective study in de novo kidney transplantation, over 3 years, daclizumab induction, MMF, steroids and low-dose tacrolimus proved highly efficacious, without the negative effects on renal function commonly reported for standard CNI regimens.","container-title":"American Journal of Transplantation: Official Journal of the American Society of Transplantation and the American Society of Transplant Surgeons","DOI":"10.1111/j.1600-6143.2009.02726.x","ISSN":"1600-6143","issue":"8","journalAbbreviation":"Am J Transplant","language":"eng","note":"PMID: 19563339","page":"1876-1885","source":"PubMed","title":"Calcineurin inhibitor minimization in the Symphony study: observational results 3 years after transplantation","title-short":"Calcineurin inhibitor minimization in the Symphony study","volume":"9","author":[{"family":"Ekberg","given":"H."},{"family":"Bernasconi","given":"C."},{"family":"Tedesco-Silva","given":"H."},{"family":"Vítko","given":"S."},{"family":"Hugo","given":"C."},{"family":"Demirbas","given":"A."},{"family":"Acevedo","given":"R. Reyes"},{"family":"Grinyó","given":"J."},{"family":"Frei","given":"U."},{"family":"Vanrenterghem","given":"Y."},{"family":"Daloze","given":"P."},{"family":"Halloran","given":"P."}],"issued":{"date-parts":[["2009",8]]}}}],"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27</w:t>
      </w:r>
      <w:r>
        <w:rPr>
          <w:rFonts w:cstheme="minorHAnsi"/>
          <w:vertAlign w:val="superscript"/>
        </w:rPr>
        <w:fldChar w:fldCharType="end"/>
      </w:r>
      <w:r w:rsidRPr="00CA78A5">
        <w:rPr>
          <w:rFonts w:cstheme="minorHAnsi"/>
        </w:rPr>
        <w:t>. Therefore</w:t>
      </w:r>
      <w:r w:rsidR="007B776F">
        <w:rPr>
          <w:rFonts w:cstheme="minorHAnsi"/>
        </w:rPr>
        <w:t>,</w:t>
      </w:r>
      <w:r w:rsidRPr="00CA78A5">
        <w:rPr>
          <w:rFonts w:cstheme="minorHAnsi"/>
        </w:rPr>
        <w:t xml:space="preserve"> a pragmatic compromise would be to aim for trough tacrolimus levels of 4- 8ng/</w:t>
      </w:r>
      <w:proofErr w:type="spellStart"/>
      <w:r w:rsidRPr="00CA78A5">
        <w:rPr>
          <w:rFonts w:cstheme="minorHAnsi"/>
        </w:rPr>
        <w:t>mL.</w:t>
      </w:r>
      <w:proofErr w:type="spellEnd"/>
      <w:r w:rsidRPr="00CA78A5">
        <w:rPr>
          <w:rFonts w:cstheme="minorHAnsi"/>
        </w:rPr>
        <w:t xml:space="preserve"> </w:t>
      </w:r>
    </w:p>
    <w:p w14:paraId="18278235" w14:textId="6926D306" w:rsidR="00076320" w:rsidRPr="00CA78A5" w:rsidRDefault="00076320" w:rsidP="00076320">
      <w:pPr>
        <w:spacing w:before="100" w:beforeAutospacing="1" w:after="100" w:afterAutospacing="1"/>
        <w:rPr>
          <w:rFonts w:cstheme="minorHAnsi"/>
        </w:rPr>
      </w:pPr>
      <w:r w:rsidRPr="00CA78A5">
        <w:rPr>
          <w:rFonts w:cstheme="minorHAnsi"/>
        </w:rPr>
        <w:t>The risk of acute rejection is minimised by early achievement of target CNI levels and so there is no reason to delay the initiation of a CNI. Specifically</w:t>
      </w:r>
      <w:r w:rsidR="007B776F">
        <w:rPr>
          <w:rFonts w:cstheme="minorHAnsi"/>
        </w:rPr>
        <w:t>,</w:t>
      </w:r>
      <w:r w:rsidRPr="00CA78A5">
        <w:rPr>
          <w:rFonts w:cstheme="minorHAnsi"/>
        </w:rPr>
        <w:t xml:space="preserve"> there is no evidence that delaying the introduction of a CNI prevents or ameliorates delayed graft function. </w:t>
      </w:r>
    </w:p>
    <w:p w14:paraId="3EBAF55C" w14:textId="6879B1B8" w:rsidR="00076320" w:rsidRPr="00CA78A5" w:rsidRDefault="00076320" w:rsidP="00076320">
      <w:pPr>
        <w:spacing w:before="100" w:beforeAutospacing="1" w:after="100" w:afterAutospacing="1"/>
        <w:rPr>
          <w:rFonts w:cstheme="minorHAnsi"/>
          <w:color w:val="212121"/>
        </w:rPr>
      </w:pPr>
      <w:r w:rsidRPr="00CA78A5">
        <w:rPr>
          <w:rFonts w:cstheme="minorHAnsi"/>
        </w:rPr>
        <w:t>Trial evidence demonstrates that tacrolimus reduces the risk of acute rejection and improves graft survival during the first year of transplantation compared to ciclosporin</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{"citationID":"PCKsXF0y","properties":{"formattedCitation":"\\super 29\\nosupersub{}","plainCitation":"29","noteIndex":0},"citationItems":[{"id":18940,"uris":["http://zotero.org/users/3444308/items/YMPKLRSA"],"itemData":{"id":18940,"type":"article-journal","abstract":"OBJECTIVE: To compare the positive and negative effects of tacrolimus and ciclosporin as initial treatment for renal transplant recipients.\nDESIGN: Systematic review.\nDATA SOURCES AND STUDY SELECTION: Reports of comparative randomised trials of tacrolimus and ciclosporin identified by searches of Medline, Embase, the Cochrane Register of Controlled Trials, the Cochrane Renal Group Specialist Register, and conference proceedings.\nDATA EXTRACTION AND SYNTHESIS: Two reviewers assessed trials for eligibility and quality and extracted data independently. Data were synthesised (random effects model) and results expressed as relative risk (RR), with values &lt; 1 favouring tacrolimus. Subgroup analysis and meta-regression were used to examine potential effect modification by differences in trial design and immunosuppressive co-interventions.\nRESULTS: 123 reports from 30 trials (4102 patients) were included. At six months, graft loss was significantly reduced in tacrolimus treated recipients (RR = 0.56, 95% confidence interval 0.36 to 0.86), and this effect persisted up to three years. The relative reduction in graft loss with tacrolimus diminished with higher concentrations of tacrolimus (P = 0.04) but did not vary with ciclosporin formulation (P = 0.97) or ciclosporin concentration (P = 0.38). At one year, tacrolimus treated patients had less acute rejection (RR = 0.69, 0.60 to 0.79) and less steroid resistant rejection (RR = 0.49, 0.37 to 0.64) but more diabetes mellitus requiring insulin (RR = 1.86, 1.11 to 3.09), tremor, headache, diarrhoea, dyspepsia, and vomiting. The relative excess of diabetes increased with higher concentrations of tacrolimus (P = 0.003). Ciclosporin treated recipients had significantly more constipation and cosmetic side effects. No differences were seen in infection or malignancy.\nCONCLUSIONS: Treating 100 recipients with tacrolimus instead of ciclosporin for the first year after transplantation avoids 12 patients having acute rejection and two losing their graft but causes an extra five patients to develop insulin dependent diabetes. Optimal drug choice may vary between patients.","container-title":"BMJ (Clinical research ed.)","DOI":"10.1136/bmj.38569.471007.AE","ISSN":"1756-1833","issue":"7520","journalAbbreviation":"BMJ","language":"eng","note":"PMID: 16157605\nPMCID: PMC1246079","page":"810","source":"PubMed","title":"Tacrolimus versus ciclosporin as primary immunosuppression for kidney transplant recipients: meta-analysis and meta-regression of randomised trial data","title-short":"Tacrolimus versus ciclosporin as primary immunosuppression for kidney transplant recipients","volume":"331","author":[{"family":"Webster","given":"Angela C."},{"family":"Woodroffe","given":"Rebecca C."},{"family":"Taylor","given":"Rod S."},{"family":"Chapman","given":"Jeremy R."},{"family":"Craig","given":"Jonathan C."}],"issued":{"date-parts":[["2005",10,8]]}}}],"schema":"https://github.com/citation-style-language/schema/raw/master/csl-citation.json"}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29</w:t>
      </w:r>
      <w:r>
        <w:rPr>
          <w:rFonts w:cstheme="minorHAnsi"/>
          <w:vertAlign w:val="superscript"/>
        </w:rPr>
        <w:fldChar w:fldCharType="end"/>
      </w:r>
      <w:r w:rsidRPr="00CA78A5">
        <w:rPr>
          <w:rFonts w:cstheme="minorHAnsi"/>
        </w:rPr>
        <w:t>. Protocol biopsy studies also suggest that subclinical rejection is less prevalent in regimes containing tacrolimus as opposed to ciclosporin</w:t>
      </w:r>
      <w:r w:rsidRPr="00CA78A5">
        <w:rPr>
          <w:rStyle w:val="Strong"/>
          <w:rFonts w:cstheme="minorHAnsi"/>
          <w:color w:val="212121"/>
        </w:rPr>
        <w:t xml:space="preserve"> </w:t>
      </w:r>
      <w:r w:rsidRPr="00BC797C">
        <w:rPr>
          <w:rStyle w:val="Strong"/>
          <w:rFonts w:cstheme="minorHAnsi"/>
          <w:color w:val="212121"/>
        </w:rPr>
        <w:fldChar w:fldCharType="begin"/>
      </w:r>
      <w:r w:rsidR="006528EA">
        <w:rPr>
          <w:rStyle w:val="Strong"/>
          <w:rFonts w:cstheme="minorHAnsi"/>
          <w:color w:val="212121"/>
        </w:rPr>
        <w:instrText xml:space="preserve"> ADDIN ZOTERO_ITEM CSL_CITATION {"citationID":"oKt1r79X","properties":{"formattedCitation":"\\super 30\\nosupersub{}","plainCitation":"30","noteIndex":0},"citationItems":[{"id":18939,"uris":["http://zotero.org/users/3444308/items/V8UCZW2U"],"itemData":{"id":18939,"type":"article-journal","abstract":"Interstitial fibrosis is the main characteristic of chronic allograft nephropathy and long-term graft failure. Cyclosporin (CsA) is thought to be more fibrogenic than tacrolimus. In a prospective, randomized, multicenter trial using a calcineurin-sparing regimen, renal interstitial volume was compared in CsA- and tacrolimus-treated renal transplant recipients by image analysis of Sirius red (SR)-stained cortical areas in protocol biopsies obtained at 6 mo (n = 94) and 12 mo (n = 97) after transplantation. Immunosuppression consisted of CsA or tacrolimus, CD25 mAb, mycophenolate mofetil, and prednisolone. CsA therapy increased the 6-mo risk for subclinical rejection. The prevalence of subclinical rejection was 38.8% in the CsA-treated and 15.2% in the tacrolimus-treated patient group (P = 0.012). Strikingly, no difference in the degree of interstitial SR-stained area was detectable between the two treatment groups. In particular, previous subclinical rejection episodes did not influence the degree of interstitial volume. Also, no difference in GFR occurred at 1 yr, when the mean GFR mounted 63 ml/min. No significant differences in the degree of interstitial SR-stained area could be observed at 6 and 12 mo between CsA- and tacrolimus-treated renal transplant recipients. Although CsA-treated patients developed significantly more subclinical rejections at 6 mo, this did not influence the degree of SR staining or the change in renal function at 1 yr.","container-title":"Journal of the American Society of Nephrology: JASN","DOI":"10.1681/ASN.2005030249","ISSN":"1046-6673","issue":"1","journalAbbreviation":"J Am Soc Nephrol","language":"eng","note":"PMID: 16306168","page":"305-312","source":"PubMed","title":"No difference in degree of interstitial Sirius red-stained area in serial biopsies from area under concentration-over-time curves-guided cyclosporine versus tacrolimus-treated renal transplant recipients at one year","volume":"17","author":[{"family":"Rowshani","given":"Ajda T."},{"family":"Scholten","given":"Eduard M."},{"family":"Bemelman","given":"Frederike"},{"family":"Eikmans","given":"Michael"},{"family":"Idu","given":"Mirza"},{"family":"Roos-van Groningen","given":"Marian C."},{"family":"Surachno","given":"Janto S."},{"family":"Mallat","given":"Marko J. K."},{"family":"Paul","given":"Leendert C."},{"family":"Fijter","given":"Johan W.","non-dropping-particle":"de"},{"family":"Bajema","given":"Ingeborg M."},{"family":"Berge","given":"Ineke","non-dropping-particle":"ten"},{"family":"Florquin","given":"Sandrine"}],"issued":{"date-parts":[["2006",1]]}}}],"schema":"https://github.com/citation-style-language/schema/raw/master/csl-citation.json"} </w:instrText>
      </w:r>
      <w:r w:rsidRPr="00BC797C">
        <w:rPr>
          <w:rStyle w:val="Strong"/>
          <w:rFonts w:cstheme="minorHAnsi"/>
          <w:color w:val="212121"/>
        </w:rPr>
        <w:fldChar w:fldCharType="separate"/>
      </w:r>
      <w:r w:rsidR="00A04B9C" w:rsidRPr="00A04B9C">
        <w:rPr>
          <w:rFonts w:ascii="Calibri" w:hAnsi="Calibri" w:cs="Calibri"/>
          <w:vertAlign w:val="superscript"/>
        </w:rPr>
        <w:t>30</w:t>
      </w:r>
      <w:r w:rsidRPr="00BC797C">
        <w:rPr>
          <w:rStyle w:val="Strong"/>
          <w:rFonts w:cstheme="minorHAnsi"/>
          <w:color w:val="212121"/>
        </w:rPr>
        <w:fldChar w:fldCharType="end"/>
      </w:r>
      <w:r w:rsidRPr="00CA78A5">
        <w:rPr>
          <w:rFonts w:cstheme="minorHAnsi"/>
        </w:rPr>
        <w:t>. However, PTDM is significantly more common with tacrolimus even accounting for variation in concomitant steroid usage</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{"citationID":"LMaTLS2g","properties":{"formattedCitation":"\\super 31\\nosupersub{}","plainCitation":"31","noteIndex":0},"citationItems":[{"id":18938,"uris":["http://zotero.org/users/3444308/items/PBINWCTX"],"itemData":{"id":18938,"type":"article-journal","abstract":"This study sought to determine 1) the incidence and costs of new onset diabetes mellitus (NODM) associated with maintenance immunosuppression regimens following renal transplantation and 2) whether the mode of dialysis pretransplant or the type of calcineurin inhibition used for maintenance immunosuppression affected either the incidence or cost of NODM. The study examined the United States Renal Data System's clinical and financial records from 1994 to 1998 of all adult, first, single-organ, renal transplantations in either 1996 or 1997 with adequate financial records. It used the second diagnosis of diabetes in previously nondiabetic patients to identify NODM. While NODM had an incidence of approximately 6% per year among wait-listed dialysis patients, NODM over the first 2 years post-transplant had an incidence of almost 18% and 30% among patients receiving cyclosporine and tacrolimus, respectively. By 2 years post-transplant, Medicare paid an extra $21 500 per newly diabetic patient. We estimated the cost of diabetes attributable to maintenance immunosuppression regimens to be $2025 and $3308 for each tacrolimus patient and $1137 and $1611 for each cyclosporine patient at 1 and 2 years post-transplant, respectively.","container-title":"American Journal of Transplantation: Official Journal of the American Society of Transplantation and the American Society of Transplant Surgeons","DOI":"10.1034/j.1600-6143.2003.00082.x","ISSN":"1600-6135","issue":"5","journalAbbreviation":"Am J Transplant","language":"eng","note":"PMID: 12752315","page":"590-598","source":"PubMed","title":"Incidence and cost of new onset diabetes mellitus among U.S. wait-listed and transplanted renal allograft recipients","volume":"3","author":[{"family":"Woodward","given":"Robert S."},{"family":"Schnitzler","given":"Mark A."},{"family":"Baty","given":"Jack"},{"family":"Lowell","given":"Jeffrey A."},{"family":"Lopez-Rocafort","given":"Lissa"},{"family":"Haider","given":"Seema"},{"family":"Woodworth","given":"Thasia G."},{"family":"Brennan","given":"Daniel C."}],"issued":{"date-parts":[["2003",5]]}}}],"schema":"https://github.com/citation-style-language/schema/raw/master/csl-citation.json"}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31</w:t>
      </w:r>
      <w:r>
        <w:rPr>
          <w:rFonts w:cstheme="minorHAnsi"/>
          <w:vertAlign w:val="superscript"/>
        </w:rPr>
        <w:fldChar w:fldCharType="end"/>
      </w:r>
      <w:r w:rsidRPr="00CA78A5">
        <w:rPr>
          <w:rFonts w:cstheme="minorHAnsi"/>
        </w:rPr>
        <w:t>. An RCT comparing tacrolimus with ciclosporin (</w:t>
      </w:r>
      <w:proofErr w:type="spellStart"/>
      <w:r w:rsidRPr="00CA78A5">
        <w:rPr>
          <w:rFonts w:cstheme="minorHAnsi"/>
        </w:rPr>
        <w:t>Neoral</w:t>
      </w:r>
      <w:proofErr w:type="spellEnd"/>
      <w:r w:rsidRPr="00CA78A5">
        <w:rPr>
          <w:rFonts w:cstheme="minorHAnsi"/>
        </w:rPr>
        <w:t>) in non-diabetic patients demonstrated significantly higher levels of abnormalities in glucose metabolism with tacrolimus but a non-significant trend towards worse graft function with ciclosporin</w:t>
      </w:r>
      <w:r>
        <w:rPr>
          <w:rStyle w:val="apple-converted-space"/>
          <w:rFonts w:cstheme="minorHAnsi"/>
          <w:color w:val="4D8055"/>
          <w:shd w:val="clear" w:color="auto" w:fill="FFFFFF"/>
        </w:rPr>
        <w:t xml:space="preserve"> </w:t>
      </w:r>
      <w:r>
        <w:rPr>
          <w:rStyle w:val="apple-converted-space"/>
          <w:rFonts w:cstheme="minorHAnsi"/>
          <w:color w:val="4D8055"/>
          <w:shd w:val="clear" w:color="auto" w:fill="FFFFFF"/>
        </w:rPr>
        <w:fldChar w:fldCharType="begin"/>
      </w:r>
      <w:r w:rsidR="006528EA">
        <w:rPr>
          <w:rStyle w:val="apple-converted-space"/>
          <w:rFonts w:cstheme="minorHAnsi"/>
          <w:color w:val="4D8055"/>
          <w:shd w:val="clear" w:color="auto" w:fill="FFFFFF"/>
        </w:rPr>
        <w:instrText xml:space="preserve"> ADDIN ZOTERO_ITEM CSL_CITATION {"citationID":"egpM55L5","properties":{"formattedCitation":"\\super 32,33\\nosupersub{}","plainCitation":"32,33","noteIndex":0},"citationItems":[{"id":18937,"uris":["http://zotero.org/users/3444308/items/SLZYIWPG"],"itemData":{"id":18937,"type":"article-journal","abstract":"DIRECT (Diabetes Incidence after Renal Transplantation: Neoral C(2) Monitoring Versus Tacrolimus) was a 6-month, open-label, randomized, multicenter study which used American Diabetes Association/World Health Organization criteria to define glucose abnormalities. De novo renal transplant patients were randomized to cyclosporine microemulsion (CsA-ME, using C(2) monitoring) or tacrolimus, with mycophenolic acid, steroids and basiliximab. The intent-to-treat population comprised 682 patients (336 CsA-ME, 346 tacrolimus): 567 were nondiabetic at baseline. Demographics, diabetes risk factors and steroid doses were similar between treatment groups. The primary safety endpoint, new-onset diabetes after transplant (NODAT) or impaired fasting glucose (IFG) at 6 months, occurred in 73 CsA-ME patients (26.0%) and 96 tacrolimus patients (33.6%, p = 0.046). The primary efficacy endpoint, biopsy-proven acute rejection, graft loss or death at 6 months, occurred in 43 CsA-ME patients (12.8%) and 34 tacrolimus patients (9.8%, p = 0.211). Mean glomerular filtration rate (Cockcroft-Gault) was 63.6 +/- 20.7 mL/min/1.73 m(2) in the CsA-ME cohort and 65.9 +/- 23.1 mL/min/1.73 m(2) with tacrolimus (p = 0.285); mean serum creatinine was 139 +/- 58 and 133 +/- 57 mumol/L, respectively (p = 0.005). Blood pressure was similar between treatment groups at month 6, but total cholesterol, LDL-cholesterol and triglyceride levels were significantly higher with CsA than with tacrolimus (total cholesterol:HDL remained unchanged). The profile and incidence of adverse events were similar between treatments. The incidence of NODAT or IFG at 6 months post-transplant is significantly lower with CsA-ME than with tacrolimus without a significant difference in short-term outcome.","container-title":"American Journal of Transplantation: Official Journal of the American Society of Transplantation and the American Society of Transplant Surgeons","DOI":"10.1111/j.1600-6143.2007.01749.x","ISSN":"1600-6135","issue":"6","journalAbbreviation":"Am J Transplant","language":"eng","note":"PMID: 17359512","page":"1506-1514","source":"PubMed","title":"Results of an international, randomized trial comparing glucose metabolism disorders and outcome with cyclosporine versus tacrolimus","volume":"7","author":[{"family":"Vincenti","given":"F."},{"family":"Friman","given":"S."},{"family":"Scheuermann","given":"E."},{"family":"Rostaing","given":"L."},{"family":"Jenssen","given":"T."},{"family":"Campistol","given":"J. M."},{"family":"Uchida","given":"K."},{"family":"Pescovitz","given":"M. D."},{"family":"Marchetti","given":"P."},{"family":"Tuncer","given":"M."},{"family":"Citterio","given":"F."},{"family":"Wiecek","given":"A."},{"family":"Chadban","given":"S."},{"family":"El-Shahawy","given":"M."},{"family":"Budde","given":"K."},{"family":"Goto","given":"N."},{"literal":"DIRECT (Diabetes Incidence after Renal Transplantation: Neoral C Monitoring Versus Tacrolimus) Investigators"}],"issued":{"date-parts":[["2007",6]]}}},{"id":18936,"uris":["http://zotero.org/users/3444308/items/RYDS7ZJ6"],"itemData":{"id":18936,"type":"article-journal","abstract":"BACKGROUND: Existing guidelines recommend a triple immunosuppressive regimen with calcineurin inhibitors, antimetabolites, and corticosteroids for postoperative immunosuppression in renal transplant patients. However, few studies have compared cyclosporine and tacrolimus for long-term outcomes. In this study, the meta-analysis was used to compare long-term outcomes in renal transplant patients to evaluate the use of cyclosporine vs. tacrolimus. The pros and cons of suppression programs have been analyzed.\nMETHODS: Cyclosporine, tacrolimus, and kidney transplantation, were used as search terms to retrieve relevant publications in PubMed, Embase, and The Cochrane library. Two independent researchers screened and evaluated the relevant results of each search using the RevMan5.4 program to make relevant charts for the meta-analysis. Odds ratios (OR) and 95% confidence intervals (CI) were used to report dichotomous variables, while mean differences (MD) and 95% confidence intervals (CI) were used to report continuous variables. The study took tacrolimus- and cyclosporine-based maintenance immunosuppression as experimental and control groups, respectively. The graft and patient survival outcomes were followed for 5 or more years.\nRESULTS: Overall, thirteen studies were included in the meta-analysis, including nine randomized controlled trials and four non-randomized controlled trials. Compared with the cyclosporine group, the incidence of rejection, drug conversion, and dyslipidemia were significantly lower in the tacrolimus group. Furthermore, there was higher glomerular filtration rates and graft survival rates in the tacrolimus group than in the cyclosporine group. In contrast, there were no significant differences between the two groups in terms of patient survival, incidence of infection, hypertension and new tumors. However, the use of tacrolimus was associated with a high risk of a new onset of diabetes.\nCONCLUSION: The meta-analysis showed that, compared with cyclosporine, tacrolimus increases the risk of a new-onset diabetes. However, tacrolimus had higher graft survival rate and better creatinine clearance than cyclosporine.","container-title":"Transplant Immunology","DOI":"10.1016/j.trim.2022.101741","ISSN":"1878-5492","journalAbbreviation":"Transpl Immunol","language":"eng","note":"PMID: 36372141","page":"101741","source":"PubMed","title":"Systematic review and meta-analysis of calcineurin inhibitors on long-term prognosis of renal transplant patients","volume":"75","author":[{"family":"Yang","given":"Kang"},{"family":"Zhang","given":"Meiling"},{"family":"Zhang","given":"Beining"},{"family":"Zhang","given":"Yingshi"},{"family":"Zhao","given":"Qingchun"}],"issued":{"date-parts":[["2022",12]]}}}],"schema":"https://github.com/citation-style-language/schema/raw/master/csl-citation.json"} </w:instrText>
      </w:r>
      <w:r>
        <w:rPr>
          <w:rStyle w:val="apple-converted-space"/>
          <w:rFonts w:cstheme="minorHAnsi"/>
          <w:color w:val="4D8055"/>
          <w:shd w:val="clear" w:color="auto" w:fill="FFFFFF"/>
        </w:rPr>
        <w:fldChar w:fldCharType="separate"/>
      </w:r>
      <w:r w:rsidR="00A04B9C" w:rsidRPr="00A04B9C">
        <w:rPr>
          <w:rFonts w:ascii="Calibri" w:hAnsi="Calibri" w:cs="Calibri"/>
          <w:vertAlign w:val="superscript"/>
        </w:rPr>
        <w:t>32,33</w:t>
      </w:r>
      <w:r>
        <w:rPr>
          <w:rStyle w:val="apple-converted-space"/>
          <w:rFonts w:cstheme="minorHAnsi"/>
          <w:color w:val="4D8055"/>
          <w:shd w:val="clear" w:color="auto" w:fill="FFFFFF"/>
        </w:rPr>
        <w:fldChar w:fldCharType="end"/>
      </w:r>
      <w:r w:rsidRPr="00CA78A5">
        <w:rPr>
          <w:rFonts w:cstheme="minorHAnsi"/>
        </w:rPr>
        <w:t xml:space="preserve">. However, lower blood levels of tacrolimus minimise the risk of PTDM compared to higher levels; this has not been fully explored in a trial setting. </w:t>
      </w:r>
    </w:p>
    <w:p w14:paraId="2563968D" w14:textId="3A25CFAC" w:rsidR="00076320" w:rsidRDefault="00076320" w:rsidP="00076320">
      <w:pPr>
        <w:spacing w:before="100" w:beforeAutospacing="1" w:after="100" w:afterAutospacing="1"/>
        <w:rPr>
          <w:rFonts w:cstheme="minorHAnsi"/>
        </w:rPr>
      </w:pPr>
      <w:r w:rsidRPr="00CA78A5">
        <w:rPr>
          <w:rFonts w:cstheme="minorHAnsi"/>
        </w:rPr>
        <w:t xml:space="preserve">It is acknowledged that tacrolimus is associated with </w:t>
      </w:r>
      <w:proofErr w:type="gramStart"/>
      <w:r w:rsidRPr="00CA78A5">
        <w:rPr>
          <w:rFonts w:cstheme="minorHAnsi"/>
        </w:rPr>
        <w:t>a number of</w:t>
      </w:r>
      <w:proofErr w:type="gramEnd"/>
      <w:r w:rsidRPr="00CA78A5">
        <w:rPr>
          <w:rFonts w:cstheme="minorHAnsi"/>
        </w:rPr>
        <w:t xml:space="preserve"> side effects. Some milder side effects relating to peak levels of the parent compound (e.g. tremor) may be ameliorated by dose reduction or the use of slow release formulations of tacrolimus</w:t>
      </w:r>
      <w:r>
        <w:rPr>
          <w:rFonts w:cstheme="minorHAnsi"/>
        </w:rPr>
        <w:t xml:space="preserve"> </w:t>
      </w:r>
      <w:r>
        <w:rPr>
          <w:rFonts w:cstheme="minorHAnsi"/>
        </w:rPr>
        <w:fldChar w:fldCharType="begin"/>
      </w:r>
      <w:r w:rsidR="006528EA">
        <w:rPr>
          <w:rFonts w:cstheme="minorHAnsi"/>
        </w:rPr>
        <w:instrText xml:space="preserve"> ADDIN ZOTERO_ITEM CSL_CITATION {"citationID":"c9sstuz9","properties":{"formattedCitation":"\\super 34\\nosupersub{}","plainCitation":"34","noteIndex":0},"citationItems":[{"id":18935,"uris":["http://zotero.org/users/3444308/items/CVQYHG9G"],"itemData":{"id":18935,"type":"article-journal","abstract":"Tremor is a common side effect of tacrolimus correlated with peak-dose drug concentration. LCPT, a novel, once-daily, extended-release formulation of tacrolimus, has a reduced Cmax with comparable AUC exposure, requiring a ~30% dose reduction vs. immediate-release tacrolimus. In this phase 3b study, kidney transplant recipients (KTR) on a stable dose of tacrolimus and with a reported clinically significant tremor were offered a switch to LCPT. Tremor pre- and seven d post-conversion was evaluated by independent, blinded movement disorder neurologists using the Fahn-Tolosa-Marin (FTM) scale and by an accelerometry device; patients completed the QUEST (quality of life in essential tremor) and the Patient Global Impression of Change. There were 38 patients in the mITT population. A statistically and clinically significant improvement in tremor (FTM score, amplitude as measured by the accelerometry device and QOL [p-values &lt; 0.05]) resulted post-conversion. Change in QUEST was significantly (p = 0.006) correlated (R = 0.44) with change in FTM; 78.9% of patients reported an improvement after switching to LCPT (p &lt; 0.0005). To our knowledge this is the first trial in KTR that utilizes a sophisticated and reproducible measurement of tremor. Results suggest LCPT is associated with clinically meaningful improvement of hand tremor and may be an alternative management approach in lieu of further dose reduction of immediate-release tacrolimus for patients experiencing tremor.","container-title":"Clinical Transplantation","DOI":"10.1111/ctr.12581","ISSN":"1399-0012","issue":"9","journalAbbreviation":"Clin Transplant","language":"eng","note":"PMID: 26113208\nPMCID: PMC4755036","page":"796-805","source":"PubMed","title":"Switching STudy of Kidney TRansplant PAtients with Tremor to LCP-TacrO (STRATO): an open-label, multicenter, prospective phase 3b study","title-short":"Switching STudy of Kidney TRansplant PAtients with Tremor to LCP-TacrO (STRATO)","volume":"29","author":[{"family":"Langone","given":"Anthony"},{"family":"Steinberg","given":"Steven M."},{"family":"Gedaly","given":"Roberto"},{"family":"Chan","given":"Laurence K."},{"family":"Shah","given":"Tariq"},{"family":"Sethi","given":"Kapil D."},{"family":"Nigro","given":"Vincenza"},{"family":"Morgan","given":"John C."},{"literal":"STRATO Investigators"}],"issued":{"date-parts":[["2015",9]]}}}],"schema":"https://github.com/citation-style-language/schema/raw/master/csl-citation.json"}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34</w:t>
      </w:r>
      <w:r>
        <w:rPr>
          <w:rFonts w:cstheme="minorHAnsi"/>
        </w:rPr>
        <w:fldChar w:fldCharType="end"/>
      </w:r>
      <w:r w:rsidRPr="00CA78A5">
        <w:rPr>
          <w:rFonts w:cstheme="minorHAnsi"/>
        </w:rPr>
        <w:t>. However, tacrolimus may cause disabling side effects in a minority of patients including posterior reversible encephalopathy syndrome, haemolytic uraemic syndrome, alopecia and GI disturbance. In such circumstances it is usually necessary to switch to an alternative agent such as ciclosporin, m-</w:t>
      </w:r>
      <w:proofErr w:type="spellStart"/>
      <w:r w:rsidRPr="00CA78A5">
        <w:rPr>
          <w:rFonts w:cstheme="minorHAnsi"/>
        </w:rPr>
        <w:t>TORi</w:t>
      </w:r>
      <w:proofErr w:type="spellEnd"/>
      <w:r w:rsidRPr="00CA78A5">
        <w:rPr>
          <w:rFonts w:cstheme="minorHAnsi"/>
        </w:rPr>
        <w:t xml:space="preserve"> or </w:t>
      </w:r>
      <w:proofErr w:type="spellStart"/>
      <w:r w:rsidRPr="00CA78A5">
        <w:rPr>
          <w:rFonts w:cstheme="minorHAnsi"/>
        </w:rPr>
        <w:t>belatacept</w:t>
      </w:r>
      <w:proofErr w:type="spellEnd"/>
      <w:r w:rsidRPr="00CA78A5">
        <w:rPr>
          <w:rFonts w:cstheme="minorHAnsi"/>
        </w:rPr>
        <w:t xml:space="preserve">. </w:t>
      </w:r>
    </w:p>
    <w:p w14:paraId="789367AD" w14:textId="5F833618" w:rsidR="00076320" w:rsidRPr="00CA78A5" w:rsidRDefault="00076320" w:rsidP="00076320">
      <w:pPr>
        <w:spacing w:before="100" w:beforeAutospacing="1" w:after="100" w:afterAutospacing="1"/>
        <w:rPr>
          <w:rFonts w:cstheme="minorHAnsi"/>
        </w:rPr>
      </w:pPr>
      <w:r w:rsidRPr="00CA78A5">
        <w:rPr>
          <w:rFonts w:cstheme="minorHAnsi"/>
        </w:rPr>
        <w:t xml:space="preserve">Higher doses of CNIs are required during the first three months when the recipient’s immune response is receiving the most </w:t>
      </w:r>
      <w:proofErr w:type="spellStart"/>
      <w:r w:rsidRPr="00CA78A5">
        <w:rPr>
          <w:rFonts w:cstheme="minorHAnsi"/>
        </w:rPr>
        <w:t>allostimulation</w:t>
      </w:r>
      <w:proofErr w:type="spellEnd"/>
      <w:r w:rsidRPr="00CA78A5">
        <w:rPr>
          <w:rFonts w:cstheme="minorHAnsi"/>
        </w:rPr>
        <w:t>. There is theoretically a good reason to reduce the immunosuppressive load after this time to reduce the incidence of drug-related adverse effects (i.e. reduce CNI target levels). Analysis of RCTs has shown that CNI withdrawal leads to higher rejection rates without any improvement in graft survival. Comparison of lower dose CNI regimes with higher doses have generally shown little difference in outcomes</w:t>
      </w:r>
      <w:r w:rsidRPr="00CA78A5">
        <w:rPr>
          <w:rFonts w:cstheme="minorHAnsi"/>
          <w:color w:val="4D8055"/>
        </w:rPr>
        <w:t xml:space="preserve"> </w:t>
      </w:r>
      <w:r>
        <w:rPr>
          <w:rFonts w:cstheme="minorHAnsi"/>
          <w:color w:val="4D8055"/>
        </w:rPr>
        <w:fldChar w:fldCharType="begin"/>
      </w:r>
      <w:r w:rsidR="006528EA">
        <w:rPr>
          <w:rFonts w:cstheme="minorHAnsi"/>
          <w:color w:val="4D8055"/>
        </w:rPr>
        <w:instrText xml:space="preserve"> ADDIN ZOTERO_ITEM CSL_CITATION {"citationID":"FbFO7MwK","properties":{"formattedCitation":"\\super 35\\nosupersub{}","plainCitation":"35","noteIndex":0},"citationItems":[{"id":18934,"uris":["http://zotero.org/users/3444308/items/EQHEN8CW"],"itemData":{"id":18934,"type":"article-journal","abstract":"BACKGROUND: The use of mycophenolate mofetil (MMF) as a primary immunosuppressant after transplantation is increasing. A number of factors interact to result in variability in blood levels of mycophenolic acid (MPA) increasing the risk of toxicity. This has led to interest in the application of therapeutic drug monitoring to optimize its use.\nMETHODS: A systematic literature search was performed using Medline, Embase, the Cochrane Central Registry of Clinical Trials, the Transplant Library, and clinical trial registries for studies investigating the clinical role of MMF pharmacokinetic drug monitoring. Studies relating monitoring regimens to clinical outcomes were included.\nRESULTS: The majority of studies are retrospective in nature, demonstrating good correlation between the full total MPA area-under-the-curve and the risk of acute rejection, but not toxicity. Free MPA levels may better predict toxicity. Single-point parameters, in particular trough levels, show poor correlation with the risk of acute rejection and toxicity, and in prospective studies do not improve clinical outcomes. Limited sampling strategies using samples from the first few hours postdose allow good prediction of the full area-under-the-curve, and monitoring using these strategies may improve clinical outcomes.\nCONCLUSIONS: The current data regarding therapeutic monitoring of MMF is of limited quality. The most promising results to date come from limited sampling strategies, with benefit seen in one prospective randomized trial. Further prospective trials and longer follow-up are required to investigate the optimum sampling strategy and subsets of patients who may benefit from monitoring, but the current evidence in favor of monitoring is weak.","container-title":"Transplantation","DOI":"10.1097/TP.0b013e3181744199","ISSN":"0041-1337","issue":"12","journalAbbreviation":"Transplantation","language":"eng","note":"PMID: 18580456","page":"1675-1685","source":"PubMed","title":"Does the evidence support the use of mycophenolate mofetil therapeutic drug monitoring in clinical practice? A systematic review","title-short":"Does the evidence support the use of mycophenolate mofetil therapeutic drug monitoring in clinical practice?","volume":"85","author":[{"family":"Knight","given":"Simon R."},{"family":"Morris","given":"Peter J."}],"issued":{"date-parts":[["2008",6,27]]}}}],"schema":"https://github.com/citation-style-language/schema/raw/master/csl-citation.json"} </w:instrText>
      </w:r>
      <w:r>
        <w:rPr>
          <w:rFonts w:cstheme="minorHAnsi"/>
          <w:color w:val="4D8055"/>
        </w:rPr>
        <w:fldChar w:fldCharType="separate"/>
      </w:r>
      <w:r w:rsidR="00A04B9C" w:rsidRPr="00A04B9C">
        <w:rPr>
          <w:rFonts w:ascii="Calibri" w:hAnsi="Calibri" w:cs="Calibri"/>
          <w:vertAlign w:val="superscript"/>
        </w:rPr>
        <w:t>35</w:t>
      </w:r>
      <w:r>
        <w:rPr>
          <w:rFonts w:cstheme="minorHAnsi"/>
          <w:color w:val="4D8055"/>
        </w:rPr>
        <w:fldChar w:fldCharType="end"/>
      </w:r>
      <w:r>
        <w:rPr>
          <w:rFonts w:cstheme="minorHAnsi"/>
          <w:color w:val="4D8055"/>
        </w:rPr>
        <w:t>,</w:t>
      </w:r>
      <w:r w:rsidRPr="005246B1" w:rsidDel="004D3EB3">
        <w:rPr>
          <w:rFonts w:cstheme="minorHAnsi"/>
          <w:color w:val="000000" w:themeColor="text1"/>
          <w:position w:val="10"/>
        </w:rPr>
        <w:t xml:space="preserve"> </w:t>
      </w:r>
      <w:r w:rsidRPr="00CA78A5">
        <w:rPr>
          <w:rFonts w:cstheme="minorHAnsi"/>
        </w:rPr>
        <w:t>but in some cases better renal function has been attained. Those seeking a fuller discussion of these studies are referred to the 2009 KDIGO guidelines</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{"citationID":"8DWEmZ6f","properties":{"formattedCitation":"\\super 36\\nosupersub{}","plainCitation":"36","noteIndex":0},"citationItems":[{"id":18762,"uris":["http://zotero.org/users/3444308/items/XZCK9LB5","http://zotero.org/users/3444308/items/695WFW9B"],"itemData":{"id":18762,"type":"article-journal","abstract":"The 2009 Kidney Disease: Improving Global Outcomes (KDIGO) clinical practice guideline on the monitoring, management, and treatment of kidney transplant recipients is intended to assist the practitioner caring for adults and children after kidney transplantation. The guideline development process followed an evidence-based approach, and management recommendations are based on systematic reviews of relevant treatment trials. Critical appraisal of the quality of the evidence and the strength of recommendations followed the Grades of Recommendation Assessment, Development, and Evaluation (GRADE) approach. The guideline makes recommendations for immunosuppression, graft monitoring, as well as prevention and treatment of infection, cardiovascular disease, malignancy, and other complications that are common in kidney transplant recipients, including hematological and bone disorders. Limitations of the evidence, especially on the lack of definitive clinical outcome trials, are discussed and suggestions are provided for future research.","container-title":"American Journal of Transplantation: Official Journal of the American Society of Transplantation and the American Society of Transplant Surgeons","DOI":"10.1111/j.1600-6143.2009.02834.x","ISSN":"1600-6143","journalAbbreviation":"Am J Transplant","language":"eng","note":"PMID: 19845597","page":"S1-155","source":"PubMed","title":"KDIGO clinical practice guideline for the care of kidney transplant recipients","volume":"9 Suppl 3","author":[{"literal":"Kidney Disease: Improving Global Outcomes (KDIGO) Transplant Work Group"}],"issued":{"date-parts":[["2009",11]]}}}],"schema":"https://github.com/citation-style-language/schema/raw/master/csl-citation.json"}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36</w:t>
      </w:r>
      <w:r>
        <w:rPr>
          <w:rFonts w:cstheme="minorHAnsi"/>
          <w:vertAlign w:val="superscript"/>
        </w:rPr>
        <w:fldChar w:fldCharType="end"/>
      </w:r>
      <w:r w:rsidRPr="00CA78A5">
        <w:rPr>
          <w:rFonts w:cstheme="minorHAnsi"/>
        </w:rPr>
        <w:t xml:space="preserve">. </w:t>
      </w:r>
    </w:p>
    <w:p w14:paraId="49FD4A7D" w14:textId="4563E78F" w:rsidR="00076320" w:rsidRPr="00B754F5" w:rsidRDefault="00076320" w:rsidP="00076320">
      <w:pPr>
        <w:spacing w:before="100" w:beforeAutospacing="1" w:after="100" w:afterAutospacing="1"/>
        <w:rPr>
          <w:rFonts w:cstheme="minorHAnsi"/>
        </w:rPr>
      </w:pPr>
      <w:r w:rsidRPr="00CA78A5">
        <w:rPr>
          <w:rFonts w:cstheme="minorHAnsi"/>
        </w:rPr>
        <w:lastRenderedPageBreak/>
        <w:t>Compared with placebo and azathioprine, mycophenolic acid based compounds, (</w:t>
      </w:r>
      <w:r>
        <w:rPr>
          <w:rFonts w:cstheme="minorHAnsi"/>
        </w:rPr>
        <w:t>mycophenolate mofetil and</w:t>
      </w:r>
      <w:r w:rsidRPr="00CA78A5">
        <w:rPr>
          <w:rFonts w:cstheme="minorHAnsi"/>
        </w:rPr>
        <w:t xml:space="preserve"> mycophenolate sodium) reduce the risk of acute rejection</w:t>
      </w:r>
      <w:r>
        <w:rPr>
          <w:rFonts w:cstheme="minorHAnsi"/>
        </w:rPr>
        <w:t xml:space="preserve"> and increase graft survival</w:t>
      </w:r>
      <w:r w:rsidRPr="00691CC6">
        <w:rPr>
          <w:rStyle w:val="apple-converted-space"/>
          <w:rFonts w:cstheme="minorHAnsi"/>
          <w:color w:val="000000" w:themeColor="text1"/>
          <w:shd w:val="clear" w:color="auto" w:fill="FFFFFF"/>
        </w:rPr>
        <w:t> </w:t>
      </w:r>
      <w:r>
        <w:rPr>
          <w:rStyle w:val="apple-converted-space"/>
          <w:rFonts w:cstheme="minorHAnsi"/>
          <w:color w:val="000000" w:themeColor="text1"/>
          <w:shd w:val="clear" w:color="auto" w:fill="FFFFFF"/>
        </w:rPr>
        <w:fldChar w:fldCharType="begin"/>
      </w:r>
      <w:r w:rsidR="006528EA">
        <w:rPr>
          <w:rStyle w:val="apple-converted-space"/>
          <w:rFonts w:cstheme="minorHAnsi"/>
          <w:color w:val="000000" w:themeColor="text1"/>
          <w:shd w:val="clear" w:color="auto" w:fill="FFFFFF"/>
        </w:rPr>
        <w:instrText xml:space="preserve"> ADDIN ZOTERO_ITEM CSL_CITATION {"citationID":"EvjuGk5P","properties":{"formattedCitation":"\\super 37\\uc0\\u8211{}39\\nosupersub{}","plainCitation":"37–39","noteIndex":0},"citationItems":[{"id":18932,"uris":["http://zotero.org/users/3444308/items/5HR8M6GV"],"itemData":{"id":18932,"type":"article-journal","abstract":"For three decades, tacrolimus (Tac) dose adjustment in clinical practice has been calculated empirically according to the manufacturer's labeling based on a patient's body weight. Here, we developed and validated a Population pharmacokinetic (PPK) model including pharmacogenetics (cluster CYP3A4/CYP3A5), age, and hematocrit. Our study aimed to assess the clinical applicability of this PPK model in the achievement of Tac Co (therapeutic trough Tac concentration) compared to the manufacturer's labelling dosage. A prospective two-arm, randomized, clinical trial was conducted to determine Tac starting and subsequent dose adjustments in 90 kidney transplant recipients. Patients were randomized to a control group with Tac adjustment according to the manufacturer's labeling or the PPK group adjusted to reach target Co (6-10 ng/ml) after the first steady state (primary endpoint) using a Bayesian prediction model (NONMEM). A significantly higher percentage of patients from the PPK group (54.8%) compared with the control group (20.8%) achieved the therapeutic target fulfilling 30% of the established superiority margin defined. Patients receiving PPK showed significantly less intra-patient variability compared to the control group, reached the Tac Co target sooner (5 days vs 10 days), and required significantly fewer Tac dose modifications compared to the control group within 90 days following kidney transplant. No statistically significant differences occurred in clinical outcomes. Thus, PPK-based Tac dosing offers significant superiority for starting Tac prescription over classical labeling-based dosing according to the body weight, which may optimize Tac-based therapy in the first days following transplantation.","container-title":"Kidney International","DOI":"10.1016/j.kint.2023.06.021","ISSN":"1523-1755","issue":"4","journalAbbreviation":"Kidney Int","language":"eng","note":"PMID: 37391040","page":"840-850","source":"PubMed","title":"A prospective controlled, randomized clinical trial of kidney transplant recipients developed personalized tacrolimus dosing using model-based Bayesian Prediction","volume":"104","author":[{"family":"Lloberas","given":"Nuria"},{"family":"Grinyó","given":"Josep M."},{"family":"Colom","given":"Helena"},{"family":"Vidal-Alabró","given":"Anna"},{"family":"Fontova","given":"Pere"},{"family":"Rigo-Bonnin","given":"Raul"},{"family":"Padró","given":"Ariadna"},{"family":"Bestard","given":"Oriol"},{"family":"Melilli","given":"Edoardo"},{"family":"Montero","given":"Nuria"},{"family":"Coloma","given":"Ana"},{"family":"Manonelles","given":"Anna"},{"family":"Meneghini","given":"Maria"},{"family":"Favà","given":"Alex"},{"family":"Torras","given":"Joan"},{"family":"Cruzado","given":"Josep M."}],"issued":{"date-parts":[["2023",10]]}}},{"id":18933,"uris":["http://zotero.org/users/3444308/items/G6RJMMXW"],"itemData":{"id":18933,"type":"article-journal","abstract":"BACKGROUND: Mycophenolate mofetil (MMF) has previously been shown to be significantly better than azathioprine (AZA) in the treatment of first acute renal transplant (Tx) rejection by 6 months after initiation of treatment. This report analyzes the 3-year safety and efficacy data from this cohort of patients.\nMETHODS: Renal Tx recipients with a first rejection episode occurring within 6 months after a first or second cadaver or living donor Tx were randomized, double-blind, to receive MMF (1.5 g b.i.d., n=113) or AZA (1-2 mg/kg, n = 108); both treatment arms also received i.v. corticosteroids (5 mg/kg/day for 5 days) followed by a steroid taper in conjunction with cyclosporine. Patients remained on blinded study medication for 1 year, after which they were converted to open-label study medication at the same dosage. All patients, including those who terminated early (&lt;3 yr) were followed for patient and graft survival, chronic renal allograft dysfunction (CRAD), and malignancy. CRAD was determined by the presence of at least two of the following: a biopsy with chronic rejection, proteinuria &gt;750 mg/day, or an increase in serum creatinine &gt;1 mg/dl over baseline. Patients who continued to receive the assigned medication were followed for additional rejections, renal function, and adverse events including infections.\nRESULTS: A total of 67 (59.3%) MMF-treated and 56 (51.9%) AZA-treated patients completed the 3-year study; follow-up was available for all randomized patients except one. At 3 years, the cumulative incidence of first subsequent biopsy-proven or presumptive rejection while receiving study drug was 42.2% in the MMF-treated and 68.8% in the AZA-treated patients; a difference of 26.6% (95% confidence interval: 13.4-39.9%). At 3 years, 19.6% of all MMF-treated and 24.1% of all AZA-treated patients lost their Tx or had died. Renal function was similar in both groups. The combined end point of CRAD or Tx loss without CRAD occurred in 23% and 26% of all MMF- and all AZA-treated patients, respectively. Leukopenia, diarrhea, and abdominal pain were the most commonly associated adverse events of MMF treatment. Malignancies (predominantly cutaneous) occurred in 14.2% of MMF-treated patients and 10.2% of AZA-treated patients. Three lymphomas occurred in each treatment arm.\nCONCLUSION: The addition of MMF at the time of renal Tx rejection reduces the frequency of subsequent rejections without causing new limiting side effects. Although Tx survival was better in the MMF group, comparison with AZA was confounded by the rate of premature terminations in both treatment groups.","container-title":"Transplantation","DOI":"10.1097/00007890-200104270-00014","ISSN":"0041-1337","issue":"8","journalAbbreviation":"Transplantation","language":"eng","note":"PMID: 11374408","page":"1091-1097","source":"PubMed","title":"Mycophenolate mofetil for the treatment of a first acute renal allograft rejection: three-year follow-up. The Mycophenolate Mofetil Acute Renal Rejection Study Group","title-short":"Mycophenolate mofetil for the treatment of a first acute renal allograft rejection","volume":"71","author":[{"literal":"Mycophenolate Mofetil Acute Renal Rejection Study Group"}],"issued":{"date-parts":[["2001",4,27]]}}},{"id":18931,"uris":["http://zotero.org/users/3444308/items/689RZ6PG"],"itemData":{"id":18931,"type":"article-journal","abstract":"BACKGROUND: Modern immunosuppressive regimens after kidney transplantation usually use a combination of two or three agents of different classes to prevent rejection and maintain graft function. Most frequently, calcineurin-inhibitors (CNI) are combined with corticosteroids and a proliferation-inhibitor, either azathioprine (AZA) or mycophenolic acid (MPA). MPA has largely replaced AZA as a first line agent in primary immunosuppression, as MPA is believed to be of stronger immunosuppressive potency than AZA. However, treatment with MPA is more costly, which calls for a comprehensive assessment of the comparative effects of the two drugs.\nOBJECTIVES: This review of randomised controlled trials (RCTs) aimed to look at the benefits and harms of MPA versus AZA in primary immunosuppressive regimens after kidney transplantation. Both agents were compared regarding their efficacy for maintaining graft and patient survival, prevention of acute rejection, maintaining graft function, and their safety, including infections, malignancies and other adverse events. Furthermore, we investigated potential effect modifiers, such as transplantation era and the concomitant immunosuppressive regimen in detail.\nSEARCH METHODS: We searched Cochrane Kidney and Transplant's Specialised Register (to 21 September 2015) through contact with the Trials' Search Co-ordinator using search terms relevant to this review.\nSELECTION CRITERIA: All RCTs about MPA versus AZA in primary immunosuppression after kidney transplantation were included, without restriction on language or publication type.\nDATA COLLECTION AND ANALYSIS: Two authors independently determined study eligibility, assessed risk of bias and extracted data from each study. Statistical analyses were performed using the random-effects model and the results were expressed as risk ratio (RR) for dichotomous outcomes and mean difference (MD) for continuous outcomes with 95% confidence intervals (CI).\nMAIN RESULTS: We included 23 studies (94 reports) that involved 3301 participants. All studies tested mycophenolate mofetil (MMF), an MPA, and 22 studies reported at least one outcome relevant for this review. Assessment of methodological quality indicated that important information on factors used to judge susceptibility for bias was infrequently and inconsistently reported.MMF treatment reduced the risk for graft loss including death (RR 0.82, 95% CI 0.67 to 1.0) and for death-censored graft loss (RR 0.78, 95% CI 0.62 to 0.99, P &lt; 0.05). No statistically significant difference for MMF versus AZA treatment was found for all-cause mortality (16 studies, 2987 participants: RR 0.95, 95% CI 0.70 to 1.29). The risk for any acute rejection (22 studies, 3301 participants: RR 0.65, 95% CI 0.57 to 0.73, P &lt; 0.01), biopsy-proven acute rejection (12 studies, 2696 participants: RR 0.59, 95% CI 0.52 to 0.68) and antibody-treated acute rejection (15 studies, 2914 participants: RR 0.48, 95% CI 0.36 to 0.65, P &lt; 0.01) were reduced in MMF treated patients. Meta-regression analyses suggested that the magnitude of risk reduction of acute rejection may be dependent on the control rate (relative risk reduction (RRR) 0.34, 95% CI 0.10 to 1.09, P = 0.08), AZA dose (RRR 1.01, 95% CI 1.00 to 1.01, P = 0.10) and the use of cyclosporin A micro-emulsion (RRR 1.27, 95% CI 0.98 to 1.65, P = 0.07). Pooled analyses failed to show a significant and meaningful difference between MMF and AZA in kidney function measures.Data on malignancies and infections were sparse, except for cytomegalovirus (CMV) infections. The risk for CMV viraemia/syndrome (13 studies, 2880 participants: RR 1.06, 95% CI 0.85 to 1.32) was not statistically significantly different between MMF and AZA treated patients, whereas the likelihood of tissue-invasive CMV disease was greater with MMF therapy (7 studies, 1510 participants: RR 1.70, 95% CI 1.10 to 2.61). Adverse event profiles varied: gastrointestinal symptoms were more likely in MMF treated patients and thrombocytopenia and elevated liver enzymes were more common in AZA treatment.\nAUTHORS' CONCLUSIONS: MMF was superior to AZA for improvement of graft survival and prevention of acute rejection after kidney transplantation. These benefits must be weighed against potential harms such as tissue-invasive CMV disease. However, assessment of the evidence on safety outcomes was limited due to rare events in the observation periods of the studies (e.g. malignancies) and inconsistent reporting and definitions (e.g. infections, adverse events). Thus, balancing benefits and harms of the two drugs remains a major task of the transplant physician to decide which agent the individual patient should be started on.","container-title":"The Cochrane Database of Systematic Reviews","DOI":"10.1002/14651858.CD007746.pub2","ISSN":"1469-493X","issue":"12","journalAbbreviation":"Cochrane Database Syst Rev","language":"eng","note":"PMID: 26633102\nPMCID: PMC10986644","page":"CD007746","source":"PubMed","title":"Mycophenolic acid versus azathioprine as primary immunosuppression for kidney transplant recipients","volume":"2015","author":[{"family":"Wagner","given":"Martin"},{"family":"Earley","given":"Amy K."},{"family":"Webster","given":"Angela C."},{"family":"Schmid","given":"Christopher H."},{"family":"Balk","given":"Ethan M."},{"family":"Uhlig","given":"Katrin"}],"issued":{"date-parts":[["2015",12,3]]}}}],"schema":"https://github.com/citation-style-language/schema/raw/master/csl-citation.json"} </w:instrText>
      </w:r>
      <w:r>
        <w:rPr>
          <w:rStyle w:val="apple-converted-space"/>
          <w:rFonts w:cstheme="minorHAnsi"/>
          <w:color w:val="000000" w:themeColor="text1"/>
          <w:shd w:val="clear" w:color="auto" w:fill="FFFFFF"/>
        </w:rPr>
        <w:fldChar w:fldCharType="separate"/>
      </w:r>
      <w:r w:rsidR="00A04B9C" w:rsidRPr="00A04B9C">
        <w:rPr>
          <w:rFonts w:ascii="Calibri" w:hAnsi="Calibri" w:cs="Calibri"/>
          <w:vertAlign w:val="superscript"/>
        </w:rPr>
        <w:t>37–39</w:t>
      </w:r>
      <w:r>
        <w:rPr>
          <w:rStyle w:val="apple-converted-space"/>
          <w:rFonts w:cstheme="minorHAnsi"/>
          <w:color w:val="000000" w:themeColor="text1"/>
          <w:shd w:val="clear" w:color="auto" w:fill="FFFFFF"/>
        </w:rPr>
        <w:fldChar w:fldCharType="end"/>
      </w:r>
      <w:r w:rsidRPr="00CA78A5">
        <w:rPr>
          <w:rFonts w:cstheme="minorHAnsi"/>
        </w:rPr>
        <w:t>. The evidence comparing MPA to placebo consistently demonstrates lower rates of acute rejection with MPA but at the expense of increased bone marrow suppression and increased opportunistic infection rates. Absolute numbers of patients with gastrointestinal side effects are higher with MMF though this is not significant. There is limited evidence that mycophenolate sodium leads to a reduced incidence of gastrointestinal side effects compared to mycophenolate mofetil, albeit in studies specifically addressing patients with gastrointestinal side effects, rather than larger studies of KTRs</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{"citationID":"dMBmDymP","properties":{"formattedCitation":"\\super 40\\nosupersub{}","plainCitation":"40","noteIndex":0},"citationItems":[{"id":18930,"uris":["http://zotero.org/users/3444308/items/PRCUUA6E"],"itemData":{"id":18930,"type":"article-journal","abstract":"Despite the potential tolerability advantage of enteric-coated mycophenolate sodium (EC-MPS), no prospective, randomized trial has evaluated whether conversion from mycophenolate mofetil (MMF) to EC-MPS permits mycophenolic acid dose to be increased or gastrointestinal side-effects to be ameliorated. In a randomized, multicenter, open-label trial, kidney transplant recipients experiencing gastrointestinal side-effects either remained on MMF or switched to an equimolar dose of EC-MPS, adjusted 2 weeks subsequently to target the highest tolerated dose up to 1440 mg/day (EC-MPS) or 2000 mg/day (MMF). Patients were followed up to 12 weeks postrandomization. One hundred and thirty-four patients were randomized. The primary efficacy endpoint, the proportion of patients receiving a higher mycophenolic acid (MPA) dose at week 12 than at randomization, was significantly greater in the EC-MPS arm (32/68, 47.1%) than the MMF arm (10/61, 16.4%; P &lt; 0.001). At the final visit, 50.0% (34/68) of EC-MPS patients were receiving the maximum recommended dose versus 26.2% (16/61) of MMF patients (P = 0.007). Kidney transplant patients receiving reduced-dose MMF because of gastrointestinal side-effects can tolerate a significant increase in MPA dose after conversion to EC-MPS. Patient-reported gastrointestinal outcomes with higher doses of EC-MPS remained at least as good as in MMF-treated controls.","container-title":"Transplant International: Official Journal of the European Society for Organ Transplantation","DOI":"10.1111/j.1432-2277.2009.00877.x","ISSN":"1432-2277","issue":"8","journalAbbreviation":"Transpl Int","language":"eng","note":"PMID: 19386081","page":"821-830","source":"PubMed","title":"Effect of conversion from mycophenolate mofetil to enteric-coated mycophenolate sodium on maximum tolerated dose and gastrointestinal symptoms following kidney transplantation","volume":"22","author":[{"family":"Shehata","given":"Magdi"},{"family":"Bhandari","given":"Sunil"},{"family":"Venkat-Raman","given":"Gopalakrishnan"},{"family":"Moore","given":"Richard"},{"family":"D'Souza","given":"Richard"},{"family":"Riad","given":"Hany"},{"family":"Bakran","given":"Ali"},{"family":"Baker","given":"Richard"},{"family":"Needham","given":"Christine"},{"family":"Andrews","given":"Christopher"}],"issued":{"date-parts":[["2009",8]]}}}],"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40</w:t>
      </w:r>
      <w:r>
        <w:rPr>
          <w:rFonts w:cstheme="minorHAnsi"/>
          <w:vertAlign w:val="superscript"/>
        </w:rPr>
        <w:fldChar w:fldCharType="end"/>
      </w:r>
      <w:r w:rsidRPr="00CA78A5">
        <w:rPr>
          <w:rFonts w:cstheme="minorHAnsi"/>
        </w:rPr>
        <w:t>. All mycophenolic acid based compounds are associated with significant teratogenicity in women and a theoretical risk in men and should not be used in fertile KTRs who are unwilling to use reliable contraception</w:t>
      </w:r>
      <w:r>
        <w:rPr>
          <w:rFonts w:cstheme="minorHAnsi"/>
          <w:position w:val="10"/>
        </w:rPr>
        <w:t xml:space="preserve"> </w:t>
      </w:r>
      <w:r>
        <w:rPr>
          <w:rFonts w:cstheme="minorHAnsi"/>
          <w:position w:val="10"/>
        </w:rPr>
        <w:fldChar w:fldCharType="begin"/>
      </w:r>
      <w:r w:rsidR="006528EA">
        <w:rPr>
          <w:rFonts w:cstheme="minorHAnsi"/>
          <w:position w:val="10"/>
        </w:rPr>
        <w:instrText xml:space="preserve"> ADDIN ZOTERO_ITEM CSL_CITATION {"citationID":"8Xjyec0c","properties":{"formattedCitation":"\\super 41\\nosupersub{}","plainCitation":"41","noteIndex":0},"citationItems":[{"id":18929,"uris":["http://zotero.org/users/3444308/items/843KAM5U"],"itemData":{"id":18929,"type":"report","abstract":"Mycophenolate mofetil and its active metabolite mycophenolic acid are associated with a high rate of serious birth defects and increased risk of spontaneous abortion.","language":"en","title":"Mycophenolate mofetil, mycophenolic acid: new pregnancy-prevention advice for women and men","title-short":"Mycophenolate mofetil, mycophenolic acid","URL":"https://www.gov.uk/drug-safety-update/mycophenolate-mofetil-mycophenolic-acid-new-pregnancy-prevention-advice-for-women-and-men","author":[{"literal":"Medicines and Healthcare products Regulatory Agency"}],"accessed":{"date-parts":[["2025",10,21]]},"issued":{"date-parts":[["2015",12,14]]}}}],"schema":"https://github.com/citation-style-language/schema/raw/master/csl-citation.json"} </w:instrText>
      </w:r>
      <w:r>
        <w:rPr>
          <w:rFonts w:cstheme="minorHAnsi"/>
          <w:position w:val="10"/>
        </w:rPr>
        <w:fldChar w:fldCharType="separate"/>
      </w:r>
      <w:r w:rsidR="00A04B9C" w:rsidRPr="00A04B9C">
        <w:rPr>
          <w:rFonts w:ascii="Calibri" w:hAnsi="Calibri" w:cs="Calibri"/>
          <w:vertAlign w:val="superscript"/>
        </w:rPr>
        <w:t>41</w:t>
      </w:r>
      <w:r>
        <w:rPr>
          <w:rFonts w:cstheme="minorHAnsi"/>
          <w:position w:val="10"/>
        </w:rPr>
        <w:fldChar w:fldCharType="end"/>
      </w:r>
      <w:r w:rsidRPr="00CA78A5">
        <w:rPr>
          <w:rFonts w:cstheme="minorHAnsi"/>
        </w:rPr>
        <w:t xml:space="preserve"> </w:t>
      </w:r>
      <w:r>
        <w:rPr>
          <w:rFonts w:cstheme="minorHAnsi"/>
        </w:rPr>
        <w:t>The theoretical risks in men should be discussed as well as the risk of rejection if the KTR wishes to switch immunosuppressive agents.</w:t>
      </w:r>
    </w:p>
    <w:p w14:paraId="151F73F5" w14:textId="37BF4372" w:rsidR="00076320" w:rsidRPr="00CA78A5" w:rsidRDefault="00076320" w:rsidP="00076320">
      <w:pPr>
        <w:spacing w:before="100" w:beforeAutospacing="1" w:after="100" w:afterAutospacing="1"/>
        <w:rPr>
          <w:rFonts w:cstheme="minorHAnsi"/>
          <w:color w:val="212121"/>
        </w:rPr>
      </w:pPr>
      <w:r w:rsidRPr="00CA78A5">
        <w:rPr>
          <w:rFonts w:cstheme="minorHAnsi"/>
        </w:rPr>
        <w:t>Steroids have a well-documented adverse effect profile and there is heightened interest in steroid withdrawal and avoidance regimes. Whether low dose prednisolone (e.g. 5 mg daily) is associated with a similar adverse profile to higher dose regimens is unknown. Interestingly there is little evidence of an effect on insulin sensitivity between no steroids and 5 mg daily</w:t>
      </w:r>
      <w:r>
        <w:rPr>
          <w:rFonts w:cstheme="minorHAnsi"/>
        </w:rPr>
        <w:t xml:space="preserve"> </w:t>
      </w:r>
      <w:r>
        <w:rPr>
          <w:rFonts w:cstheme="minorHAnsi"/>
        </w:rPr>
        <w:fldChar w:fldCharType="begin"/>
      </w:r>
      <w:r w:rsidR="006528EA">
        <w:rPr>
          <w:rFonts w:cstheme="minorHAnsi"/>
        </w:rPr>
        <w:instrText xml:space="preserve"> ADDIN ZOTERO_ITEM CSL_CITATION {"citationID":"ilTu1AQ2","properties":{"formattedCitation":"\\super 42\\nosupersub{}","plainCitation":"42","noteIndex":0},"citationItems":[{"id":18928,"uris":["http://zotero.org/users/3444308/items/33LIHG8J"],"itemData":{"id":18928,"type":"article-journal","abstract":"Cardiovascular disease is a prevalent and serious complication after solid organ transplantation. Treatment with glucocorticoids is associated with increased risk for diabetes mellitus, insulin resistance, weight gain, hypercholesterolemia, and hypertension, all shown to be independent risk factors for cardiovascular disease. We sought to test the hypothesis that tapering of prednisolone (TAP) the first year after renal transplantation improves insulin sensitivity (IS), and to assess the effect of complete steroid withdrawal (SW) on IS in patients on a cyclosporine-based immunosuppressive regimen. All patients (n = 57) completed two consecutive hyperinsulinemic euglycemic glucose clamp procedures, a TAP group (n = 34) and a control group (n = 12) at 3 and 12 mo after transplantation, and a SW group (n = 11) before and 5 mo after SW. The IS index (ISI) was calculated as the glucose disposal rate divided by mean serum insulin the last 60 min of the clamp. In the TAP group, the mean (range) daily prednisolone was reduced from 16 (10 to 30) to 9 (5 to 12.5) mg accompanied by an average increased ISI of 24% (P = 0.008). In contrast, no significant change in ISI was observed in the control group (0%, P = 0.988). In the SW group, withdrawal of 5 mg prednisolone did not influence mean ISI significantly (-8%, P = 0.206). Lowering daily prednisolone toward 5 mg/d has beneficial effects on insulin action after renal transplantation, but withdrawal of 5 mg prednisolone may not influence IS significantly.","container-title":"Journal of the American Society of Nephrology: JASN","DOI":"10.1097/01.ASN.0000145435.80005.1E","ISSN":"1046-6673","issue":"12","journalAbbreviation":"J Am Soc Nephrol","language":"eng","note":"PMID: 15579527","page":"3233-3239","source":"PubMed","title":"Insulin resistance after renal transplantation: the effect of steroid dose reduction and withdrawal","title-short":"Insulin resistance after renal transplantation","volume":"15","author":[{"family":"Midtvedt","given":"Karsten"},{"family":"Hjelmesaeth","given":"Jøran"},{"family":"Hartmann","given":"Anders"},{"family":"Lund","given":"Kirsten"},{"family":"Paulsen","given":"Dag"},{"family":"Egeland","given":"Thore"},{"family":"Jenssen","given":"Trond"}],"issued":{"date-parts":[["2004",12]]}}}],"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42</w:t>
      </w:r>
      <w:r>
        <w:rPr>
          <w:rFonts w:cstheme="minorHAnsi"/>
        </w:rPr>
        <w:fldChar w:fldCharType="end"/>
      </w:r>
      <w:r w:rsidRPr="00CA78A5">
        <w:rPr>
          <w:rFonts w:cstheme="minorHAnsi"/>
        </w:rPr>
        <w:t xml:space="preserve">. </w:t>
      </w:r>
      <w:proofErr w:type="gramStart"/>
      <w:r w:rsidRPr="00CA78A5">
        <w:rPr>
          <w:rFonts w:cstheme="minorHAnsi"/>
        </w:rPr>
        <w:t>The majority of</w:t>
      </w:r>
      <w:proofErr w:type="gramEnd"/>
      <w:r w:rsidRPr="00CA78A5">
        <w:rPr>
          <w:rFonts w:cstheme="minorHAnsi"/>
        </w:rPr>
        <w:t xml:space="preserve"> accumulated trial evidence in renal transplantation has involved steroid-containing regimes and there is little information on steroid withdrawal/avoidance. There are no differences in graft survival between patients treated with or without maintenance corticosteroids beyond the first week after kidney transplantation and avoidance beyond the first week after kidney transplantation reduces adverse effects. Early withdrawal and avoidance studies show increased acute rejection rates but without an effect on graft </w:t>
      </w:r>
      <w:r w:rsidRPr="009B1142">
        <w:rPr>
          <w:rFonts w:cstheme="minorHAnsi"/>
          <w:color w:val="000000" w:themeColor="text1"/>
        </w:rPr>
        <w:t>survival</w:t>
      </w:r>
      <w:r>
        <w:rPr>
          <w:rFonts w:cstheme="minorHAnsi"/>
          <w:color w:val="000000" w:themeColor="text1"/>
          <w:shd w:val="clear" w:color="auto" w:fill="FFFFFF"/>
          <w:vertAlign w:val="superscript"/>
        </w:rPr>
        <w:t xml:space="preserve"> </w:t>
      </w:r>
      <w:r>
        <w:rPr>
          <w:rFonts w:cstheme="minorHAnsi"/>
          <w:color w:val="000000" w:themeColor="text1"/>
          <w:shd w:val="clear" w:color="auto" w:fill="FFFFFF"/>
          <w:vertAlign w:val="superscript"/>
        </w:rPr>
        <w:fldChar w:fldCharType="begin"/>
      </w:r>
      <w:r w:rsidR="006528EA">
        <w:rPr>
          <w:rFonts w:cstheme="minorHAnsi"/>
          <w:color w:val="000000" w:themeColor="text1"/>
          <w:shd w:val="clear" w:color="auto" w:fill="FFFFFF"/>
          <w:vertAlign w:val="superscript"/>
        </w:rPr>
        <w:instrText xml:space="preserve"> ADDIN ZOTERO_ITEM CSL_CITATION {"citationID":"at8BjhYA","properties":{"formattedCitation":"\\super 43\\uc0\\u8211{}45\\nosupersub{}","plainCitation":"43–45","noteIndex":0},"citationItems":[{"id":18927,"uris":["http://zotero.org/users/3444308/items/CFYIUJBK"],"itemData":{"id":18927,"type":"article-journal","abstract":"Protocols incorporating rapid discontinuation of prednisone (RDP) after kidney transplantation have been associated with good short-term results. However, concern remains that RDP will be associated with decreased long-term graft survival rates. We compared kidney transplant half-life (t1/2) for recipients treated with antibody induction, calcineurin inhibitor, antimetabolite, and RDP versus historical controls treated with antibody induction, calcineurin inhibitor, antimetabolite, and maintenance prednisone. For both living and deceased donor recipients, we found no difference between groups. We also found no differences in rate of graft loss to acute rejection or to tubular atrophy and interstitial fibrosis. Our study suggests that long-term graft outcome is not decreased when using RDP protocols versus chronic maintenance prednisone.","container-title":"Transplantation","DOI":"10.1097/TP.0b013e31818c25ab","ISSN":"1534-6080","issue":"1","journalAbbreviation":"Transplantation","language":"eng","note":"PMID: 19136898\nPMCID: PMC2766173","page":"100-102","source":"PubMed","title":"Kidney transplant half-life (t[1/2]) after rapid discontinuation of prednisone","volume":"87","author":[{"family":"Matas","given":"Arthur J."},{"family":"Gillingham","given":"Kristen"},{"family":"Kandaswamy","given":"Raja"},{"family":"Dunn","given":"Ty B."},{"family":"Payne","given":"William D."},{"family":"Sutherland","given":"David E. R."},{"family":"Humar","given":"Abhinav"}],"issued":{"date-parts":[["2009",1,15]]}}},{"id":18926,"uris":["http://zotero.org/users/3444308/items/JJWY786W"],"itemData":{"id":18926,"type":"article-journal","abstract":"Concern persists that prednisone-free maintenance immunosuppression in kidney transplant recipients will be associated with an increase in late allograft dysfunction and graft loss. We herein report 5-year follow-up of a trial of prednisone-free maintenance immunosuppression. From October 1, 1999, through January 31, 2005, at our center, 589 kidney transplant recipients were treated with a protocol incorporating discontinuation of their prednisone on postoperative day 6. At 5 years, actuarial patient survival was 91%; graft survival, 84%; death-censored graft survival, 92%; acute rejection-free graft survival, 84% and chronic rejection-free graft survival, 87%. The mean serum creatinine level (+/-SD) at 1 year was 1.6 +/- 0.6; at 5 years, 1.7 +/- 0.8. In all, 86% of kidney recipients with functioning grafts remain prednisone-free as of April 30, 2005. As compared with historical controls, recipients on prednisone-free maintenance immunosuppression had a significantly lower rate of a number of complications, including cataracts (p &lt; 0.001), posttransplant diabetes mellitus (p &lt; 0.001), avascular necrosis (p = 0.001), and fractures (p = 0.004). We conclude that prednisone-related side effects can be minimized in a protocol incorporating prednisone-free maintenance immunosuppression. Five-year graft outcome remains good.","container-title":"American Journal of Transplantation: Official Journal of the American Society of Transplantation and the American Society of Transplant Surgeons","DOI":"10.1111/j.1600-6143.2005.01051.x","ISSN":"1600-6135","issue":"10","journalAbbreviation":"Am J Transplant","language":"eng","note":"PMID: 16162197","page":"2473-2478","source":"PubMed","title":"Prednisone-free maintenance immunosuppression-a 5-year experience","volume":"5","author":[{"family":"Matas","given":"Arthur J."},{"family":"Kandaswamy","given":"Raja"},{"family":"Gillingham","given":"Kristen J."},{"family":"McHugh","given":"Lois"},{"family":"Ibrahim","given":"Hassan"},{"family":"Kasiske","given":"Bertram"},{"family":"Humar","given":"Abhinav"}],"issued":{"date-parts":[["2005",10]]}}},{"id":18925,"uris":["http://zotero.org/users/3444308/items/JZ7JYLSY"],"itemData":{"id":18925,"type":"article-journal","abstract":"OBJECTIVE: To compare outcomes with early corticosteroid withdrawal (CSWD) and chronic low dose corticosteroid therapy (CCS).\nSUMMARY BACKGROUND DATA: Final, 5-year results from the first randomized, double-blind, placebo-controlled trial of early CSWD (at 7 days posttransplant) are presented.\nMETHODS: Adult recipients of deceased and living donor kidney transplants without delayed graft function were randomized to receive prednisone (5 mg/d after 6 months posttransplant) or CSWD. Blinding was maintained for 5 years. This clinical trial is registered at www.clinicaltrials.gov (NCT00650468).\nRESULTS: Results in 386 patients CSWD (n = 191), CCS (n = 195) are presented (CSWD; CCS). No differences were observed at 5 years in the proportion of patients experiencing: primary end point (composite of death, graft loss, or moderate/severe acute rejection) (30/191 (15.7%); 28/195 (14.4%)), patient death (11/191(5.8%);13/195 (6.7%)), death-censored graft loss (11/191 (5.8%); 7/195(3.6%)), biopsy confirmed acute rejection (BCAR) (34/191 (17.8%); 21/195 (10.8%), P = 0.058), moderate/severe acute rejection (15/191 (7.9%); 12/195 (6.2%)). Kaplan Meier analyses of the primary end point and its components also showed no differences; but BCAR was higher with CSWD (P = 0.04). Increased BCAR episodes were primarily corticosteroid-sensitive Banff 1A rejections: the incidence of antibody-treated BCAR was similar between groups (11/191 (5.8%); 13/195 (6.7%)). No differences in renal function were observed at 5 years: mean serum creatinine (1.5 +/- 0.6; 1.5 +/- 0.7 mg/dL), or Cockroft Gault calculated creatinine clearance (58.6 +/- 19.7; 59.8 +/- 20.5 mL/min). CSWD was associated with improved serum triglycerides (evaluated by mean and median change from baseline) at all time points (except at 5 years measured by mean change). Weight change also demonstrated changes favoring CSWD (median change from baseline at 5 years: 5.1 vs. 7.7 kg, P = 0.05). New onset diabetes after transplant (NODAT) was similar with respect to proportions who required treatment (23/107 (21.5%)); 18/86 (20.9%); however, fewer CSWD patients required insulin for NODAT at 5 years (4/107 (3.7%)); 10/86 (11.6%), P = 0.049). Changes in HgA1c values (from baseline) were lower in CSWD patients at all time points except 4 years.\nCONCLUSIONS: Early CSWD, compared with CCS, is associated with an increase in BCAR primarily because of mild, Banff 1A, steroid-sensitive rejection, yet provides similar long-term renal allograft survival and function. CSWD provides improvements in cardiovascular risk factors (triglycerides, NODAT requiring insulin, weight gain). Tacrolimus/MMF/antibody induction therapy allows early CSWD with results comparable to long-term low dose (5 mg/d) prednisone therapy.","container-title":"Annals of Surgery","DOI":"10.1097/SLA.0b013e318187d1da","ISSN":"1528-1140","issue":"4","journalAbbreviation":"Ann Surg","language":"eng","note":"PMID: 18936569","page":"564-577","source":"PubMed","title":"A prospective, randomized, double-blind, placebo-controlled multicenter trial comparing early (7 day) corticosteroid cessation versus long-term, low-dose corticosteroid therapy","volume":"248","author":[{"family":"Woodle","given":"E. Steve"},{"family":"First","given":"M. Roy"},{"family":"Pirsch","given":"John"},{"family":"Shihab","given":"Fuad"},{"family":"Gaber","given":"A. Osama"},{"family":"Van Veldhuisen","given":"Paul"},{"literal":"Astellas Corticosteroid Withdrawal Study Group"}],"issued":{"date-parts":[["2008",10]]}}}],"schema":"https://github.com/citation-style-language/schema/raw/master/csl-citation.json"} </w:instrText>
      </w:r>
      <w:r>
        <w:rPr>
          <w:rFonts w:cstheme="minorHAnsi"/>
          <w:color w:val="000000" w:themeColor="text1"/>
          <w:shd w:val="clear" w:color="auto" w:fill="FFFFFF"/>
          <w:vertAlign w:val="superscript"/>
        </w:rPr>
        <w:fldChar w:fldCharType="separate"/>
      </w:r>
      <w:r w:rsidR="00A04B9C" w:rsidRPr="00A04B9C">
        <w:rPr>
          <w:rFonts w:ascii="Calibri" w:hAnsi="Calibri" w:cs="Calibri"/>
          <w:vertAlign w:val="superscript"/>
        </w:rPr>
        <w:t>43–45</w:t>
      </w:r>
      <w:r>
        <w:rPr>
          <w:rFonts w:cstheme="minorHAnsi"/>
          <w:color w:val="000000" w:themeColor="text1"/>
          <w:shd w:val="clear" w:color="auto" w:fill="FFFFFF"/>
          <w:vertAlign w:val="superscript"/>
        </w:rPr>
        <w:fldChar w:fldCharType="end"/>
      </w:r>
      <w:r w:rsidRPr="00CA78A5">
        <w:rPr>
          <w:rFonts w:cstheme="minorHAnsi"/>
        </w:rPr>
        <w:t xml:space="preserve">. In contrast, steroid withdrawal studies later than one month after transplantation generally show increased rejection rates. Long-term follow up is required to fully assess these effects. </w:t>
      </w:r>
      <w:proofErr w:type="gramStart"/>
      <w:r w:rsidRPr="00CA78A5">
        <w:rPr>
          <w:rFonts w:cstheme="minorHAnsi"/>
        </w:rPr>
        <w:t>It is clear that close</w:t>
      </w:r>
      <w:proofErr w:type="gramEnd"/>
      <w:r w:rsidRPr="00CA78A5">
        <w:rPr>
          <w:rFonts w:cstheme="minorHAnsi"/>
        </w:rPr>
        <w:t xml:space="preserve"> vigilance is required with steroid avoidance regimes since acute rejection rates will probably be higher. Patients with graft rejection should probably be maintained on long-term oral </w:t>
      </w:r>
      <w:r w:rsidRPr="00396614">
        <w:rPr>
          <w:rFonts w:cstheme="minorHAnsi"/>
          <w:color w:val="000000" w:themeColor="text1"/>
        </w:rPr>
        <w:t>steroids</w:t>
      </w:r>
      <w:r>
        <w:rPr>
          <w:rFonts w:cstheme="minorHAnsi"/>
          <w:color w:val="000000" w:themeColor="text1"/>
          <w:shd w:val="clear" w:color="auto" w:fill="FFFFFF"/>
          <w:vertAlign w:val="superscript"/>
        </w:rPr>
        <w:t xml:space="preserve"> </w:t>
      </w:r>
      <w:r>
        <w:rPr>
          <w:rFonts w:cstheme="minorHAnsi"/>
          <w:color w:val="000000" w:themeColor="text1"/>
          <w:shd w:val="clear" w:color="auto" w:fill="FFFFFF"/>
          <w:vertAlign w:val="superscript"/>
        </w:rPr>
        <w:fldChar w:fldCharType="begin"/>
      </w:r>
      <w:r w:rsidR="006528EA">
        <w:rPr>
          <w:rFonts w:cstheme="minorHAnsi"/>
          <w:color w:val="000000" w:themeColor="text1"/>
          <w:shd w:val="clear" w:color="auto" w:fill="FFFFFF"/>
          <w:vertAlign w:val="superscript"/>
        </w:rPr>
        <w:instrText xml:space="preserve"> ADDIN ZOTERO_ITEM CSL_CITATION {"citationID":"SZ909Vu3","properties":{"formattedCitation":"\\super 46\\nosupersub{}","plainCitation":"46","noteIndex":0},"citationItems":[{"id":18924,"uris":["http://zotero.org/users/3444308/items/P3F5UTX8"],"itemData":{"id":18924,"type":"article-journal","abstract":"Roughly 15% of kidney transplant recipients on a rapid discontinuation of prednisone (RDP) protocol have &gt; or =1 episode of acute rejection (AR). One clinically important question is whether long-term maintenance steroids should be introduced in those recipients having AR. Of 842 adult kidney transplant recipients on an RDP protocol, 149 (17.7%) have had at least 1 AR episode. Of these, 51 (34%) started on maintenance prednisone (5 mg/day) after treatment of the AR, while 98 (66%) remained steroid free. Demographics for the two groups were similar. With mean follow-up of 26 months, 48 (32%) of the recipients have had a 2nd AR episode: 15 (29.4%) in those on maintenance steroids vs. 33 (33.7%) in those remaining steroid free (p = 0.12). Graft survival was not significantly different between the two groups. Multivariate analysis of risk factors for a 2nd episode found the histologic appearance of the initial AR episode to be the most significant risk factor. But, whether steroids were added to the maintenance regimen or not, also seemed to have an impact (RR = 2.1, p = 0.07). At present there is evidence to suggest that some SA patients should start on maintenance steroids after AR. However, longer follow-up with more patients is necessary.","container-title":"American Journal of Transplantation: Official Journal of the American Society of Transplantation and the American Society of Transplant Surgeons","DOI":"10.1111/j.1600-6143.2007.01883.x","ISSN":"1600-6135","issue":"8","journalAbbreviation":"Am J Transplant","language":"eng","note":"PMID: 17617858","page":"1948-1953","source":"PubMed","title":"Steroid avoidance regimens: a comparison of outcomes with maintenance steroids versus continued steroid avoidance in recipients having an acute rejection episode","title-short":"Steroid avoidance regimens","volume":"7","author":[{"family":"Humar","given":"A."},{"family":"Gillingham","given":"K."},{"family":"Kandaswamy","given":"R."},{"family":"Payne","given":"W."},{"family":"Matas","given":"A."}],"issued":{"date-parts":[["2007",8]]}}}],"schema":"https://github.com/citation-style-language/schema/raw/master/csl-citation.json"} </w:instrText>
      </w:r>
      <w:r>
        <w:rPr>
          <w:rFonts w:cstheme="minorHAnsi"/>
          <w:color w:val="000000" w:themeColor="text1"/>
          <w:shd w:val="clear" w:color="auto" w:fill="FFFFFF"/>
          <w:vertAlign w:val="superscript"/>
        </w:rPr>
        <w:fldChar w:fldCharType="separate"/>
      </w:r>
      <w:r w:rsidR="00A04B9C" w:rsidRPr="00A04B9C">
        <w:rPr>
          <w:rFonts w:ascii="Calibri" w:hAnsi="Calibri" w:cs="Calibri"/>
          <w:vertAlign w:val="superscript"/>
        </w:rPr>
        <w:t>46</w:t>
      </w:r>
      <w:r>
        <w:rPr>
          <w:rFonts w:cstheme="minorHAnsi"/>
          <w:color w:val="000000" w:themeColor="text1"/>
          <w:shd w:val="clear" w:color="auto" w:fill="FFFFFF"/>
          <w:vertAlign w:val="superscript"/>
        </w:rPr>
        <w:fldChar w:fldCharType="end"/>
      </w:r>
      <w:r w:rsidRPr="00CA78A5">
        <w:rPr>
          <w:rFonts w:cstheme="minorHAnsi"/>
        </w:rPr>
        <w:t xml:space="preserve">. </w:t>
      </w:r>
      <w:r>
        <w:rPr>
          <w:rFonts w:cstheme="minorHAnsi"/>
        </w:rPr>
        <w:t xml:space="preserve">Due to the adverse effects associated with long term steroid use, KTR who remain on steroids after the induction period should have the risks and benefits of steroid treatment and withdrawal discussed with them to determine a suitable </w:t>
      </w:r>
      <w:proofErr w:type="gramStart"/>
      <w:r>
        <w:rPr>
          <w:rFonts w:cstheme="minorHAnsi"/>
        </w:rPr>
        <w:t>long term</w:t>
      </w:r>
      <w:proofErr w:type="gramEnd"/>
      <w:r>
        <w:rPr>
          <w:rFonts w:cstheme="minorHAnsi"/>
        </w:rPr>
        <w:t xml:space="preserve"> plan.</w:t>
      </w:r>
    </w:p>
    <w:p w14:paraId="72B0299C" w14:textId="6881FBB1" w:rsidR="00076320" w:rsidRPr="00CA78A5" w:rsidRDefault="00076320" w:rsidP="00076320">
      <w:pPr>
        <w:spacing w:before="100" w:beforeAutospacing="1" w:after="100" w:afterAutospacing="1"/>
        <w:rPr>
          <w:rFonts w:cstheme="minorHAnsi"/>
        </w:rPr>
      </w:pPr>
      <w:r w:rsidRPr="00CA78A5">
        <w:rPr>
          <w:rFonts w:cstheme="minorHAnsi"/>
        </w:rPr>
        <w:t>There are now substantially more older patients receiving kidney transplants, in the United States, the percentage of kidney transplant recipients age &gt;65 years increased from 14% in 1999 to 24% in 2018.  Although the rate of ACR reduces by age</w:t>
      </w:r>
      <w:r>
        <w:rPr>
          <w:rFonts w:cstheme="minorHAnsi"/>
        </w:rPr>
        <w:t>,</w:t>
      </w:r>
      <w:r w:rsidRPr="00CA78A5">
        <w:rPr>
          <w:rFonts w:cstheme="minorHAnsi"/>
        </w:rPr>
        <w:t xml:space="preserve"> the incident of graft loss following a rejection episode is significantly increased in elderly recipients. </w:t>
      </w:r>
      <w:proofErr w:type="gramStart"/>
      <w:r w:rsidRPr="00CA78A5">
        <w:rPr>
          <w:rFonts w:cstheme="minorHAnsi"/>
        </w:rPr>
        <w:t>A number of</w:t>
      </w:r>
      <w:proofErr w:type="gramEnd"/>
      <w:r w:rsidRPr="00CA78A5">
        <w:rPr>
          <w:rFonts w:cstheme="minorHAnsi"/>
        </w:rPr>
        <w:t xml:space="preserve"> factors also increase the susceptibility of elderly KTR to CV disease, infection and malignancy. This means that the balance of immunosuppression </w:t>
      </w:r>
      <w:proofErr w:type="gramStart"/>
      <w:r w:rsidRPr="00CA78A5">
        <w:rPr>
          <w:rFonts w:cstheme="minorHAnsi"/>
        </w:rPr>
        <w:t>has to</w:t>
      </w:r>
      <w:proofErr w:type="gramEnd"/>
      <w:r w:rsidRPr="00CA78A5">
        <w:rPr>
          <w:rFonts w:cstheme="minorHAnsi"/>
        </w:rPr>
        <w:t xml:space="preserve"> be carefully considered in this patient group. Registry analysis of older (&gt;65 years) vs younger (18-64 years) </w:t>
      </w:r>
      <w:r>
        <w:rPr>
          <w:rFonts w:cstheme="minorHAnsi"/>
        </w:rPr>
        <w:t>KTR s</w:t>
      </w:r>
      <w:r w:rsidRPr="00CA78A5">
        <w:rPr>
          <w:rFonts w:cstheme="minorHAnsi"/>
        </w:rPr>
        <w:t xml:space="preserve">hows that </w:t>
      </w:r>
      <w:r w:rsidRPr="00CA78A5">
        <w:rPr>
          <w:rFonts w:cstheme="minorHAnsi"/>
        </w:rPr>
        <w:lastRenderedPageBreak/>
        <w:t xml:space="preserve">older </w:t>
      </w:r>
      <w:r>
        <w:rPr>
          <w:rFonts w:cstheme="minorHAnsi"/>
        </w:rPr>
        <w:t>people</w:t>
      </w:r>
      <w:r w:rsidRPr="00CA78A5">
        <w:rPr>
          <w:rFonts w:cstheme="minorHAnsi"/>
        </w:rPr>
        <w:t xml:space="preserve"> tend to be given lower intensity immunosuppression with tacrolimus and mycophenolate (</w:t>
      </w:r>
      <w:proofErr w:type="spellStart"/>
      <w:r w:rsidRPr="00CA78A5">
        <w:rPr>
          <w:rFonts w:cstheme="minorHAnsi"/>
        </w:rPr>
        <w:t>ie</w:t>
      </w:r>
      <w:proofErr w:type="spellEnd"/>
      <w:r w:rsidRPr="00CA78A5">
        <w:rPr>
          <w:rFonts w:cstheme="minorHAnsi"/>
        </w:rPr>
        <w:t xml:space="preserve"> steroid sparing) which appears beneficial whereas m</w:t>
      </w:r>
      <w:r w:rsidR="00877F80">
        <w:rPr>
          <w:rFonts w:cstheme="minorHAnsi"/>
        </w:rPr>
        <w:t>-</w:t>
      </w:r>
      <w:proofErr w:type="spellStart"/>
      <w:r w:rsidRPr="00CA78A5">
        <w:rPr>
          <w:rFonts w:cstheme="minorHAnsi"/>
        </w:rPr>
        <w:t>TORi</w:t>
      </w:r>
      <w:proofErr w:type="spellEnd"/>
      <w:r w:rsidRPr="00CA78A5">
        <w:rPr>
          <w:rFonts w:cstheme="minorHAnsi"/>
        </w:rPr>
        <w:t xml:space="preserve"> and ciclosporin based maintenance is linked to greater risks of adverse effects</w:t>
      </w:r>
      <w:r>
        <w:rPr>
          <w:rFonts w:cstheme="minorHAnsi"/>
        </w:rPr>
        <w:t xml:space="preserve"> in this group </w:t>
      </w:r>
      <w:r>
        <w:rPr>
          <w:rFonts w:cstheme="minorHAnsi"/>
          <w:vertAlign w:val="superscript"/>
        </w:rPr>
        <w:fldChar w:fldCharType="begin"/>
      </w:r>
      <w:r w:rsidR="006528EA">
        <w:rPr>
          <w:rFonts w:cstheme="minorHAnsi"/>
          <w:vertAlign w:val="superscript"/>
        </w:rPr>
        <w:instrText xml:space="preserve"> ADDIN ZOTERO_ITEM CSL_CITATION {"citationID":"eGtwCdId","properties":{"formattedCitation":"\\super 47,48\\nosupersub{}","plainCitation":"47,48","noteIndex":0},"citationItems":[{"id":18923,"uris":["http://zotero.org/users/3444308/items/BEEF3FPF"],"itemData":{"id":18923,"type":"article-journal","abstract":"PURPOSE OF REVIEW: While kidney transplantation improves the long-term survival of the majority of patients with end-stage kidney disease (ESKD), age-related immune dysfunction and associated comorbidities make older transplant recipients more susceptible to complications related to immunosuppression. In this review, we discuss appropriate management of immunosuppressive agents in older adults to minimize adverse events, avoid acute rejection, and maximize patient and graft survival.\nRECENT FINDINGS: Physiological changes associated with senescence can impact drug metabolism and increase the risk of posttransplant infection and malignancy. Clinical trials assessing the safety and efficacy of immunosuppressive agents in older adults are lacking. Recent findings from U.S. transplant registry-based studies suggest that risk-adjusted death-censored graft failure is higher among older patients who received antimetabolite avoidance, mammalian target of rapamycin inhibitor (mTORi)-based, and cyclosporine-based regimens. Observational data suggest that risk-adjusted mortality may be increased in older patients who receive mTORi-based and cyclosporine-based regimens but lower in those managed with T-cell induction and maintenance steroid avoidance/withdrawal.\nSUMMARY: Tailored immunosuppression management to improve patient and graft survival in older transplant recipients is an important goal of personalized medicine. Lower intensity immunosuppression, such as steroid-sparing regimens, appear beneficial whereas mTORi- and cyclosporine-based maintenance are associated with greater potential for adverse effects. Prospective clinical trials to assess the safety and efficacy of immunosuppression agents in older recipients are urgently needed.","container-title":"Current Transplantation Reports","DOI":"10.1007/s40472-021-00321-6","ISSN":"2196-3029","issue":"2","journalAbbreviation":"Curr Transplant Rep","language":"eng","note":"PMID: 34211822\nPMCID: PMC8244945","page":"100-110","source":"PubMed","title":"Immunosuppression Considerations for Older Kidney Transplant Recipients","volume":"8","author":[{"family":"Cheungpasitporn","given":"Wisit"},{"family":"Lentine","given":"Krista L."},{"family":"Tan","given":"Jane C."},{"family":"Kaufmann","given":"Matthew"},{"family":"Caliskan","given":"Yasar"},{"family":"Bunnapradist","given":"Suphamai"},{"family":"Lam","given":"Ngan N."},{"family":"Schnitzler","given":"Mark"},{"family":"Axelrod","given":"David A."}],"issued":{"date-parts":[["2021",6]]}}},{"id":18922,"uris":["http://zotero.org/users/3444308/items/YUW39HCT"],"itemData":{"id":18922,"type":"article-journal","abstract":"BACKGROUND: Although the population of older transplant recipients has increased dramatically, there are limited data describing the impact of immunosuppression regimen choice on outcomes in this recipient group.\nMETHODS: National data for US Medicare-insured adult kidney recipients (N = 67 362; 2005-2016) were examined to determine early immunosuppression regimen and associations with acute rejection, death-censored graft failure, and mortality using multivariable regression analysis in younger (18-64 y) and older (&gt;65 y) adults.\nRESULTS: The use of antithymocyte globulin (TMG) or alemtuzumab (ALEM) induction with triple maintenance immunosuppression (reference) was less common in older compared with younger (36.9% versus 47.0%) recipients, as was TMG/ALEM + steroid avoidance (19.2% versus 20.1%) and mammalian target of rapamycin inhibitor (mTORi)-based (6.7% versus 7.7%) treatments. Conversely, older patients were more likely to receive interleukin (IL)-2-receptor antibody (IL2rAb) + triple maintenance (21.1% versus 14.7%), IL2rAb + steroid avoidance (4.1% versus 1.8%), and cyclosporine-based (8.3% versus 6.6%) immunosuppression. Compared with older recipients treated with TMG/ALEM + triple maintenance (reference regimen), those managed with TMG/ALEM + steroid avoidance (adjusted odds ratio [aOR], 0.440.520.61) and IL2rAb + steroid avoidance (aOR, 0.390.550.79) had lower risk of acute rejection. Older patients experienced more death-censored graft failure when managed with Tac + antimetabolite avoidance (adjusted hazard [aHR], 1.411.782.25), mTORi-based (aHR, 1.702.142.71), and cyclosporine-based (aHR, 1.411.782.25) regimens, versus the reference regimen. mTORi-based and cyclosporine-based regimens were associated with increased mortality in both older and younger patients.\nCONCLUSIONS: Lower-intensity immunosuppression regimens (eg, steroid-sparing) appear beneficial for older kidney transplant recipients, while mTORi and cyclosporine-based maintenance immunosuppression are associated with higher risk of adverse outcomes.","container-title":"Transplantation","DOI":"10.1097/TP.0000000000003547","ISSN":"1534-6080","issue":"8","journalAbbreviation":"Transplantation","language":"eng","note":"PMID: 33214534\nPMCID: PMC10576532","page":"1840-1849","source":"PubMed","title":"Immunosuppression Regimen Use and Outcomes in Older and Younger Adult Kidney Transplant Recipients: A National Registry Analysis","title-short":"Immunosuppression Regimen Use and Outcomes in Older and Younger Adult Kidney Transplant Recipients","volume":"105","author":[{"family":"Lentine","given":"Krista L."},{"family":"Cheungpasitporn","given":"Wisit"},{"family":"Xiao","given":"Huiling"},{"family":"McAdams-DeMarco","given":"Mara"},{"family":"Lam","given":"Ngan N."},{"family":"Segev","given":"Dorry L."},{"family":"Bae","given":"Sunjae"},{"family":"Ahn","given":"JiYoon B."},{"family":"Hess","given":"Gregory P."},{"family":"Caliskan","given":"Yasar"},{"family":"Randall","given":"Henry B."},{"family":"Kasiske","given":"Bertram L."},{"family":"Schnitzler","given":"Mark A."},{"family":"Axelrod","given":"David A."}],"issued":{"date-parts":[["2021",8,1]]}}}],"schema":"https://github.com/citation-style-language/schema/raw/master/csl-citation.json"}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47,48</w:t>
      </w:r>
      <w:r>
        <w:rPr>
          <w:rFonts w:cstheme="minorHAnsi"/>
          <w:vertAlign w:val="superscript"/>
        </w:rPr>
        <w:fldChar w:fldCharType="end"/>
      </w:r>
      <w:r w:rsidRPr="00CA78A5">
        <w:rPr>
          <w:rFonts w:cstheme="minorHAnsi"/>
        </w:rPr>
        <w:t>.</w:t>
      </w:r>
    </w:p>
    <w:p w14:paraId="6B393AEF" w14:textId="29FC849D" w:rsidR="00076320" w:rsidRPr="00CA78A5" w:rsidRDefault="00076320" w:rsidP="00076320">
      <w:pPr>
        <w:spacing w:before="100" w:beforeAutospacing="1" w:after="100" w:afterAutospacing="1"/>
        <w:rPr>
          <w:rFonts w:cstheme="minorHAnsi"/>
          <w:color w:val="212121"/>
        </w:rPr>
      </w:pPr>
      <w:r>
        <w:rPr>
          <w:rFonts w:cstheme="minorHAnsi"/>
        </w:rPr>
        <w:t>T</w:t>
      </w:r>
      <w:r w:rsidRPr="00CA78A5">
        <w:rPr>
          <w:rFonts w:cstheme="minorHAnsi"/>
        </w:rPr>
        <w:t>here is some evidence that m-</w:t>
      </w:r>
      <w:proofErr w:type="spellStart"/>
      <w:r w:rsidRPr="00CA78A5">
        <w:rPr>
          <w:rFonts w:cstheme="minorHAnsi"/>
        </w:rPr>
        <w:t>TORis</w:t>
      </w:r>
      <w:proofErr w:type="spellEnd"/>
      <w:r w:rsidRPr="00CA78A5">
        <w:rPr>
          <w:rFonts w:cstheme="minorHAnsi"/>
        </w:rPr>
        <w:t xml:space="preserve"> can allow reduced doses of CNIs and better graft function at one year after transplantation, </w:t>
      </w:r>
      <w:r>
        <w:rPr>
          <w:rFonts w:cstheme="minorHAnsi"/>
        </w:rPr>
        <w:t xml:space="preserve">however </w:t>
      </w:r>
      <w:r w:rsidRPr="00CA78A5">
        <w:rPr>
          <w:rFonts w:cstheme="minorHAnsi"/>
        </w:rPr>
        <w:t>these agents are poorly tolerated and are associated with higher rejection rates</w:t>
      </w:r>
      <w:r>
        <w:rPr>
          <w:rFonts w:cstheme="minorHAnsi"/>
          <w:color w:val="4D8055"/>
          <w:shd w:val="clear" w:color="auto" w:fill="FFFFFF"/>
        </w:rPr>
        <w:t xml:space="preserve"> </w:t>
      </w:r>
      <w:r>
        <w:rPr>
          <w:rFonts w:cstheme="minorHAnsi"/>
          <w:color w:val="4D8055"/>
          <w:shd w:val="clear" w:color="auto" w:fill="FFFFFF"/>
        </w:rPr>
        <w:fldChar w:fldCharType="begin"/>
      </w:r>
      <w:r w:rsidR="006528EA">
        <w:rPr>
          <w:rFonts w:cstheme="minorHAnsi"/>
          <w:color w:val="4D8055"/>
          <w:shd w:val="clear" w:color="auto" w:fill="FFFFFF"/>
        </w:rPr>
        <w:instrText xml:space="preserve"> ADDIN ZOTERO_ITEM CSL_CITATION {"citationID":"J9E7oqpP","properties":{"formattedCitation":"\\super 49\\nosupersub{}","plainCitation":"49","noteIndex":0},"citationItems":[{"id":18920,"uris":["http://zotero.org/users/3444308/items/UGY2H5W8"],"itemData":{"id":18920,"type":"article-journal","abstract":"BACKGROUND: Kidney transplantation is the therapy of choice for many patients with end-stage kidney disease (ESKD) with an improvement in survival rates and satisfactory short term graft survival. However, there has been little improvement in long-term survival. The place of target of rapamycin inhibitors (TOR-I) (sirolimus, everolimus), which have different modes of action from other commonly used immunosuppressive agents, in kidney transplantation remains uncertain. This is an update of a review first published in 2006.\nOBJECTIVES: To evaluate the short and long-term benefits and harms of TOR-I (sirolimus and everolimus) when used in primary immunosuppressive regimens for kidney transplant recipients.\nSEARCH METHODS: We searched the Cochrane Kidney and Transplant Register of Studies up to 20 September 2019 through contact with the Information Specialist using search terms relevant to this review. Studies in the Register were identified through searches of CENTRAL, MEDLINE and EMBASE, conference proceedings, the International Clinical Trials Register (ICTRP) Search Portal and ClinicalTrials.gov.\nSELECTION CRITERIA: All randomised controlled trials (RCTs) and quasi-RCTs in which drug regimens, containing TOR-I commenced within seven days of transplant, were compared to alternative drug regimens, were included without age restriction, dosage or language of report.\nDATA COLLECTION AND ANALYSIS: Three authors independently assessed study eligibility, risk of bias, and extracted data. Results were reported as risk ratios (RR) with 95% confidence intervals (CI) for dichotomous outcomes and mean difference (MD) with 95% CI for continuous outcomes. Statistical analyses were performed using the random-effects model. The certainty of the evidence was assessed using GRADE MAIN RESULTS: Seventy studies (17,462 randomised participants) were included; eight studies included two comparisons to provide 78 comparisons. Outcomes were reported at six months to three years post transplant. Risk of bias was judged to be low for sequence generation in 25 studies, for allocation concealment in 23 studies, performance bias in four studies, detection bias in 65 studies, attrition bias in 45 studies, selective reporting bias in 48 studies, and for other potential bias in three studies. Risk of bias was judged to be at high risk of bias for sequence generation in two studies, allocation concealment in two studies, performance bias in 61 studies, detection bias in one study, attrition bias in four studies, for selective reporting bias in 11 studies and for other potential risk of bias in 46 studies. Compared with CNI and antimetabolite, TOR-I with antimetabolite probably makes little or no difference to death (RR 1.31, 95% CI 0.87 to 1.98; 19 studies) or malignancies (RR 0.86, 95% CI 0.50 to 1.48; 10 studies); probably increases graft loss censored for death (RR 1.32, 95% CI 0.96 to 1.81; 15 studies), biopsy-proven acute rejection (RR 1.60, 95% CI 1.25 to 2.04; 15 studies), need to change treatment (RR 2.42, 95% CI 1.88 to 3.11; 14 studies) and wound complications (RR 2.56, 95% CI 1.94 to 3.36; 12 studies) (moderate certainty evidence); but reduces CMV infection (RR 0.43, 95% CI 0.29 to 0.63; 13 studies) (high certainty evidence). Compared with antimetabolites and CNI, TOR-I with CNI probably makes little or no difference to death (RR 1.06, 95% CI 0.84 to 1.33; 31 studies), graft loss censored for death (RR 1.09, 95% CI 0.82 to 1.45; 26 studies), biopsy-proven acute rejection (RR 0.95, 95% CI 0.81 to 1.12; 24 studies); and malignancies (RR 0.83, 95% CI 0.64 to 1.07; 17 studies); probably increases the need to change treatment (RR 1.56, 95% CI 1.28 to 1.90; 25 studies), and wound complications (RR 1.56, 95% CI 1.28 to 1.91; 17 studies); but probably reduces CMV infection (RR 0.44, 95% CI 0.34 to 0.58; 25 studies) (moderate certainty evidence). Lower dose TOR-I and standard dose CNI compared with higher dose TOR-I and reduced dose CNI probably makes little or no difference to death (RR 1.07, 95% CI 0.64 to 1.78; 9 studies), graft loss censored for death (RR 1.09, 95% CI 0.54 to 2.20; 8 studies), biopsy-proven acute rejection (RR 0.87, 95% CI 0.67 to 1.13; 8 studies), and CMV infection (RR 1.42, 95% CI 0.78 to 2.60; 5 studies) (moderate certainty evidence); and may make little or no difference to wound complications (RR 0.95, 95% CI 0.53 to 1.71; 3 studies), malignancies (RR 1.04, 95% CI 0.36 to 3.04; 7 studies), and the need to change treatments (RR 1.18, 95% CI 0.58 to 2.42; 5 studies) (low certainty evidence). Lower dose of TOR-I compared with higher doses probably makes little or no difference to death (RR 0.84, 95% CI 0.67 to 1.06; 13 studies), graft loss censored for death (RR 0.92, 95% CI 0.71 to 1.19; 12 studies), biopsy-proven acute rejection (RR 1.26, 95% CI 1.10 to 1.43; 11 studies), CMV infection (RR 0.87, 95% CI 0.63 to 1.21; 9 studies), wound complications (RR 0.92, 95% CI 0.66 to 1.29; 7 studies), and malignancy (RR 0.84, 95% CI 0.54 to 1.32; 10 studies) (moderate certainty evidence); and may make little or no difference to the need to change treatments (RR 0.91, 95% CI 0.78 to 1.05; 10 studies) (low certainty evidence). It is uncertain whether sirolimus and everolimus differ in their effects on kidney function and lipid levels because the certainty of the evidence is very low based on a single small study with only three months of follow-up.\nAUTHORS' CONCLUSIONS: In studies with follow-up to three years, TOR-I with an antimetabolite increases the risk of graft loss and acute rejection compared with CNI and an antimetabolite. TOR-I with CNI potentially offers an alternative to an antimetabolite with CNI as rates of graft loss and acute rejection are similar between interventions and TOR-I regimens are associated with a reduced risk of CMV infections. Wound complications and the need to change immunosuppressive medications are higher with TOR-I regimens. While further new studies are not required, longer-term follow-up data from participants in existing methodologically robust RCTs are needed to determine how useful immunosuppressive regimens, which include TOR-I, are in maintaining kidney transplant function and survival beyond three years.","container-title":"The Cochrane Database of Systematic Reviews","DOI":"10.1002/14651858.CD004290.pub3","ISSN":"1469-493X","issue":"12","journalAbbreviation":"Cochrane Database Syst Rev","language":"eng","note":"PMID: 31840244\nPMCID: PMC6953317","page":"CD004290","source":"PubMed","title":"Target of rapamycin inhibitors (TOR-I; sirolimus and everolimus) for primary immunosuppression in kidney transplant recipients","volume":"12","author":[{"family":"Hahn","given":"Deirdre"},{"family":"Hodson","given":"Elisabeth M."},{"family":"Hamiwka","given":"Lorraine A."},{"family":"Lee","given":"Vincent Ws"},{"family":"Chapman","given":"Jeremy R."},{"family":"Craig","given":"Jonathan C."},{"family":"Webster","given":"Angela C."}],"issued":{"date-parts":[["2019",12,16]]}}}],"schema":"https://github.com/citation-style-language/schema/raw/master/csl-citation.json"} </w:instrText>
      </w:r>
      <w:r>
        <w:rPr>
          <w:rFonts w:cstheme="minorHAnsi"/>
          <w:color w:val="4D8055"/>
          <w:shd w:val="clear" w:color="auto" w:fill="FFFFFF"/>
        </w:rPr>
        <w:fldChar w:fldCharType="separate"/>
      </w:r>
      <w:r w:rsidR="00A04B9C" w:rsidRPr="00A04B9C">
        <w:rPr>
          <w:rFonts w:ascii="Calibri" w:hAnsi="Calibri" w:cs="Calibri"/>
          <w:vertAlign w:val="superscript"/>
        </w:rPr>
        <w:t>49</w:t>
      </w:r>
      <w:r>
        <w:rPr>
          <w:rFonts w:cstheme="minorHAnsi"/>
          <w:color w:val="4D8055"/>
          <w:shd w:val="clear" w:color="auto" w:fill="FFFFFF"/>
        </w:rPr>
        <w:fldChar w:fldCharType="end"/>
      </w:r>
      <w:r w:rsidRPr="009B63C7">
        <w:rPr>
          <w:rFonts w:cstheme="minorHAnsi"/>
          <w:color w:val="000000" w:themeColor="text1"/>
        </w:rPr>
        <w:t xml:space="preserve">. </w:t>
      </w:r>
      <w:r w:rsidRPr="00CA78A5">
        <w:rPr>
          <w:rFonts w:cstheme="minorHAnsi"/>
        </w:rPr>
        <w:t>Two studies have investigated the substitution of m-</w:t>
      </w:r>
      <w:proofErr w:type="spellStart"/>
      <w:r w:rsidRPr="00CA78A5">
        <w:rPr>
          <w:rFonts w:cstheme="minorHAnsi"/>
        </w:rPr>
        <w:t>TORis</w:t>
      </w:r>
      <w:proofErr w:type="spellEnd"/>
      <w:r w:rsidRPr="00CA78A5">
        <w:rPr>
          <w:rFonts w:cstheme="minorHAnsi"/>
        </w:rPr>
        <w:t xml:space="preserve"> for CNIs between 1 and 6 months after transplantation. While both studies demonstrated short-term improvements in renal function, there were no significant improvements in long term graft or patient outcomes</w:t>
      </w:r>
      <w:r>
        <w:rPr>
          <w:rFonts w:cstheme="minorHAnsi"/>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{"citationID":"immuDs9y","properties":{"formattedCitation":"\\super 50\\uc0\\u8211{}52\\nosupersub{}","plainCitation":"50–52","noteIndex":0},"citationItems":[{"id":18918,"uris":["http://zotero.org/users/3444308/items/CQZHZAXV"],"itemData":{"id":18918,"type":"article-journal","abstract":"ZEUS study was an open-label, 12-month, multicenter study in which 300 de novo kidney transplant recipients were randomized to continue receiving cyclosporine (CsA) or convert to everolimus at 4.5 months posttransplant. Five-year follow-up data were available for 245/269 patients (91.1%) who completed the core 12-month study (123 everolimus, 109 CsA). At 5 years, adjusted estimated GFR was 66.2 mL/min/1.73 m(2) with everolimus versus 60.9 mL/min/1.73 m(2) with CsA; the mean difference was 5.3 mL/min/1.73 m(2) in favor of everolimus (95% CI 2.4, 8.3; p &lt; 0.001 [intent-to-treat population]). In a post hoc analysis of patients remaining on study drug at 5 years (everolimus 77, CsA 86), mean difference was 8.2 mL/min/1.73 m(2) (95% CI 4.3, 12.1; p &lt; 0.001) in favor of everolimus. The cumulative incidence of biopsy-proven acute rejection postrandomization was 13.6% with everolimus versus 7.5% with CsA (p = 0.095), largely accounted for by grade I rejection (16/21 patients and 7/11 patients, respectively). Postrandomization, graft loss, mortality, serious adverse events and neoplasms were similar in both arms. In conclusion, conversion of kidney transplant patients to everolimus at 4.5 months posttransplant is associated with a significant improvement in renal function that is maintained to at least 5 years. The increase in early mild acute rejection did not affect long-term graft function.","container-title":"American Journal of Transplantation: Official Journal of the American Society of Transplantation and the American Society of Transplant Surgeons","DOI":"10.1111/ajt.12952","ISSN":"1600-6143","issue":"1","journalAbbreviation":"Am J Transplant","language":"eng","note":"PMID: 25521535","page":"119-128","source":"PubMed","title":"Five-year outcomes in kidney transplant patients converted from cyclosporine to everolimus: the randomized ZEUS study","title-short":"Five-year outcomes in kidney transplant patients converted from cyclosporine to everolimus","volume":"15","author":[{"family":"Budde","given":"K."},{"family":"Lehner","given":"F."},{"family":"Sommerer","given":"C."},{"family":"Reinke","given":"P."},{"family":"Arns","given":"W."},{"family":"Eisenberger","given":"U."},{"family":"Wüthrich","given":"R. P."},{"family":"Mühlfeld","given":"A."},{"family":"Heller","given":"K."},{"family":"Porstner","given":"M."},{"family":"Veit","given":"J."},{"family":"Paulus","given":"E.-M."},{"family":"Witzke","given":"O."},{"literal":"ZEUS Study Investigators"}],"issued":{"date-parts":[["2015",1]]}}},{"id":18919,"uris":["http://zotero.org/users/3444308/items/3XIZ7DHG"],"itemData":{"id":18919,"type":"article-journal","abstract":"BACKGROUND: Non-nephrotoxic immunosuppressive strategies that allow reduction of calcineurin-inhibitor exposure without compromising safety or efficacy remain a goal in kidney transplantation. Immunosuppression based on the mammalian-target-of-rapamycin inhibitor everolimus was assessed as a strategy for elimination of calcineurin-inhibitor exposure and optimisation of renal-graft function while maintaining efficacy.\nMETHODS: In the ZEUS multicentre, open-label study, 503 patients (aged 18-65 years) who had received de-novo kidney transplants were enrolled. After initial treatment with ciclosporin, based on trough concentrations, and enteric-coated mycophenolate sodium (1440 mg/day, orally), corticosteroids (≥5 mg/day prednisolone or equivalent, orally), and basiliximab induction (20 mg, intravenously, on day 0 [2 h before transplantation], and on day 4), 300 (60%) patients were randomly assigned at 4·5 months in a 1:1 ratio to undergo calcineurin-inhibitor elimination (everolimus-based regimen that was based on trough concentrations [6-10 ng/mL] and enteric-coated mycophenolate sodium [1440 mg/day] with corticosteroids), or continue standard ciclosporin-based treatment. Randomisation was done by use of a central, validated system that automated the random assignment of treatment groups to randomisation numbers. The primary objective was to show better renal function (glomerular filtration rate [GFR]; Nankivell formula) with the calcineurin-inhibitor-free everolimus regimen at 12 months after transplantation. Analysis was by intention to treat. This study is registered with ClinicalTrials.gov, number NCT00154310.\nFINDINGS: 118 (76%) of 155 everolimus-treated patients and 117 (81%) of 145 ciclosporin-treated patients completed treatment with study drug up to 12 months after transplantation. At this timepoint, the everolimus regimen was associated with a significant improvement in GFR versus the ciclosporin regimen (71·8 mL/min per 1·73 m(2) vs 61·9 mL/min per 1·73 m(2), respectively; mean difference 9·8 mL/min per 1·73 m(2), 95% CI -12·2 to -7·5). Rates of biopsy-proven acute rejection were higher in the everolimus group than in the ciclosporin group after randomisation (15 [10%] of 154 vs five [3%] of 146; p = 0·036), but similar for the full study period (23 [15%] vs 22 [15%]). Compared with the ciclosporin regimen, higher mean lipid concentrations, slightly increased urinary protein excretion, and lower haemoglobin concentrations were noted with the everolimus regimen; thrombocytopenia, aphthous stomatitis, and diarrhoea also occurred more often in the everolimus group. A higher incidence of hyperuricaemia was noted with ciclosporin.\nINTERPRETATION: Early elimination of calcineurin inhibitor by use of everolimus-based immunosuppression improved renal function at 12 months while maintaining efficacy and safety, indicating that this strategy may facilitate improved long-term outcomes in selected patients.\nFUNDING: Novartis Pharma.","container-title":"Lancet (London, England)","DOI":"10.1016/S0140-6736(10)62318-5","ISSN":"1474-547X","issue":"9768","journalAbbreviation":"Lancet","language":"eng","note":"PMID: 21334736","page":"837-847","source":"PubMed","title":"Everolimus-based, calcineurin-inhibitor-free regimen in recipients of de-novo kidney transplants: an open-label, randomised, controlled trial","title-short":"Everolimus-based, calcineurin-inhibitor-free regimen in recipients of de-novo kidney transplants","volume":"377","author":[{"family":"Budde","given":"Klemens"},{"family":"Becker","given":"Thomas"},{"family":"Arns","given":"Wolfgang"},{"family":"Sommerer","given":"Claudia"},{"family":"Reinke","given":"Petra"},{"family":"Eisenberger","given":"Ute"},{"family":"Kramer","given":"Stefan"},{"family":"Fischer","given":"Wolfgang"},{"family":"Gschaidmeier","given":"Harald"},{"family":"Pietruck","given":"Frank"},{"literal":"ZEUS Study Investigators"}],"issued":{"date-parts":[["2011",3,5]]}}},{"id":18917,"uris":["http://zotero.org/users/3444308/items/UZDDT32W"],"itemData":{"id":18917,"type":"article-journal","abstract":"As part of the Spare-the-Nephron trial, we evaluated the combination mycophenolate mofetil (MMF) and sirolimus (SRL) as a calcineurin inhibitor (CNI)-free regimen for the preservation of renal function in renal allograft recipients. This 2-year, open-label, multicenter trial randomized 299 patients of which 151 were maintained on MMF and a CNI, 148 on MMF plus SRL (n=120, tacrolimus; n=31, cyclosporine). Baseline characteristics including measured (iothalamate) glomerular filtration rate (GFR) were similar between groups. After 1 year, the mean percentage change from baseline in the primary end point of measured GFR was significantly higher in the MMF/SRL group compared with the MMF/CNI group. After 2 years, the change was indistinguishable. Calculated creatinine clearance and GFR were significantly greater with MMF/SRL at 2 years within which biopsy-proven acute rejection (BPAR) occurred in 14 MMF/SRL-treated patients (3 graft losses) and in 17 receiving the MMF/CNI (6 graft losses). Significantly, no patients receiving MMF/SRL but five treated with MMF/CNI died. Thus, compared with MMF/CNI treatment, a 2-year regimen of MMF/SRL resulted in similar measures of renal function but with fewer deaths and a trend to less BPAR and graft loss.","container-title":"Kidney International","DOI":"10.1038/ki.2010.492","ISSN":"1523-1755","issue":"8","journalAbbreviation":"Kidney Int","language":"eng","note":"PMID: 21191361","page":"897-907","source":"PubMed","title":"Mycophenolate mofetil-based immunosuppression with sirolimus in renal transplantation: a randomized, controlled Spare-the-Nephron trial","title-short":"Mycophenolate mofetil-based immunosuppression with sirolimus in renal transplantation","volume":"79","author":[{"family":"Weir","given":"Matthew R."},{"family":"Mulgaonkar","given":"Shamkant"},{"family":"Chan","given":"Laurence"},{"family":"Shidban","given":"Hamid"},{"family":"Waid","given":"Thomas H."},{"family":"Preston","given":"Dennis"},{"family":"Kalil","given":"Roberto N."},{"family":"Pearson","given":"Thomas C."}],"issued":{"date-parts":[["2011",4]]}}}],"schema":"https://github.com/citation-style-language/schema/raw/master/csl-citation.json"}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50–52</w:t>
      </w:r>
      <w:r>
        <w:rPr>
          <w:rFonts w:cstheme="minorHAnsi"/>
          <w:vertAlign w:val="superscript"/>
        </w:rPr>
        <w:fldChar w:fldCharType="end"/>
      </w:r>
      <w:r w:rsidRPr="00CA78A5">
        <w:rPr>
          <w:rFonts w:cstheme="minorHAnsi"/>
        </w:rPr>
        <w:t xml:space="preserve">. A systemic review demonstrated a significant reduction in the rate of malignancy with sirolimus but a 43% increase in overall mortality rate compared to </w:t>
      </w:r>
      <w:r w:rsidRPr="001F4D08">
        <w:rPr>
          <w:rFonts w:cstheme="minorHAnsi"/>
          <w:color w:val="000000" w:themeColor="text1"/>
        </w:rPr>
        <w:t>controls</w:t>
      </w:r>
      <w:r w:rsidRPr="001F4D08">
        <w:rPr>
          <w:rFonts w:cstheme="minorHAnsi"/>
          <w:color w:val="000000" w:themeColor="text1"/>
          <w:shd w:val="clear" w:color="auto" w:fill="FFFFFF"/>
        </w:rPr>
        <w:t xml:space="preserve"> </w:t>
      </w:r>
      <w:r>
        <w:rPr>
          <w:rFonts w:cstheme="minorHAnsi"/>
          <w:color w:val="000000" w:themeColor="text1"/>
          <w:shd w:val="clear" w:color="auto" w:fill="FFFFFF"/>
        </w:rPr>
        <w:fldChar w:fldCharType="begin"/>
      </w:r>
      <w:r w:rsidR="006528EA">
        <w:rPr>
          <w:rFonts w:cstheme="minorHAnsi"/>
          <w:color w:val="000000" w:themeColor="text1"/>
          <w:shd w:val="clear" w:color="auto" w:fill="FFFFFF"/>
        </w:rPr>
        <w:instrText xml:space="preserve"> ADDIN ZOTERO_ITEM CSL_CITATION {"citationID":"wRMikUbp","properties":{"formattedCitation":"\\super 53\\nosupersub{}","plainCitation":"53","noteIndex":0},"citationItems":[{"id":18916,"uris":["http://zotero.org/users/3444308/items/YM6JA3JR"],"itemData":{"id":18916,"type":"article-journal","abstract":"OBJECTIVE: To examine risk of malignancy and death in patients with kidney transplant who receive the immunosuppressive drug sirolimus.\nDESIGN: Systematic review and meta-analysis of individual patient data.\nDATA SOURCES: Medline, Embase, and the Cochrane Central Register of Controlled Trials from inception to March 2013.\nELIGIBILITY: Randomized controlled trials comparing immunosuppressive regimens with and without sirolimus in recipients of kidney or combined pancreatic and renal transplant for which the author was willing to provide individual patient level data. Two reviewers independently screened titles/abstracts and full text reports of potentially eligible trials to identify studies for inclusion. All eligible trials reported data on malignancy or survival.\nRESULTS: The search yielded 2365 unique citations. Patient level data were available from 5876 patients from 21 randomized trials. Sirolimus was associated with a 40% reduction in the risk of malignancy (adjusted hazard ratio 0.60, 95% confidence interval 0.39 to 0.93) and a 56% reduction in the risk of non-melanoma skin cancer (0.44, 0.30 to 0.63) compared with controls. The most pronounced effect was seen in patients who converted to sirolimus from an established immunosuppressive regimen, resulting in a reduction in risk of malignancy (0.34, 0.28 to 0.41), non-melanoma skin cancer (0.32, 0.24 to 0.42), and other cancers (0.52, 0.38 to 0.69). Sirolimus was associated with an increased risk of death (1.43, 1.21 to 1.71) compared with controls.\nCONCLUSIONS: Sirolimus was associated with a reduction in the risk of malignancy and non-melanoma skin cancer in transplant recipients. The benefit was most pronounced in patients who converted from an established immunosuppressive regimen to sirolimus. Given the risk of mortality, however, the use of this drug does not seem warranted for most patients with kidney transplant. Further research is needed to determine if different populations, such as those at high risk of cancer, might benefit from sirolimus.","container-title":"BMJ (Clinical research ed.)","DOI":"10.1136/bmj.g6679","ISSN":"1756-1833","journalAbbreviation":"BMJ","language":"eng","note":"PMID: 25422259\nPMCID: PMC4241732","page":"g6679","source":"PubMed","title":"Effect of sirolimus on malignancy and survival after kidney transplantation: systematic review and meta-analysis of individual patient data","title-short":"Effect of sirolimus on malignancy and survival after kidney transplantation","volume":"349","author":[{"family":"Knoll","given":"Greg A."},{"family":"Kokolo","given":"Madzouka B."},{"family":"Mallick","given":"Ranjeeta"},{"family":"Beck","given":"Andrew"},{"family":"Buenaventura","given":"Chieny D."},{"family":"Ducharme","given":"Robin"},{"family":"Barsoum","given":"Rashad"},{"family":"Bernasconi","given":"Corrado"},{"family":"Blydt-Hansen","given":"Tom D."},{"family":"Ekberg","given":"Henrik"},{"family":"Felipe","given":"Claudia R."},{"family":"Firth","given":"John"},{"family":"Gallon","given":"Lorenzo"},{"family":"Gelens","given":"Marielle"},{"family":"Glotz","given":"Denis"},{"family":"Gossmann","given":"Jan"},{"family":"Guba","given":"Markus"},{"family":"Morsy","given":"Ahmed Ali"},{"family":"Salgo","given":"Rebekka"},{"family":"Scheuermann","given":"Earnst H."},{"family":"Tedesco-Silva","given":"Helio"},{"family":"Vitko","given":"Stefan"},{"family":"Watson","given":"Christopher"},{"family":"Fergusson","given":"Dean A."}],"issued":{"date-parts":[["2014",11,24]]}}}],"schema":"https://github.com/citation-style-language/schema/raw/master/csl-citation.json"} </w:instrText>
      </w:r>
      <w:r>
        <w:rPr>
          <w:rFonts w:cstheme="minorHAnsi"/>
          <w:color w:val="000000" w:themeColor="text1"/>
          <w:shd w:val="clear" w:color="auto" w:fill="FFFFFF"/>
        </w:rPr>
        <w:fldChar w:fldCharType="separate"/>
      </w:r>
      <w:r w:rsidR="00A04B9C" w:rsidRPr="00A04B9C">
        <w:rPr>
          <w:rFonts w:ascii="Calibri" w:hAnsi="Calibri" w:cs="Calibri"/>
          <w:vertAlign w:val="superscript"/>
        </w:rPr>
        <w:t>53</w:t>
      </w:r>
      <w:r>
        <w:rPr>
          <w:rFonts w:cstheme="minorHAnsi"/>
          <w:color w:val="000000" w:themeColor="text1"/>
          <w:shd w:val="clear" w:color="auto" w:fill="FFFFFF"/>
        </w:rPr>
        <w:fldChar w:fldCharType="end"/>
      </w:r>
      <w:r w:rsidRPr="001F4D08">
        <w:rPr>
          <w:rFonts w:cstheme="minorHAnsi"/>
          <w:color w:val="000000" w:themeColor="text1"/>
        </w:rPr>
        <w:t xml:space="preserve">. </w:t>
      </w:r>
      <w:r w:rsidRPr="00CA78A5">
        <w:rPr>
          <w:rFonts w:cstheme="minorHAnsi"/>
        </w:rPr>
        <w:t>The exact role of m-</w:t>
      </w:r>
      <w:proofErr w:type="spellStart"/>
      <w:r w:rsidRPr="00CA78A5">
        <w:rPr>
          <w:rFonts w:cstheme="minorHAnsi"/>
        </w:rPr>
        <w:t>TORis</w:t>
      </w:r>
      <w:proofErr w:type="spellEnd"/>
      <w:r w:rsidRPr="00CA78A5">
        <w:rPr>
          <w:rFonts w:cstheme="minorHAnsi"/>
        </w:rPr>
        <w:t xml:space="preserve"> in the early stages after transplantation is uncertain but at this time they should only be used as second line agents</w:t>
      </w:r>
      <w:r>
        <w:rPr>
          <w:rFonts w:cstheme="minorHAnsi"/>
        </w:rPr>
        <w:t xml:space="preserve"> especially due to their association with poor wound healing and proteinuria. </w:t>
      </w:r>
    </w:p>
    <w:p w14:paraId="0D96C702" w14:textId="3BB2193B" w:rsidR="00076320" w:rsidRDefault="00076320" w:rsidP="00076320">
      <w:pPr>
        <w:spacing w:before="100" w:beforeAutospacing="1" w:after="100" w:afterAutospacing="1"/>
        <w:rPr>
          <w:rFonts w:cstheme="minorHAnsi"/>
        </w:rPr>
      </w:pPr>
      <w:proofErr w:type="spellStart"/>
      <w:r w:rsidRPr="00CA78A5">
        <w:rPr>
          <w:rFonts w:cstheme="minorHAnsi"/>
        </w:rPr>
        <w:t>Belatacept</w:t>
      </w:r>
      <w:proofErr w:type="spellEnd"/>
      <w:r w:rsidRPr="00CA78A5">
        <w:rPr>
          <w:rFonts w:cstheme="minorHAnsi"/>
        </w:rPr>
        <w:t xml:space="preserve"> is a fusion protein that blocks costimulatory pathways involved in T cell activation, which </w:t>
      </w:r>
      <w:proofErr w:type="gramStart"/>
      <w:r w:rsidRPr="00CA78A5">
        <w:rPr>
          <w:rFonts w:cstheme="minorHAnsi"/>
        </w:rPr>
        <w:t>has to</w:t>
      </w:r>
      <w:proofErr w:type="gramEnd"/>
      <w:r w:rsidRPr="00CA78A5">
        <w:rPr>
          <w:rFonts w:cstheme="minorHAnsi"/>
        </w:rPr>
        <w:t xml:space="preserve"> be administered by regular intravenous infusions. It has been used in KTRs as an alternative to CNIs and significant improvement in renal function and better graft histology at one year has been </w:t>
      </w:r>
      <w:r w:rsidRPr="007F422B">
        <w:rPr>
          <w:rFonts w:cstheme="minorHAnsi"/>
          <w:color w:val="000000" w:themeColor="text1"/>
        </w:rPr>
        <w:t>demonstrated</w:t>
      </w:r>
      <w:r w:rsidRPr="007F422B">
        <w:rPr>
          <w:rFonts w:cstheme="minorHAnsi"/>
          <w:color w:val="000000" w:themeColor="text1"/>
          <w:shd w:val="clear" w:color="auto" w:fill="FFFFFF"/>
        </w:rPr>
        <w:t xml:space="preserve"> despite an increase in early ACR</w:t>
      </w:r>
      <w:r>
        <w:rPr>
          <w:rFonts w:cstheme="minorHAnsi"/>
          <w:color w:val="000000" w:themeColor="text1"/>
          <w:shd w:val="clear" w:color="auto" w:fill="FFFFFF"/>
        </w:rPr>
        <w:t xml:space="preserve"> </w:t>
      </w:r>
      <w:r>
        <w:rPr>
          <w:rFonts w:cstheme="minorHAnsi"/>
          <w:color w:val="000000" w:themeColor="text1"/>
          <w:shd w:val="clear" w:color="auto" w:fill="FFFFFF"/>
        </w:rPr>
        <w:fldChar w:fldCharType="begin"/>
      </w:r>
      <w:r w:rsidR="006528EA">
        <w:rPr>
          <w:rFonts w:cstheme="minorHAnsi"/>
          <w:color w:val="000000" w:themeColor="text1"/>
          <w:shd w:val="clear" w:color="auto" w:fill="FFFFFF"/>
        </w:rPr>
        <w:instrText xml:space="preserve"> ADDIN ZOTERO_ITEM CSL_CITATION {"citationID":"O82gE281","properties":{"formattedCitation":"\\super 54\\nosupersub{}","plainCitation":"54","noteIndex":0},"citationItems":[{"id":18915,"uris":["http://zotero.org/users/3444308/items/4FVGSCV8"],"itemData":{"id":18915,"type":"article-journal","abstract":"BACKGROUND: Renal transplantation is the standard of care for patients with end-stage renal disease. Although maintenance immunosuppression with calcineurin inhibitors yields excellent one-year survival, it is associated over the long term with high rates of death and graft loss, owing in part to the adverse renal, cardiovascular, and metabolic effects of these agents. The use of potentially less toxic agents, such as belatacept, a selective blocker of T-cell activation, may improve outcomes.\nMETHODS: We randomly assigned renal-transplant recipients to receive an intensive or a less-intensive regimen of belatacept or cyclosporine. All patients received induction therapy with basiliximab, mycophenolate mofetil, and corticosteroids. The primary objective was to demonstrate the noninferiority of belatacept over cyclosporine in the incidence of acute rejection at six months (with an upper bound of the 95 percent confidence interval around the treatment difference of less than 20 percent).\nRESULTS: At six months, the incidence of acute rejection was similar among the groups: 7 percent for intensive belatacept, 6 percent for less-intensive belatacept, and 8 percent for cyclosporine. At 12 months, the glomerular filtration rate was significantly higher with both intensive and less-intensive belatacept than it was with cyclosporine (66.3, 62.1, and 53.5 ml per minute per 1.73 m2, respectively), and chronic allograft nephropathy was less common with both regimens of belatacept than with cyclosporine (29 percent, 20 percent, and 44 percent, respectively). Lipid levels and blood-pressure values were similar or slightly lower in the belatacept groups, despite the greater use of lipid-lowering and antihypertensive medications in the cyclosporine group.\nCONCLUSIONS: Belatacept, an investigational selective costimulation blocker, did not appear to be inferior to cyclosporine as a means of preventing acute rejection after renal transplantation. Belatacept may preserve the glomerular filtration rate and reduce the rate of chronic allograft nephropathy.","container-title":"The New England Journal of Medicine","DOI":"10.1056/NEJMoa050085","ISSN":"1533-4406","issue":"8","journalAbbreviation":"N Engl J Med","language":"eng","note":"PMID: 16120857","page":"770-781","source":"PubMed","title":"Costimulation blockade with belatacept in renal transplantation","volume":"353","author":[{"family":"Vincenti","given":"Flavio"},{"family":"Larsen","given":"Christian"},{"family":"Durrbach","given":"Antoine"},{"family":"Wekerle","given":"Thomas"},{"family":"Nashan","given":"Björn"},{"family":"Blancho","given":"Gilles"},{"family":"Lang","given":"Philippe"},{"family":"Grinyo","given":"Josep"},{"family":"Halloran","given":"Philip F."},{"family":"Solez","given":"Kim"},{"family":"Hagerty","given":"David"},{"family":"Levy","given":"Elliott"},{"family":"Zhou","given":"Wenjiong"},{"family":"Natarajan","given":"Kannan"},{"family":"Charpentier","given":"Bernard"},{"literal":"Belatacept Study Group"}],"issued":{"date-parts":[["2005",8,25]]}}}],"schema":"https://github.com/citation-style-language/schema/raw/master/csl-citation.json"} </w:instrText>
      </w:r>
      <w:r>
        <w:rPr>
          <w:rFonts w:cstheme="minorHAnsi"/>
          <w:color w:val="000000" w:themeColor="text1"/>
          <w:shd w:val="clear" w:color="auto" w:fill="FFFFFF"/>
        </w:rPr>
        <w:fldChar w:fldCharType="separate"/>
      </w:r>
      <w:r w:rsidR="00A04B9C" w:rsidRPr="00A04B9C">
        <w:rPr>
          <w:rFonts w:ascii="Calibri" w:hAnsi="Calibri" w:cs="Calibri"/>
          <w:vertAlign w:val="superscript"/>
        </w:rPr>
        <w:t>54</w:t>
      </w:r>
      <w:r>
        <w:rPr>
          <w:rFonts w:cstheme="minorHAnsi"/>
          <w:color w:val="000000" w:themeColor="text1"/>
          <w:shd w:val="clear" w:color="auto" w:fill="FFFFFF"/>
        </w:rPr>
        <w:fldChar w:fldCharType="end"/>
      </w:r>
      <w:r w:rsidRPr="00CA78A5">
        <w:rPr>
          <w:rFonts w:cstheme="minorHAnsi"/>
        </w:rPr>
        <w:t xml:space="preserve">. More recent studies have confirmed improved graft function, which was sustained at seven years, but also an association with the development of PTLD. Therefore it is only licensed for EBV seropositive KTR due to the association between EBV </w:t>
      </w:r>
      <w:proofErr w:type="spellStart"/>
      <w:r w:rsidRPr="00CA78A5">
        <w:rPr>
          <w:rFonts w:cstheme="minorHAnsi"/>
        </w:rPr>
        <w:t>seronegativity</w:t>
      </w:r>
      <w:proofErr w:type="spellEnd"/>
      <w:r w:rsidRPr="00CA78A5">
        <w:rPr>
          <w:rFonts w:cstheme="minorHAnsi"/>
        </w:rPr>
        <w:t xml:space="preserve"> and PTLD</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{"citationID":"aZFeDcDy","properties":{"formattedCitation":"\\super 55\\uc0\\u8211{}57\\nosupersub{}","plainCitation":"55–57","noteIndex":0},"citationItems":[{"id":18913,"uris":["http://zotero.org/users/3444308/items/UWESR96J"],"itemData":{"id":18913,"type":"article-journal","abstract":"Over the last 7 decades, kidney transplantation has evolved from an experiment between identical twins to becoming the gold standard treatment for end-stage kidney disease. To date, mycophenolate and calcineurin inhibitors, with or without prednisone, continue to constitute the backbone of modern maintenance immunosuppression. Despite major strides in improving acute rejection, long-term outcomes remain suboptimal with current regimens. Alternatives to calcineurin inhibitors such as belatacept and mammalian targets of rapamycin inhibitors exist; however, their wider-scale adoption remains relatively delayed due to concerns about increased rejection rates. In addition to continuing the investigation of steroid and calcineurin inhibitor sparing protocols, it is time to identify measurable surrogates for meaningful long-term graft survival. iBOX, a dynamic risk-prediction tool that predicts long-term death-censored graft failure could be a potential surrogate end point for future immunosuppression clinical trials. In this review, we summarize the landmark studies supporting current immunosuppression protocols and briefly discuss challenges and future directions.","container-title":"Advances in Kidney Disease and Health","DOI":"10.1053/j.akdh.2024.05.001","ISSN":"2949-8139","issue":"5","journalAbbreviation":"Adv Kidney Dis Health","language":"eng","note":"PMID: 39232611","page":"408-415","source":"PubMed","title":"Immunosuppression in Kidney Transplant Recipients: An Update for the General Nephrologist","title-short":"Immunosuppression in Kidney Transplant Recipients","volume":"31","author":[{"family":"Abu Jawdeh","given":"Bassam G."},{"family":"Me","given":"Hay Me"}],"issued":{"date-parts":[["2024",9]]}}},{"id":19018,"uris":["http://zotero.org/users/3444308/items/R627F8QH"],"itemData":{"id":19018,"type":"article-journal","abstract":"In the Belatacept Evaluation of Nephroprotection and Efficacy as First-Line Immunosuppression Trial-Extended Criteria Donors (BENEFIT-EXT), extended criteria donor kidney recipients were randomized to receive belatacept-based (more intense [MI] or less intense [LI]) or cyclosporine-based immunosuppression. In prior analyses, belatacept was associated with significantly better renal function compared with cyclosporine. In this prospective analysis of the intent-to-treat population, efficacy and safety were compared across regimens at 7 years after transplant. Overall, 128 of 184 belatacept MI-treated, 138 of 175 belatacept LI-treated and 108 of 184 cyclosporine-treated patients contributed data to these analyses. Hazard ratios (HRs) comparing time to death or graft loss were 0.915 (95% confidence interval [CI] 0.625-1.339; p = 0.65) for belatacept MI versus cyclosporine and 0.927 (95% CI 0.634-1.356; p = 0.70) for belatacept LI versus cyclosporine. Mean estimated GFR (eGFR) plus or minus standard error at 7 years was 53.9 ± 1.9, 54.2 ± 1.9, and 35.3 ± 2.0 mL/min per 1.73 m2 for belatacept MI, belatacept LI and cyclosporine, respectively (p &lt; 0.001 for overall treatment effect). HRs comparing freedom from death, graft loss or eGFR &lt;20 mL/min per 1.73 m2 were 0.754 (95% CI 0.536-1.061; p = 0.10) for belatacept MI versus cyclosporine and 0.706 (95% CI 0.499-0.998; p = 0.05) for belatacept LI versus cyclosporine. Acute rejection rates and safety profiles of belatacept- and cyclosporine-based treatment were similar. De novo donor-specific antibody incidence was lower for belatacept (p ≤ 0.0001). Relative to cyclosporine, belatacept was associated with similar death and graft loss and improved renal function at 7 years after transplant and had a safety profile consistent with previous reports.","container-title":"American Journal of Transplantation: Official Journal of the American Society of Transplantation and the American Society of Transplant Surgeons","DOI":"10.1111/ajt.13830","ISSN":"1600-6143","issue":"11","journalAbbreviation":"Am J Transplant","language":"eng","note":"PMID: 27130868\nPMCID: PMC5516151","page":"3192-3201","source":"PubMed","title":"Long-Term Outcomes in Belatacept- Versus Cyclosporine-Treated Recipients of Extended Criteria Donor Kidneys: Final Results From BENEFIT-EXT, a Phase III Randomized Study","title-short":"Long-Term Outcomes in Belatacept- Versus Cyclosporine-Treated Recipients of Extended Criteria Donor Kidneys","volume":"16","author":[{"family":"Durrbach","given":"A."},{"family":"Pestana","given":"J. M."},{"family":"Florman","given":"S."},{"family":"Del Carmen Rial","given":"M."},{"family":"Rostaing","given":"L."},{"family":"Kuypers","given":"D."},{"family":"Matas","given":"A."},{"family":"Wekerle","given":"T."},{"family":"Polinsky","given":"M."},{"family":"Meier-Kriesche","given":"H. U."},{"family":"Munier","given":"S."},{"family":"Grinyó","given":"J. M."}],"issued":{"date-parts":[["2016",11]]}}},{"id":18914,"uris":["http://zotero.org/users/3444308/items/YM8PNSH7"],"itemData":{"id":18914,"type":"article-journal","abstract":"Clinical outcomes are generally worse for black vs nonblack renal allograft recipients. In BENEFIT and BENEFIT-EXT, recipients were randomized to belatacept more intense-based, belatacept less intense-based, or cyclosporine-based immunosuppression. At year 7, belatacept was associated with superior graft survival vs cyclosporine in BENEFIT (recipients of living or standard criteria deceased donor kidneys); belatacept was associated with similar graft survival vs cyclosporine in BENEFIT-EXT (recipients of extended criteria donor kidneys). In both studies, renal function was superior for belatacept-treated vs cyclosporine-treated patients. Seven-year outcomes were examined by race post hoc in each study. The effect of race and treatment on time to death or graft loss was compared using Cox regression. The interaction between treatment and race was also considered. Glomerular filtration rate (GFR) was estimated from months 1 to 84 using a repeated-measures model. In total, 8.3% (55/666) and 13.1% (71/543) of patients in BENEFIT and BENEFIT-EXT, respectively, were black. Time to death or graft loss was similar in blacks and nonblacks. For both subgroups, estimated mean GFR increased over 7 years for belatacept, but declined for cyclosporine. Outcomes were similar in belatacept-treated black and nonblack patients. Due to the small number of black patients, these results must be interpreted with caution.","container-title":"Clinical Transplantation","DOI":"10.1111/ctr.13225","ISSN":"1399-0012","issue":"4","journalAbbreviation":"Clin Transplant","language":"eng","note":"PMID: 29461660","page":"e13225","source":"PubMed","title":"Outcomes at 7 years post-transplant in black vs nonblack kidney transplant recipients administered belatacept or cyclosporine in BENEFIT and BENEFIT-EXT","volume":"32","author":[{"family":"Florman","given":"Sander"},{"family":"Vincenti","given":"Flavio"},{"family":"Durrbach","given":"Antoine"},{"family":"Abouljoud","given":"Marwan"},{"family":"Bresnahan","given":"Barbara"},{"family":"Garcia","given":"Valter Duro"},{"family":"Mulloy","given":"Laura"},{"family":"Rice","given":"Kim"},{"family":"Rostaing","given":"Lionel"},{"family":"Zayas","given":"Carlos"},{"family":"Calderon","given":"Kellie"},{"family":"Meier-Kriesche","given":"Ulf"},{"family":"Polinsky","given":"Martin"},{"family":"Yang","given":"Lingfeng"},{"family":"Medina Pestana","given":"Jose"},{"family":"Larsen","given":"Christian P."}],"issued":{"date-parts":[["2018",4]]}}}],"schema":"https://github.com/citation-style-language/schema/raw/master/csl-citation.json"}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55–57</w:t>
      </w:r>
      <w:r>
        <w:rPr>
          <w:rFonts w:cstheme="minorHAnsi"/>
          <w:vertAlign w:val="superscript"/>
        </w:rPr>
        <w:fldChar w:fldCharType="end"/>
      </w:r>
      <w:r w:rsidRPr="00CA78A5">
        <w:rPr>
          <w:rFonts w:cstheme="minorHAnsi"/>
        </w:rPr>
        <w:t xml:space="preserve">. A meta-analysis concluded that </w:t>
      </w:r>
      <w:proofErr w:type="spellStart"/>
      <w:r w:rsidRPr="00CA78A5">
        <w:rPr>
          <w:rFonts w:cstheme="minorHAnsi"/>
        </w:rPr>
        <w:t>belatacept</w:t>
      </w:r>
      <w:proofErr w:type="spellEnd"/>
      <w:r w:rsidRPr="00CA78A5">
        <w:rPr>
          <w:rFonts w:cstheme="minorHAnsi"/>
        </w:rPr>
        <w:t xml:space="preserve"> has no demonstrable effect on rejection rates, patient or graft survival</w:t>
      </w:r>
      <w:r>
        <w:rPr>
          <w:rFonts w:cstheme="minorHAnsi"/>
        </w:rPr>
        <w:t xml:space="preserve"> </w:t>
      </w:r>
      <w:r>
        <w:rPr>
          <w:rFonts w:cstheme="minorHAnsi"/>
        </w:rPr>
        <w:fldChar w:fldCharType="begin"/>
      </w:r>
      <w:r w:rsidR="006528EA">
        <w:rPr>
          <w:rFonts w:cstheme="minorHAnsi"/>
        </w:rPr>
        <w:instrText xml:space="preserve"> ADDIN ZOTERO_ITEM CSL_CITATION {"citationID":"2RR688jZ","properties":{"formattedCitation":"\\super 58\\nosupersub{}","plainCitation":"58","noteIndex":0},"citationItems":[{"id":18912,"uris":["http://zotero.org/users/3444308/items/M58VAA55"],"itemData":{"id":18912,"type":"article-journal","abstract":"BACKGROUND: Most people who receive a kidney transplant die from either cardiovascular disease or cancer before their transplant fails. The most common reason for someone with a kidney transplant to lose the function of their transplanted kidney necessitating return to dialysis is chronic kidney transplant scarring. Immunosuppressant drugs have side effects that increase risks of cardiovascular disease, cancer and chronic kidney transplant scarring. Belatacept may provide sufficient immunosuppression while avoiding unwanted side effects of other immunosuppressant drugs. However, high rates of post-transplant lymphoproliferative disease (PTLD) have been reported when belatacept is used in particular kidney transplant recipients at high dosage.\nOBJECTIVES: 1) Compare the relative efficacy of belatacept versus any other primary immunosuppression regimen for preventing acute rejection, maintaining kidney transplant function, and preventing death. 2) Compare the incidence of several adverse events: PTLD; other malignancies; chronic transplant kidney scarring (IF/TA); infections; change in blood pressure, lipid and blood sugar control. 3) Assess any variation in effects by study, intervention and recipient characteristics, including: differences in pre-transplant Epstein Barr virus serostatus; belatacept dosage; and donor-category (living, standard criteria deceased, or extended criteria deceased).\nSEARCH METHODS: We searched the Cochrane Renal Group's Specialised Register to 1 September 2014 through contact with the Trials' Search Co-ordinator using search terms relevant to this review.\nSELECTION CRITERIA: Randomised controlled trials (RCT) that compared belatacept versus any other immunosuppression regimen in kidney transplant recipients were eligible for inclusion.\nDATA COLLECTION AND ANALYSIS: Two authors independently extracted data for study quality and transplant outcomes and synthesized results using random effects meta-analysis, expressed as risk ratios (RR) and mean differences (MD), both with 95% confidence intervals (CI).  Subgroup analyses and univariate meta-regression were used to investigate potential heterogeneity.\nMAIN RESULTS: We included five studies that compared belatacept and calcineurin inhibitors (CNI) that reported data from a total of 1535 kidney transplant recipients. Of the five studies, three (478 participants) compared belatacept and cyclosporin and two (43 recipients) compared belatacept and tacrolimus. Co-interventions included basiliximab (4 studies, 1434 recipients); anti-thymocyte globulin (1 study, 89 recipients); alemtuzumab (1 study, 12 recipients); mycophenolate mofetil (MMF, 5 studies, 1509 recipients); sirolimus (1 study, 26 recipients) and prednisone (5 studies, 1535 recipients).Up to three years following transplant, belatacept and CNI-treated recipients were at similar risk of dying (4 studies, 1516 recipients: RR 0.75, 95% CI 0.39 to 1.44), losing their kidney transplant and returning to dialysis (4 studies, 1516 recipients: RR 0.91, 95% CI 0.61 to 1.38), and having an episode of acute rejection (4 studies, 1516 recipients: RR 1.56, 95% CI 0.85 to 2.86). Belatacept-treated kidney transplant recipients were 28% less likely to have chronic kidney scarring (3 studies, 1360 recipients: RR 0.72, 95% CI 0.55 to 0.94) and also had better graft function (measured glomerular filtration rate (GFR) (3 studies 1083 recipients): 10.89 mL/min/1.73 m², 95% CI 4.01 to 17.77; estimated GFR (4 studies, 1083 recipients): MD 9.96 mL/min/1.73 m², 95% CI 3.28 to 16.64) than CNI-treated recipients. Blood pressure was lower (systolic (2 studies, 658 recipients): MD -7.51 mm Hg, 95% CI -10.57 to -4.46; diastolic (2 studies, 658 recipients): MD -3.07 mm Hg, 95% CI -4.83 to -1.31, lipid profile was better (non-HDL (3 studies 1101 recipients): MD -12.25 mg/dL, 95% CI -17.93 to -6.57; triglycerides (3 studies 1101 recipients): MD -24.09 mg/dL, 95% CI -44.55 to -3.64), and incidence of new-onset diabetes after transplant was reduced by 39% (4 studies (1049 recipients): RR 0.61, 95% CI 0.40 to 0.93) among belatacept-treated versus CNI-treated recipients.Risk of PTLD was similar in belatacept and CNI-treated recipients (4 studies, 1516 recipients: RR 2.79, 95% CI 0.61 to 12.66) and was no different among recipients who received different belatacept dosages (high versus low dosage: ratio of risk ratios (RRR) 1.06, 95% CI 0.11 to 9.80, test of difference = 0.96) or among those who were Epstein Barr virus seronegative compared with those who were seropositive before their kidney transplant (seronegative versus seropositive; RRR 1.49, 95% CI 0.15 to 14.76, test for difference = 0.73).The belatacept dose used (high versus low), type of donor kidney the recipient received (extended versus standard criteria) and whether the kidney transplant recipient received tacrolimus or cyclosporin made no difference to kidney transplant survival, incidence of acute rejection or estimated GFR. Selective outcome reporting meant that data for some key subgroup comparisons were sparse and that estimates of the effect of treatment in these groups of recipients remain imprecise.\nAUTHORS' CONCLUSIONS: There is no evidence of any difference in the effectiveness of belatacept and CNI in preventing acute rejection, graft loss and death, but treatment with belatacept is associated with less chronic kidney scarring and better kidney transplant function. Treatment with belatacept is also associated with better blood pressure and lipid profile and a lower incidence of diabetes versus treatment with a CNI. Important side effects (particularly PTLD) remain poorly reported and so the relative benefits and harms of using belatacept remain unclear. Whether short-term advantages of treatment with belatacept are maintained over the medium- to long-term or translate into better cardiovascular outcomes or longer kidney transplant survival with function remains unclear. Longer-term, fully reported and published studies comparing belatacept versus tacrolimus are needed to help clinicians decide which patients might benefit most from using belatacept.","container-title":"The Cochrane Database of Systematic Reviews","DOI":"10.1002/14651858.CD010699.pub2","ISSN":"1469-493X","issue":"11","journalAbbreviation":"Cochrane Database Syst Rev","language":"eng","note":"PMID: 25416857\nPMCID: PMC6486198","page":"CD010699","source":"PubMed","title":"Belatacept for kidney transplant recipients","volume":"2014","author":[{"family":"Masson","given":"Philip"},{"family":"Henderson","given":"Lorna"},{"family":"Chapman","given":"Jeremy R."},{"family":"Craig","given":"Jonathan C."},{"family":"Webster","given":"Angela C."}],"issued":{"date-parts":[["2014",11,24]]}}}],"schema":"https://github.com/citation-style-language/schema/raw/master/csl-citation.json"}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58</w:t>
      </w:r>
      <w:r>
        <w:rPr>
          <w:rFonts w:cstheme="minorHAnsi"/>
        </w:rPr>
        <w:fldChar w:fldCharType="end"/>
      </w:r>
      <w:r w:rsidRPr="00CA78A5">
        <w:rPr>
          <w:rFonts w:cstheme="minorHAnsi"/>
        </w:rPr>
        <w:t xml:space="preserve">. However, it was associated with significantly better graft function and histology. It is currently a valuable alternative agent that may be particularly useful in certain clinical situations (e.g. poor adherence, haemolytic uraemic syndrome). </w:t>
      </w:r>
    </w:p>
    <w:p w14:paraId="6C5D45A8" w14:textId="77777777" w:rsidR="00076320" w:rsidRDefault="00076320" w:rsidP="00F10BCF">
      <w:r w:rsidRPr="006D6927">
        <w:t xml:space="preserve">Therapeutic drug monitoring is </w:t>
      </w:r>
      <w:r>
        <w:t>essential</w:t>
      </w:r>
      <w:r w:rsidRPr="006D6927">
        <w:t xml:space="preserve"> for drugs with a narrow therapeutic index</w:t>
      </w:r>
      <w:r>
        <w:t xml:space="preserve"> to enable safe prescribing</w:t>
      </w:r>
      <w:r w:rsidRPr="006D6927">
        <w:t>. For tacrolimus and ciclosporin the absorption may vary in the early stages after transplantation but usually stabilises within a month. Both drugs may exhibit both inter-patient and intra-patient variability. Tacrolimus and ciclosporin are traditionally monitored by 12-hour C</w:t>
      </w:r>
      <w:r w:rsidRPr="006D6927">
        <w:rPr>
          <w:position w:val="-4"/>
          <w:sz w:val="14"/>
          <w:szCs w:val="14"/>
        </w:rPr>
        <w:t xml:space="preserve">0 </w:t>
      </w:r>
      <w:r w:rsidRPr="006D6927">
        <w:t xml:space="preserve">trough levels, </w:t>
      </w:r>
      <w:r w:rsidRPr="008D1A87">
        <w:t>but in the case of ciclosporin there is some evidence that C</w:t>
      </w:r>
      <w:r w:rsidRPr="008D1A87">
        <w:rPr>
          <w:position w:val="-4"/>
          <w:sz w:val="14"/>
          <w:szCs w:val="14"/>
        </w:rPr>
        <w:t xml:space="preserve">2 </w:t>
      </w:r>
      <w:r w:rsidRPr="008D1A87">
        <w:t>levels may also be used although target ranges are less well established and the logistics of sample collection are more complex.</w:t>
      </w:r>
      <w:r w:rsidRPr="006D6927">
        <w:t xml:space="preserve"> There is little evidence directly comparing different target levels of the same drug in a controlled fashion. </w:t>
      </w:r>
    </w:p>
    <w:p w14:paraId="51462522" w14:textId="24FA8F21" w:rsidR="00076320" w:rsidRPr="00651D3F" w:rsidRDefault="00076320" w:rsidP="00076320">
      <w:pPr>
        <w:spacing w:before="100" w:beforeAutospacing="1" w:after="100" w:afterAutospacing="1"/>
        <w:rPr>
          <w:rFonts w:cstheme="minorHAnsi"/>
          <w:position w:val="10"/>
        </w:rPr>
      </w:pPr>
      <w:r w:rsidRPr="00D6621D">
        <w:rPr>
          <w:rFonts w:cstheme="minorHAnsi"/>
        </w:rPr>
        <w:t xml:space="preserve">The pharmacokinetics of mycophenolate as mycophenolic acid (MPA) is complicated due to non-linear </w:t>
      </w:r>
      <w:r w:rsidRPr="005B464C">
        <w:rPr>
          <w:rFonts w:cstheme="minorHAnsi"/>
        </w:rPr>
        <w:t>absorption, enterohepatic circulation, plasma protein binding and other factors which mean that single levels are not helpful as C</w:t>
      </w:r>
      <w:r w:rsidRPr="005B464C">
        <w:rPr>
          <w:rFonts w:cstheme="minorHAnsi"/>
          <w:vertAlign w:val="subscript"/>
        </w:rPr>
        <w:t>0</w:t>
      </w:r>
      <w:r w:rsidRPr="005B464C">
        <w:rPr>
          <w:rFonts w:cstheme="minorHAnsi"/>
        </w:rPr>
        <w:t xml:space="preserve"> levels correlate poorly with AUC. They are rarely used in clinical practice apart from to check for compliance. Monitoring is best carried </w:t>
      </w:r>
      <w:r w:rsidRPr="005B464C">
        <w:rPr>
          <w:rFonts w:cstheme="minorHAnsi"/>
        </w:rPr>
        <w:lastRenderedPageBreak/>
        <w:t>out by measuring the area under the curve (AUC) but this is not practical for most patients and the benefits in clinical studies have not been conclusive</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{"citationID":"GcqmhkMv","properties":{"formattedCitation":"\\super 59\\nosupersub{}","plainCitation":"59","noteIndex":0},"citationItems":[{"id":18911,"uris":["http://zotero.org/users/3444308/items/NSSXC79C"],"itemData":{"id":18911,"type":"article-journal","abstract":"The concentration-effect relationship for mycophenolic acid (MPA), and the high variability in MPA concentrations in patients on standard dose mycophenolate mofetil (MMF) therapy, for some centers has provided enough evidence to implement therapeutic drug monitoring (TDM) for MMF in daily practice. Two randomized trials Adaption de Posologie du MMF en Greffe Renale (APOMYGRE) and fixed-dose versus concentration controlled (FDCC) investigated the added benefit of TDM for MMF in renal transplant recipients. The APOMYGRE study showed a significant reduction in the incidence of acute rejection in concentration-controlled patients, while the FDCC study had a negative outcome, despite a similar study design. Although it was expected that these prospective trials would give the final answer to the question of whether or not TDM for MMF would be of benefit, it seems that the studies have not had much impact on patient management. Several trials have shown the importance of early adequate exposure to MPA in the first week after transplantation. As it will be hard to improve MPA exposure with TDM, this early, ongoing study now investigates the use of an increased starting dose. The increased starting dose will avoid underexposure to MPA in higher proportions of patients shortly after transplantation but may result in more toxicity in patients with MPA exposures exceeding the upper threshold of the therapeutic window.","container-title":"American Journal of Transplantation: Official Journal of the American Society of Transplantation and the American Society of Transplant Surgeons","DOI":"10.1111/j.1600-6143.2009.02678.x","ISSN":"1600-6143","issue":"7","journalAbbreviation":"Am J Transplant","language":"eng","note":"PMID: 19519824","page":"1495-1499","source":"PubMed","title":"Mycophenolate blood level monitoring: recent progress","title-short":"Mycophenolate blood level monitoring","volume":"9","author":[{"family":"Gelder","given":"T.","non-dropping-particle":"van"}],"issued":{"date-parts":[["2009",7]]}}}],"schema":"https://github.com/citation-style-language/schema/raw/master/csl-citation.json"}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59</w:t>
      </w:r>
      <w:r>
        <w:rPr>
          <w:rFonts w:cstheme="minorHAnsi"/>
          <w:vertAlign w:val="superscript"/>
        </w:rPr>
        <w:fldChar w:fldCharType="end"/>
      </w:r>
      <w:r>
        <w:rPr>
          <w:rFonts w:cstheme="minorHAnsi"/>
        </w:rPr>
        <w:t xml:space="preserve">. </w:t>
      </w:r>
      <w:r w:rsidRPr="005B464C">
        <w:rPr>
          <w:rFonts w:cstheme="minorHAnsi"/>
        </w:rPr>
        <w:t>If calculated</w:t>
      </w:r>
      <w:r w:rsidRPr="005B464C">
        <w:rPr>
          <w:rFonts w:cstheme="minorHAnsi"/>
          <w:color w:val="333333"/>
          <w:shd w:val="clear" w:color="auto" w:fill="FFFFFF"/>
        </w:rPr>
        <w:t>, a target MPA AUC</w:t>
      </w:r>
      <w:r w:rsidRPr="005B464C">
        <w:rPr>
          <w:rFonts w:cstheme="minorHAnsi"/>
          <w:color w:val="333333"/>
          <w:vertAlign w:val="subscript"/>
        </w:rPr>
        <w:t>0–12h</w:t>
      </w:r>
      <w:r w:rsidRPr="005B464C">
        <w:rPr>
          <w:rStyle w:val="apple-converted-space"/>
          <w:rFonts w:cstheme="minorHAnsi"/>
          <w:color w:val="333333"/>
          <w:shd w:val="clear" w:color="auto" w:fill="FFFFFF"/>
        </w:rPr>
        <w:t> </w:t>
      </w:r>
      <w:r w:rsidRPr="005B464C">
        <w:rPr>
          <w:rFonts w:cstheme="minorHAnsi"/>
          <w:color w:val="333333"/>
          <w:shd w:val="clear" w:color="auto" w:fill="FFFFFF"/>
        </w:rPr>
        <w:t xml:space="preserve">of 30–60 </w:t>
      </w:r>
      <w:proofErr w:type="spellStart"/>
      <w:r w:rsidRPr="005B464C">
        <w:rPr>
          <w:rFonts w:cstheme="minorHAnsi"/>
          <w:color w:val="333333"/>
          <w:shd w:val="clear" w:color="auto" w:fill="FFFFFF"/>
        </w:rPr>
        <w:t>mg·h</w:t>
      </w:r>
      <w:proofErr w:type="spellEnd"/>
      <w:r w:rsidRPr="005B464C">
        <w:rPr>
          <w:rFonts w:cstheme="minorHAnsi"/>
          <w:color w:val="333333"/>
          <w:shd w:val="clear" w:color="auto" w:fill="FFFFFF"/>
        </w:rPr>
        <w:t>/L is</w:t>
      </w:r>
      <w:r w:rsidRPr="005B464C">
        <w:rPr>
          <w:rStyle w:val="apple-converted-space"/>
          <w:rFonts w:cstheme="minorHAnsi"/>
          <w:color w:val="333333"/>
          <w:shd w:val="clear" w:color="auto" w:fill="FFFFFF"/>
        </w:rPr>
        <w:t xml:space="preserve"> suggested </w:t>
      </w:r>
      <w:r w:rsidRPr="005B464C">
        <w:rPr>
          <w:rFonts w:cstheme="minorHAnsi"/>
          <w:color w:val="333333"/>
          <w:shd w:val="clear" w:color="auto" w:fill="FFFFFF"/>
        </w:rPr>
        <w:t>in adult KTR treated with MMF in combination with tacrolimus or ciclosporin, with or without glucocorticoids</w:t>
      </w:r>
      <w:r>
        <w:rPr>
          <w:rFonts w:cstheme="minorHAnsi"/>
          <w:color w:val="333333"/>
          <w:shd w:val="clear" w:color="auto" w:fill="FFFFFF"/>
        </w:rPr>
        <w:t xml:space="preserve"> </w:t>
      </w:r>
      <w:r>
        <w:rPr>
          <w:rFonts w:cstheme="minorHAnsi"/>
          <w:color w:val="333333"/>
          <w:shd w:val="clear" w:color="auto" w:fill="FFFFFF"/>
        </w:rPr>
        <w:fldChar w:fldCharType="begin"/>
      </w:r>
      <w:r w:rsidR="006528EA">
        <w:rPr>
          <w:rFonts w:cstheme="minorHAnsi"/>
          <w:color w:val="333333"/>
          <w:shd w:val="clear" w:color="auto" w:fill="FFFFFF"/>
        </w:rPr>
        <w:instrText xml:space="preserve"> ADDIN ZOTERO_ITEM CSL_CITATION {"citationID":"yWY0aUxC","properties":{"formattedCitation":"\\super 60\\nosupersub{}","plainCitation":"60","noteIndex":0},"citationItems":[{"id":18910,"uris":["http://zotero.org/users/3444308/items/GALQQLSP"],"itemData":{"id":18910,"type":"article-journal","abstract":"When mycophenolic acid (MPA) was originally marketed for immunosuppressive therapy, fixed doses were recommended by the manufacturer. Awareness of the potential for a more personalized dosing has led to development of methods to estimate MPA area under the curve based on the measurement of drug concentrations in only a few samples. This approach is feasible in the clinical routine and has proven successful in terms of correlation with outcome. However, the search for superior correlates has continued, and numerous studies in search of biomarkers that could better predict the perfect dosage for the individual patient have been published. As it was considered timely for an updated and comprehensive presentation of consensus on the status for personalized treatment with MPA, this report was prepared following an initiative from members of the International Association of Therapeutic Drug Monitoring and Clinical Toxicology (IATDMCT). Topics included are the criteria for analytics, methods to estimate exposure including pharmacometrics, the potential influence of pharmacogenetics, development of biomarkers, and the practical aspects of implementation of target concentration intervention. For selected topics with sufficient evidence, such as the application of limited sampling strategies for MPA area under the curve, graded recommendations on target ranges are presented. To provide a comprehensive review, this report also includes updates on the status of potential biomarkers including those which may be promising but with a low level of evidence. In view of the fact that there are very few new immunosuppressive drugs under development for the transplant field, it is likely that MPA will continue to be prescribed on a large scale in the upcoming years. Discontinuation of therapy due to adverse effects is relatively common, increasing the risk for late rejections, which may contribute to graft loss. Therefore, the continued search for innovative methods to better personalize MPA dosage is warranted.","container-title":"Therapeutic Drug Monitoring","DOI":"10.1097/FTD.0000000000000871","ISSN":"1536-3694","issue":"2","journalAbbreviation":"Ther Drug Monit","language":"eng","note":"PMID: 33711005","page":"150-200","source":"PubMed","title":"Personalized Therapy for Mycophenolate: Consensus Report by the International Association of Therapeutic Drug Monitoring and Clinical Toxicology","title-short":"Personalized Therapy for Mycophenolate","volume":"43","author":[{"family":"Bergan","given":"Stein"},{"family":"Brunet","given":"Mercè"},{"family":"Hesselink","given":"Dennis A."},{"family":"Johnson-Davis","given":"Kamisha L."},{"family":"Kunicki","given":"Paweł K."},{"family":"Lemaitre","given":"Florian"},{"family":"Marquet","given":"Pierre"},{"family":"Molinaro","given":"Mariadelfina"},{"family":"Noceti","given":"Ofelia"},{"family":"Pattanaik","given":"Smita"},{"family":"Pawinski","given":"Tomasz"},{"family":"Seger","given":"Christoph"},{"family":"Shipkova","given":"Maria"},{"family":"Swen","given":"Jesse J."},{"family":"Gelder","given":"Teun","non-dropping-particle":"van"},{"family":"Venkataramanan","given":"Raman"},{"family":"Wieland","given":"Eberhard"},{"family":"Woillard","given":"Jean-Baptiste"},{"family":"Zwart","given":"Tom C."},{"family":"Barten","given":"Markus J."},{"family":"Budde","given":"Klemens"},{"family":"Dieterlen","given":"Maja-Theresa"},{"family":"Elens","given":"Laure"},{"family":"Haufroid","given":"Vincent"},{"family":"Masuda","given":"Satohiro"},{"family":"Millan","given":"Olga"},{"family":"Mizuno","given":"Tomoyuki"},{"family":"Moes","given":"Dirk J. A. R."},{"family":"Oellerich","given":"Michael"},{"family":"Picard","given":"Nicolas"},{"family":"Salzmann","given":"Linda"},{"family":"Tönshoff","given":"Burkhard"},{"family":"Schaik","given":"Ron H. N.","non-dropping-particle":"van"},{"family":"Vethe","given":"Nils Tore"},{"family":"Vinks","given":"Alexander A."},{"family":"Wallemacq","given":"Pierre"},{"family":"Åsberg","given":"Anders"},{"family":"Langman","given":"Loralie J."}],"issued":{"date-parts":[["2021",4,1]]}}}],"schema":"https://github.com/citation-style-language/schema/raw/master/csl-citation.json"} </w:instrText>
      </w:r>
      <w:r>
        <w:rPr>
          <w:rFonts w:cstheme="minorHAnsi"/>
          <w:color w:val="333333"/>
          <w:shd w:val="clear" w:color="auto" w:fill="FFFFFF"/>
        </w:rPr>
        <w:fldChar w:fldCharType="separate"/>
      </w:r>
      <w:r w:rsidR="00A04B9C" w:rsidRPr="00A04B9C">
        <w:rPr>
          <w:rFonts w:ascii="Calibri" w:hAnsi="Calibri" w:cs="Calibri"/>
          <w:vertAlign w:val="superscript"/>
        </w:rPr>
        <w:t>60</w:t>
      </w:r>
      <w:r>
        <w:rPr>
          <w:rFonts w:cstheme="minorHAnsi"/>
          <w:color w:val="333333"/>
          <w:shd w:val="clear" w:color="auto" w:fill="FFFFFF"/>
        </w:rPr>
        <w:fldChar w:fldCharType="end"/>
      </w:r>
      <w:r>
        <w:rPr>
          <w:rFonts w:cstheme="minorHAnsi"/>
          <w:color w:val="333333"/>
          <w:shd w:val="clear" w:color="auto" w:fill="FFFFFF"/>
        </w:rPr>
        <w:t>.</w:t>
      </w:r>
    </w:p>
    <w:p w14:paraId="0B0B60CC" w14:textId="40EF5E8D" w:rsidR="00076320" w:rsidRDefault="00076320" w:rsidP="00076320">
      <w:pPr>
        <w:spacing w:before="100" w:beforeAutospacing="1" w:after="100" w:afterAutospacing="1" w:line="240" w:lineRule="auto"/>
        <w:rPr>
          <w:rFonts w:cstheme="minorHAnsi"/>
          <w:color w:val="000000" w:themeColor="text1"/>
        </w:rPr>
      </w:pPr>
      <w:r w:rsidRPr="005B464C">
        <w:rPr>
          <w:rFonts w:cstheme="minorHAnsi"/>
        </w:rPr>
        <w:t>Sirolimus levels should be monitored since toxic effects correlate with high drug levels and C</w:t>
      </w:r>
      <w:r w:rsidRPr="005B464C">
        <w:rPr>
          <w:rFonts w:cstheme="minorHAnsi"/>
          <w:position w:val="-4"/>
        </w:rPr>
        <w:t xml:space="preserve">0 </w:t>
      </w:r>
      <w:r w:rsidRPr="005B464C">
        <w:rPr>
          <w:rFonts w:cstheme="minorHAnsi"/>
        </w:rPr>
        <w:t xml:space="preserve">levels correlate well with </w:t>
      </w:r>
      <w:r w:rsidRPr="00E4758F">
        <w:rPr>
          <w:rFonts w:cstheme="minorHAnsi"/>
          <w:color w:val="000000" w:themeColor="text1"/>
        </w:rPr>
        <w:t>AUC</w:t>
      </w:r>
      <w:r w:rsidRPr="00E4758F">
        <w:rPr>
          <w:rFonts w:cstheme="minorHAnsi"/>
          <w:color w:val="000000" w:themeColor="text1"/>
          <w:shd w:val="clear" w:color="auto" w:fill="FFFFFF"/>
        </w:rPr>
        <w:t xml:space="preserve"> </w:t>
      </w:r>
      <w:r>
        <w:rPr>
          <w:rFonts w:cstheme="minorHAnsi"/>
          <w:color w:val="000000" w:themeColor="text1"/>
          <w:shd w:val="clear" w:color="auto" w:fill="FFFFFF"/>
        </w:rPr>
        <w:fldChar w:fldCharType="begin"/>
      </w:r>
      <w:r w:rsidR="006528EA">
        <w:rPr>
          <w:rFonts w:cstheme="minorHAnsi"/>
          <w:color w:val="000000" w:themeColor="text1"/>
          <w:shd w:val="clear" w:color="auto" w:fill="FFFFFF"/>
        </w:rPr>
        <w:instrText xml:space="preserve"> ADDIN ZOTERO_ITEM CSL_CITATION {"citationID":"teuWlDEJ","properties":{"formattedCitation":"\\super 61\\nosupersub{}","plainCitation":"61","noteIndex":0},"citationItems":[{"id":18909,"uris":["http://zotero.org/users/3444308/items/KF3PH9HA"],"itemData":{"id":18909,"type":"article-journal","container-title":"Transplantation","DOI":"10.1097/00007890-200110150-00001","ISSN":"0041-1337","issue":"7","journalAbbreviation":"Transplantation","language":"eng","note":"PMID: 11602840","page":"1181-1193","source":"PubMed","title":"Rapamycin: clinical results and future opportunities","title-short":"Rapamycin","volume":"72","author":[{"family":"Kahan","given":"B. D."},{"family":"Camardo","given":"J. S."}],"issued":{"date-parts":[["2001",10,15]]}}}],"schema":"https://github.com/citation-style-language/schema/raw/master/csl-citation.json"} </w:instrText>
      </w:r>
      <w:r>
        <w:rPr>
          <w:rFonts w:cstheme="minorHAnsi"/>
          <w:color w:val="000000" w:themeColor="text1"/>
          <w:shd w:val="clear" w:color="auto" w:fill="FFFFFF"/>
        </w:rPr>
        <w:fldChar w:fldCharType="separate"/>
      </w:r>
      <w:r w:rsidR="00A04B9C" w:rsidRPr="00A04B9C">
        <w:rPr>
          <w:rFonts w:ascii="Calibri" w:hAnsi="Calibri" w:cs="Calibri"/>
          <w:vertAlign w:val="superscript"/>
        </w:rPr>
        <w:t>61</w:t>
      </w:r>
      <w:r>
        <w:rPr>
          <w:rFonts w:cstheme="minorHAnsi"/>
          <w:color w:val="000000" w:themeColor="text1"/>
          <w:shd w:val="clear" w:color="auto" w:fill="FFFFFF"/>
        </w:rPr>
        <w:fldChar w:fldCharType="end"/>
      </w:r>
      <w:r w:rsidRPr="00E4758F">
        <w:rPr>
          <w:rFonts w:cstheme="minorHAnsi"/>
          <w:color w:val="000000" w:themeColor="text1"/>
        </w:rPr>
        <w:t xml:space="preserve">. </w:t>
      </w:r>
    </w:p>
    <w:p w14:paraId="4E8D249C" w14:textId="77777777" w:rsidR="00076320" w:rsidRPr="00631890" w:rsidRDefault="00076320" w:rsidP="00076320">
      <w:pPr>
        <w:spacing w:before="100" w:beforeAutospacing="1" w:after="100" w:afterAutospacing="1"/>
        <w:rPr>
          <w:rFonts w:cstheme="minorHAnsi"/>
        </w:rPr>
      </w:pPr>
      <w:r w:rsidRPr="00631890">
        <w:rPr>
          <w:rFonts w:cstheme="minorHAnsi"/>
        </w:rPr>
        <w:t xml:space="preserve">The introduction of many generic preparations of tacrolimus, ciclosporin and MPA has occurred in the last ten years. These offer potential cost savings but with the risk that these medications are not truly bioequivalent due to the limitations of the regulatory process. This has led to differences in both pharmacokinetic and clinical terms, compared with the original agents. </w:t>
      </w:r>
    </w:p>
    <w:p w14:paraId="17C25ED9" w14:textId="45892C6C" w:rsidR="00076320" w:rsidRPr="00845B53" w:rsidRDefault="00076320" w:rsidP="00076320">
      <w:pPr>
        <w:spacing w:before="100" w:beforeAutospacing="1" w:after="100" w:afterAutospacing="1"/>
        <w:rPr>
          <w:rFonts w:cstheme="minorHAnsi"/>
        </w:rPr>
      </w:pPr>
      <w:r w:rsidRPr="00631890">
        <w:rPr>
          <w:rFonts w:cstheme="minorHAnsi"/>
        </w:rPr>
        <w:t>Immunosuppressive drugs in common use have narrow therapeutic windows, with significant risk of under- and over-immunosuppression and, with CNIs, the risk of nephrotoxicity due to over-exposure. Plasma CNI levels are carefully measured in practice, with narrow therapeutic ranges. Assessment of generic agents were required only that time-averaged plasma concentrations (area-under-the-curve) fall between 80-125% of the original preparation in normal subjects and differences in bioavailability due to food, or other factors, are not assessed. For ciclosporin the bioavailability of generic agents extends across this range and is influenced by food, thus switching between generic agents may result in major differences in drug exposure. Due to this the European Medicines Agency has changed the AUC requirements for drugs with narrow therapeutic windows to 90-111% of the original product</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{"citationID":"ppbl9C9h","properties":{"formattedCitation":"\\super 62\\nosupersub{}","plainCitation":"62","noteIndex":0},"citationItems":[{"id":18908,"uris":["http://zotero.org/users/3444308/items/TWM9DNQ5"],"itemData":{"id":18908,"type":"article-journal","abstract":"The calcineurin inhibitors (CNIs), ciclosporin and tacrolimus, are the mainstay of immunosuppression in solid organ transplantation. Generic formulations of these drugs are now available. With increasing pressure on healthcare budgets and the consequent need to match health expectations to available resources, substitution with a generic product appears an attractive option to reduce costs. Approval of generic products differs from innovator drugs, and narrow therapeutic index drugs (NTIs; including CNIs) bring their own particular considerations. With NTIs, small variations in drug exposure could result in reduced immunosuppression or drug toxicity with potentially adverse effects on patient outcomes. NTIs are subject to stricter regulatory approval versus many other generic drugs. However, different generic formulations may still not necessarily be therapeutically equivalent in individuals, raising the possibility of significant differences in exposure between products. Although regional recommendations vary, many guidelines emphasise the need for NTI drug substitution to be initiated by the transplant physician, thus ensuring careful therapeutic monitoring and reduced negative patient impact. The need for therapeutic monitoring during generic substitution has important implications for the overall costs of generic treatment as these costs have to be factored in to the potential savings made from using generic formulations. The reduced acquisition costs of generic products may not necessarily translate into lower overall healthcare costs. This article examines the issue of equivalence and interchangeability of NTI drugs used in organ transplantation, the implications of the approval process for generic drugs on treatment efficacy and safety, and the effective management of substitutions between products.","container-title":"European Journal of Hospital Pharmacy: Science and Practice","DOI":"10.1136/ejhpharm-2012-000258","ISSN":"2047-9956","issue":"5","journalAbbreviation":"Eur J Hosp Pharm","language":"eng","note":"PMID: 24089632\nPMCID: PMC3786630","page":"302-307","source":"PubMed","title":"Equivalence and interchangeability of narrow therapeutic index drugs in organ transplantation","volume":"20","author":[{"family":"Johnston","given":"Atholl"}],"issued":{"date-parts":[["2013",10]]}}}],"schema":"https://github.com/citation-style-language/schema/raw/master/csl-citation.json"}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62</w:t>
      </w:r>
      <w:r>
        <w:rPr>
          <w:rFonts w:cstheme="minorHAnsi"/>
          <w:vertAlign w:val="superscript"/>
        </w:rPr>
        <w:fldChar w:fldCharType="end"/>
      </w:r>
      <w:r w:rsidRPr="00631890">
        <w:rPr>
          <w:rFonts w:cstheme="minorHAnsi"/>
        </w:rPr>
        <w:t>.</w:t>
      </w:r>
      <w:r w:rsidRPr="00631890">
        <w:rPr>
          <w:rFonts w:cstheme="minorHAnsi"/>
          <w:color w:val="4D8055"/>
          <w:shd w:val="clear" w:color="auto" w:fill="FFFFFF"/>
          <w:vertAlign w:val="superscript"/>
        </w:rPr>
        <w:t xml:space="preserve"> </w:t>
      </w:r>
      <w:r w:rsidRPr="00631890">
        <w:rPr>
          <w:rFonts w:cstheme="minorHAnsi"/>
        </w:rPr>
        <w:t xml:space="preserve">The risk of using generics may be minimised by careful measure of drug exposure after switching between agents and named generic preparations. When the choice of generic is left to the dispenser this is likely to result in variable exposure. The same issues may apply to </w:t>
      </w:r>
      <w:proofErr w:type="gramStart"/>
      <w:r w:rsidRPr="00631890">
        <w:rPr>
          <w:rFonts w:cstheme="minorHAnsi"/>
        </w:rPr>
        <w:t>tacrolimus</w:t>
      </w:r>
      <w:proofErr w:type="gramEnd"/>
      <w:r w:rsidRPr="00631890">
        <w:rPr>
          <w:rFonts w:cstheme="minorHAnsi"/>
        </w:rPr>
        <w:t xml:space="preserve"> but the bioavailability of this agent is less variable, and to other generic immunosuppressants such as MPA, although monitoring of this agent is not usually undertaken in clinical practice. For these reasons a local protocol for the use of generic agents should be available to all involved in the care of transplant recipients, specifically those who write and dispense prescriptions. KTR should also be educated on the importance of remaining on the same formulation of immunosuppressants and be able to recognise the brand or named generic that they use.</w:t>
      </w:r>
    </w:p>
    <w:p w14:paraId="16BD6D12" w14:textId="7238F9E1" w:rsidR="00076320" w:rsidRDefault="00183412" w:rsidP="00183412">
      <w:pPr>
        <w:pStyle w:val="GuidelineUpperHeadings"/>
      </w:pPr>
      <w:bookmarkStart w:id="26" w:name="_Toc213749036"/>
      <w:r>
        <w:t xml:space="preserve">3. </w:t>
      </w:r>
      <w:r w:rsidR="009B0CA8" w:rsidRPr="00306FF4">
        <w:t xml:space="preserve">Kidney Transplant Recipient (KTR): </w:t>
      </w:r>
      <w:r w:rsidR="00076320">
        <w:t>Acute rejection, diagnosis and treatment (Guidelines 3.1-3.6)</w:t>
      </w:r>
      <w:bookmarkEnd w:id="26"/>
    </w:p>
    <w:p w14:paraId="7C0E14E4" w14:textId="77777777" w:rsidR="00076320" w:rsidRDefault="00076320" w:rsidP="00183412">
      <w:pPr>
        <w:pStyle w:val="GuidelineHeadings"/>
      </w:pPr>
      <w:r>
        <w:lastRenderedPageBreak/>
        <w:t>Guideline 3.1 – KTR: Diagnosis of acute rejection</w:t>
      </w:r>
    </w:p>
    <w:p w14:paraId="4344685D" w14:textId="4B58EB7E" w:rsidR="00076320" w:rsidRPr="00C456B5" w:rsidRDefault="00076320" w:rsidP="00076320">
      <w:pPr>
        <w:autoSpaceDE w:val="0"/>
        <w:autoSpaceDN w:val="0"/>
        <w:adjustRightInd w:val="0"/>
        <w:spacing w:line="240" w:lineRule="auto"/>
        <w:jc w:val="both"/>
        <w:rPr>
          <w:rFonts w:cstheme="minorHAnsi"/>
        </w:rPr>
      </w:pPr>
      <w:r w:rsidRPr="00C456B5">
        <w:rPr>
          <w:rFonts w:cstheme="minorHAnsi"/>
        </w:rPr>
        <w:t xml:space="preserve">Historically, unresolved acute rejection episodes invariably led to graft </w:t>
      </w:r>
      <w:proofErr w:type="gramStart"/>
      <w:r w:rsidRPr="00C456B5">
        <w:rPr>
          <w:rFonts w:cstheme="minorHAnsi"/>
        </w:rPr>
        <w:t>loss</w:t>
      </w:r>
      <w:proofErr w:type="gramEnd"/>
      <w:r w:rsidRPr="00C456B5">
        <w:rPr>
          <w:rFonts w:cstheme="minorHAnsi"/>
        </w:rPr>
        <w:t xml:space="preserve"> so it is rational to treat such episodes unless the treatment is likely to do more harm than good. Rejection episodes are characteristically associated with loss of graft function</w:t>
      </w:r>
      <w:r>
        <w:rPr>
          <w:rFonts w:cstheme="minorHAnsi"/>
        </w:rPr>
        <w:t xml:space="preserve"> </w:t>
      </w:r>
      <w:r>
        <w:rPr>
          <w:rFonts w:cstheme="minorHAnsi"/>
        </w:rPr>
        <w:fldChar w:fldCharType="begin"/>
      </w:r>
      <w:r w:rsidR="006528EA">
        <w:rPr>
          <w:rFonts w:cstheme="minorHAnsi"/>
        </w:rPr>
        <w:instrText xml:space="preserve"> ADDIN ZOTERO_ITEM CSL_CITATION {"citationID":"81gMRr4w","properties":{"formattedCitation":"\\super 63\\nosupersub{}","plainCitation":"63","noteIndex":0},"citationItems":[{"id":18907,"uris":["http://zotero.org/users/3444308/items/DMNEGC22"],"itemData":{"id":18907,"type":"article-journal","abstract":"The prevalence and long-term impact of T cell-mediated rejection (TCMR) is poorly defined in the modern era of tacrolimus/mycophenolate-based maintenance therapy. This observational study evaluated 775 kidney transplant recipients with serial histology and correlated TCMR events with the risk of graft loss. After a ~30% incidence of a first Banff Borderline or greater TCMR detected on for-cause (17%) or surveillance (13%) biopsies, persistent (37.4%) or subsequent (26.3%) TCMR occurred in 64% of recipients on follow-up biopsies. Alloimmune risk categories based on the HLA-DR/DQ single molecule eplet molecular mismatch correlated with the number of TCMR events (p = .002) and Banff TCMR grade (p = .007). Both a first and second TCMR event correlated with death-censored and all-cause graft loss when adjusted for baseline covariates and other significant time-dependent covariates such as DGF and ABMR. Therefore, a substantial portion of kidney transplant recipients, especially those with intermediate and high HLA-DR/DQ molecular mismatch scores, remain under-immunosuppressed, which in turn identifies the need for novel agents that can more effectively prevent or treat TCMR.","container-title":"American Journal of Transplantation: Official Journal of the American Society of Transplantation and the American Society of Transplant Surgeons","DOI":"10.1111/ajt.16883","ISSN":"1600-6143","issue":"3","journalAbbreviation":"Am J Transplant","language":"eng","note":"PMID: 34717048\nPMCID: PMC9299170","page":"761-771","source":"PubMed","title":"The negative impact of T cell-mediated rejection on renal allograft survival in the modern era","volume":"22","author":[{"family":"Rampersad","given":"Christie"},{"family":"Balshaw","given":"Robert"},{"family":"Gibson","given":"Ian W."},{"family":"Ho","given":"Julie"},{"family":"Shaw","given":"Jamie"},{"family":"Karpinski","given":"Martin"},{"family":"Goldberg","given":"Aviva"},{"family":"Birk","given":"Patricia"},{"family":"Rush","given":"David N."},{"family":"Nickerson","given":"Peter W."},{"family":"Wiebe","given":"Chris"}],"issued":{"date-parts":[["2022",3]]}}}],"schema":"https://github.com/citation-style-language/schema/raw/master/csl-citation.json"}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63</w:t>
      </w:r>
      <w:r>
        <w:rPr>
          <w:rFonts w:cstheme="minorHAnsi"/>
        </w:rPr>
        <w:fldChar w:fldCharType="end"/>
      </w:r>
      <w:r w:rsidRPr="00C456B5">
        <w:rPr>
          <w:rFonts w:cstheme="minorHAnsi"/>
        </w:rPr>
        <w:t xml:space="preserve"> and, although advances in novel diagnostic approaches are ongoing, diagnosis remains best established by a percutaneous biopsy since it differentiates rejection clearly from other causes of graft dysfunction. Recognition of different forms of rejection may inform different treatment regimens (e.g. antibody mediated vs T-cell mediated rejection).</w:t>
      </w:r>
    </w:p>
    <w:p w14:paraId="3264833D" w14:textId="2AD8D62A" w:rsidR="00076320" w:rsidRPr="00C456B5" w:rsidRDefault="00076320" w:rsidP="00076320">
      <w:pPr>
        <w:spacing w:line="240" w:lineRule="auto"/>
        <w:jc w:val="both"/>
        <w:rPr>
          <w:rFonts w:cstheme="minorHAnsi"/>
        </w:rPr>
      </w:pPr>
      <w:r w:rsidRPr="00C456B5">
        <w:rPr>
          <w:rFonts w:cstheme="minorHAnsi"/>
        </w:rPr>
        <w:t>Two cores of tissue should be obtained as this approach establishes the diagnosis of acute rejection with a sensitivity of 99% versus 91% when only one core is obtained</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{"citationID":"zNbSUhCG","properties":{"formattedCitation":"\\super 64\\nosupersub{}","plainCitation":"64","noteIndex":0},"citationItems":[{"id":18906,"uris":["http://zotero.org/users/3444308/items/EEALREW3"],"itemData":{"id":18906,"type":"article-journal","abstract":"This study was designed to evaluate the pathologic criteria used for acute renal allograft rejection that were developed by a panel of renal pathologists participating in the Cooperative Clinical Trials in Transplantation, a National Institutes of Health-supported, multicenter research group. The panel defined three categories of acute rejection. (1) Type I: mononuclear infiltrate in &gt; or =5% of cortex, a total of at least three tubules with tubulitis in 10 consecutive high-power fields from the most severely affected areas, and at least two of the three following features: edema, activated lymphocytes, or tubular injury. (2) Type II: arterial, or arteriolar, endothelialitis with or without the preceding features. (3) Type III: arterial fibrinoid necrosis or transmural inflammation with or without thrombosis, parenchymal necrosis, or hemorrhage. Using these criteria, and without any knowledge of the clinical course or original diagnosis, a rotating panel of three pathologists agreed with the original study pathologist's diagnosis of the presence or absence of rejection in 259 of the 286 biopsies (91%) used for this analysis (kappa = 0.80). The sensitivity to establish the diagnosis of rejection was 91% for a single core and 99% for two cores. To validate the diagnostic criteria, the thresholds for number of tubules with tubulitis and the percent infiltrate were varied, and the pathologic diagnosis was compared with the clinical course. The greatest agreement occurred with a threshold of &gt; or =1 tubule with tubulitis and &gt; or =5% cortex with interstitial infiltrate (91%). Clinically severe rejection episodes were correlated with the type of rejection (type I, odds ratio [OR] 6.2; type II, OR 37.9). Type II rejection was more likely to be clinically severe than type I (OR 6.1). Analysis of other individual pathologic features revealed a correlation with clinical severity for endothelialitis (OR 13.2), interstitial hemorrhage (OR 13.2), and the presence of glomerulitis (OR 3.7) (all P &lt; 0.05). The extent of tubulitis or of the interstitial infiltrate did not correlate with severity (P &gt; 0.05). It is concluded that these criteria are simple, reproducible, and clinically relevant. These data should lead to further refinement of the diagnostic systems for renal allograft rejection.","container-title":"Journal of the American Society of Nephrology: JASN","DOI":"10.1681/ASN.V8121930","ISSN":"1046-6673","issue":"12","journalAbbreviation":"J Am Soc Nephrol","language":"eng","note":"PMID: 9402096","page":"1930-1941","source":"PubMed","title":"Evaluation of pathologic criteria for acute renal allograft rejection: reproducibility, sensitivity, and clinical correlation","title-short":"Evaluation of pathologic criteria for acute renal allograft rejection","volume":"8","author":[{"family":"Colvin","given":"R. B."},{"family":"Cohen","given":"A. H."},{"family":"Saiontz","given":"C."},{"family":"Bonsib","given":"S."},{"family":"Buick","given":"M."},{"family":"Burke","given":"B."},{"family":"Carter","given":"S."},{"family":"Cavallo","given":"T."},{"family":"Haas","given":"M."},{"family":"Lindblad","given":"A."},{"family":"Manivel","given":"J. C."},{"family":"Nast","given":"C. C."},{"family":"Salomon","given":"D."},{"family":"Weaver","given":"C."},{"family":"Weiss","given":"M."}],"issued":{"date-parts":[["1997",12]]}}}],"schema":"https://github.com/citation-style-language/schema/raw/master/csl-citation.json"}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64</w:t>
      </w:r>
      <w:r>
        <w:rPr>
          <w:rFonts w:cstheme="minorHAnsi"/>
          <w:vertAlign w:val="superscript"/>
        </w:rPr>
        <w:fldChar w:fldCharType="end"/>
      </w:r>
      <w:r w:rsidRPr="00C456B5">
        <w:rPr>
          <w:rFonts w:cstheme="minorHAnsi"/>
        </w:rPr>
        <w:t>. The use of a 16-gauge automated core biopsy needle yields higher numbers of glomeruli and thus increased diagnostic usefulness without an increase in complication rate compared with an 18-gauge needle</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{"citationID":"uomgrNLC","properties":{"formattedCitation":"\\super 65,66\\nosupersub{}","plainCitation":"65,66","noteIndex":0},"citationItems":[{"id":18904,"uris":["http://zotero.org/users/3444308/items/W9J96NWS"],"itemData":{"id":18904,"type":"article-journal","abstract":"BACKGROUND: Needle-core biopsy remains one of the most important investigations in cases of renal allograft dysfunction. The size and quality of the biopsy material are likely to be important factors in achieving an accurate diagnosis. The aim of this study was to compare the success and complication rates of renal transplant biopsy procedures using three differently sized needles.\nMETHODS: One hundred renal allograft recipients undergoing transplant biopsy using an automated needle core method were randomized to a 14, 16, or 18 gauge (G) needle. The size of each biopsy core was measured, and the presence or absence of renal cortical and medullary tissue and the number of glomeruli were recorded. Assessments of the ease with which the procedure was performed, the diagnostic usefulness of the biopsy material, and the discomfort associated with the procedure were made using verbal response and linear analog scales.\nRESULTS: Fourteen G biopsy cores (N = 33) were larger than both 16G (N = 33) and 18G (N = 34) cores and contained more gomeruli (mean number for 14G, 16G, and 18G = 15, 11 and 9, respectively). There were no differences in the ease of use of the three needle types, but scores for diagnostic usefulness were higher for 14G versus 18G and 16G versus 18G. The 14G needle was associated with significantly more pain than the two smaller needles when this was assessed using a linear analog score. Macroscopic hematuria occurred in eight patients, but there were no differences in complications rates between the three groups.\nCONCLUSIONS: All three needle sizes are safe for use in renal allograft biopsy using a semiautomated biopsy gun. The larger needles provide more tissue and glomeruli and, thus, are more diagnostically useful. Use of a 14G needle may be associated with more pain, and the 16G needle appears to offer the best compromise between diagnostic usefulness and patient acceptability.","container-title":"Kidney International","DOI":"10.1046/j.1523-1755.2000.00177.x","ISSN":"0085-2538","issue":"1","journalAbbreviation":"Kidney Int","language":"eng","note":"PMID: 10886586","page":"390-395","source":"PubMed","title":"A prospective randomized trial of three different sizes of core-cutting needle for renal transplant biopsy","volume":"58","author":[{"family":"Nicholson","given":"M. L."},{"family":"Wheatley","given":"T. J."},{"family":"Doughman","given":"T. M."},{"family":"White","given":"S. A."},{"family":"Morgan","given":"J. D."},{"family":"Veitch","given":"P. S."},{"family":"Furness","given":"P. N."}],"issued":{"date-parts":[["2000",7]]}}},{"id":18905,"uris":["http://zotero.org/users/3444308/items/MPLVGG3H"],"itemData":{"id":18905,"type":"article-journal","abstract":"BACKGROUND: In Sweden, native and transplant kidney biopsies are usually performed in major renal medical centers.\nPURPOSE: To clarify risk factors in native and transplant kidney biopsies to improve patient safety.\nMATERIAL AND METHODS: A total of 1001 biopsies (in 352 women and 565 men) were included. The median age was 54 years (range, 16-90 years). Data were derived from 826 native kidney biopsies (640 prospective and 186 retrospective) and 175 transplant kidney biopsies (170 prospective and 5 retrospective). Various factors and complications were registered while performing native and transplant kidney biopsies, focusing on major (e.g. blood transfusions, invasive procedures) and minor complications. The prospective protocol was used at six centers and at one center data were obtained retrospectively.\nRESULTS: Women were at greater risk of overall complications than men (12.2% vs. 6.5%; P</w:instrText>
      </w:r>
      <w:r w:rsidR="006528EA">
        <w:rPr>
          <w:rFonts w:ascii="Arial" w:hAnsi="Arial" w:cs="Arial"/>
          <w:vertAlign w:val="superscript"/>
        </w:rPr>
        <w:instrText> </w:instrText>
      </w:r>
      <w:r w:rsidR="006528EA">
        <w:rPr>
          <w:rFonts w:cstheme="minorHAnsi"/>
          <w:vertAlign w:val="superscript"/>
        </w:rPr>
        <w:instrText>=</w:instrText>
      </w:r>
      <w:r w:rsidR="006528EA">
        <w:rPr>
          <w:rFonts w:ascii="Arial" w:hAnsi="Arial" w:cs="Arial"/>
          <w:vertAlign w:val="superscript"/>
        </w:rPr>
        <w:instrText> </w:instrText>
      </w:r>
      <w:r w:rsidR="006528EA">
        <w:rPr>
          <w:rFonts w:cstheme="minorHAnsi"/>
          <w:vertAlign w:val="superscript"/>
        </w:rPr>
        <w:instrText>0.003; odds ratio [OR], 2.0; confidence interval [CI], 1.3-3.1) as well as of major complications (9.6% vs. 4.5%; P</w:instrText>
      </w:r>
      <w:r w:rsidR="006528EA">
        <w:rPr>
          <w:rFonts w:ascii="Arial" w:hAnsi="Arial" w:cs="Arial"/>
          <w:vertAlign w:val="superscript"/>
        </w:rPr>
        <w:instrText> </w:instrText>
      </w:r>
      <w:r w:rsidR="006528EA">
        <w:rPr>
          <w:rFonts w:cstheme="minorHAnsi"/>
          <w:vertAlign w:val="superscript"/>
        </w:rPr>
        <w:instrText>=</w:instrText>
      </w:r>
      <w:r w:rsidR="006528EA">
        <w:rPr>
          <w:rFonts w:ascii="Arial" w:hAnsi="Arial" w:cs="Arial"/>
          <w:vertAlign w:val="superscript"/>
        </w:rPr>
        <w:instrText> </w:instrText>
      </w:r>
      <w:r w:rsidR="006528EA">
        <w:rPr>
          <w:rFonts w:cstheme="minorHAnsi"/>
          <w:vertAlign w:val="superscript"/>
        </w:rPr>
        <w:instrText>0.002; OR, 2.2, CI 1.3-3.7). Major complications occurred more commonly after biopsies from the right kidney, in women than in men (10.8% vs. 3.1%; P</w:instrText>
      </w:r>
      <w:r w:rsidR="006528EA">
        <w:rPr>
          <w:rFonts w:ascii="Arial" w:hAnsi="Arial" w:cs="Arial"/>
          <w:vertAlign w:val="superscript"/>
        </w:rPr>
        <w:instrText> </w:instrText>
      </w:r>
      <w:r w:rsidR="006528EA">
        <w:rPr>
          <w:rFonts w:cstheme="minorHAnsi"/>
          <w:vertAlign w:val="superscript"/>
        </w:rPr>
        <w:instrText>=</w:instrText>
      </w:r>
      <w:r w:rsidR="006528EA">
        <w:rPr>
          <w:rFonts w:ascii="Arial" w:hAnsi="Arial" w:cs="Arial"/>
          <w:vertAlign w:val="superscript"/>
        </w:rPr>
        <w:instrText> </w:instrText>
      </w:r>
      <w:r w:rsidR="006528EA">
        <w:rPr>
          <w:rFonts w:cstheme="minorHAnsi"/>
          <w:vertAlign w:val="superscript"/>
        </w:rPr>
        <w:instrText>0.005; OR, 3.7; CI, 1.5-9.5), and in patients with lower BMI (25.5 vs. 27.3, P</w:instrText>
      </w:r>
      <w:r w:rsidR="006528EA">
        <w:rPr>
          <w:rFonts w:ascii="Arial" w:hAnsi="Arial" w:cs="Arial"/>
          <w:vertAlign w:val="superscript"/>
        </w:rPr>
        <w:instrText> </w:instrText>
      </w:r>
      <w:r w:rsidR="006528EA">
        <w:rPr>
          <w:rFonts w:cstheme="minorHAnsi"/>
          <w:vertAlign w:val="superscript"/>
        </w:rPr>
        <w:instrText>=</w:instrText>
      </w:r>
      <w:r w:rsidR="006528EA">
        <w:rPr>
          <w:rFonts w:ascii="Arial" w:hAnsi="Arial" w:cs="Arial"/>
          <w:vertAlign w:val="superscript"/>
        </w:rPr>
        <w:instrText> </w:instrText>
      </w:r>
      <w:r w:rsidR="006528EA">
        <w:rPr>
          <w:rFonts w:cstheme="minorHAnsi"/>
          <w:vertAlign w:val="superscript"/>
        </w:rPr>
        <w:instrText>0.016) and of younger age (45 years vs. 52.5 years; P</w:instrText>
      </w:r>
      <w:r w:rsidR="006528EA">
        <w:rPr>
          <w:rFonts w:ascii="Arial" w:hAnsi="Arial" w:cs="Arial"/>
          <w:vertAlign w:val="superscript"/>
        </w:rPr>
        <w:instrText> </w:instrText>
      </w:r>
      <w:r w:rsidR="006528EA">
        <w:rPr>
          <w:rFonts w:cstheme="minorHAnsi"/>
          <w:vertAlign w:val="superscript"/>
        </w:rPr>
        <w:instrText>=</w:instrText>
      </w:r>
      <w:r w:rsidR="006528EA">
        <w:rPr>
          <w:rFonts w:ascii="Arial" w:hAnsi="Arial" w:cs="Arial"/>
          <w:vertAlign w:val="superscript"/>
        </w:rPr>
        <w:instrText> </w:instrText>
      </w:r>
      <w:r w:rsidR="006528EA">
        <w:rPr>
          <w:rFonts w:cstheme="minorHAnsi"/>
          <w:vertAlign w:val="superscript"/>
        </w:rPr>
        <w:instrText>0.001). Lower mean arterial pressure in transplant kidney biopsies indicated a risk of major complications (90</w:instrText>
      </w:r>
      <w:r w:rsidR="006528EA">
        <w:rPr>
          <w:rFonts w:ascii="Arial" w:hAnsi="Arial" w:cs="Arial"/>
          <w:vertAlign w:val="superscript"/>
        </w:rPr>
        <w:instrText> </w:instrText>
      </w:r>
      <w:r w:rsidR="006528EA">
        <w:rPr>
          <w:rFonts w:cstheme="minorHAnsi"/>
          <w:vertAlign w:val="superscript"/>
        </w:rPr>
        <w:instrText>mmHg vs. 98</w:instrText>
      </w:r>
      <w:r w:rsidR="006528EA">
        <w:rPr>
          <w:rFonts w:ascii="Arial" w:hAnsi="Arial" w:cs="Arial"/>
          <w:vertAlign w:val="superscript"/>
        </w:rPr>
        <w:instrText> </w:instrText>
      </w:r>
      <w:r w:rsidR="006528EA">
        <w:rPr>
          <w:rFonts w:cstheme="minorHAnsi"/>
          <w:vertAlign w:val="superscript"/>
        </w:rPr>
        <w:instrText>mmHg; P</w:instrText>
      </w:r>
      <w:r w:rsidR="006528EA">
        <w:rPr>
          <w:rFonts w:ascii="Arial" w:hAnsi="Arial" w:cs="Arial"/>
          <w:vertAlign w:val="superscript"/>
        </w:rPr>
        <w:instrText> </w:instrText>
      </w:r>
      <w:r w:rsidR="006528EA">
        <w:rPr>
          <w:rFonts w:cstheme="minorHAnsi"/>
          <w:vertAlign w:val="superscript"/>
        </w:rPr>
        <w:instrText>=</w:instrText>
      </w:r>
      <w:r w:rsidR="006528EA">
        <w:rPr>
          <w:rFonts w:ascii="Arial" w:hAnsi="Arial" w:cs="Arial"/>
          <w:vertAlign w:val="superscript"/>
        </w:rPr>
        <w:instrText> </w:instrText>
      </w:r>
      <w:r w:rsidR="006528EA">
        <w:rPr>
          <w:rFonts w:cstheme="minorHAnsi"/>
          <w:vertAlign w:val="superscript"/>
        </w:rPr>
        <w:instrText xml:space="preserve">0.039). Factors such as needle size, number of passes, serum creatinine, and eGFR did not influence complication rates.\nCONCLUSION: The present findings motivate greater attention being paid to the risk of major side-effects after right-side biopsies from women's kidneys, as well as after biopsies from younger patients and patients with lower BMI.","container-title":"Acta Radiologica (Stockholm, Sweden: 1987)","DOI":"10.1177/0284185113506190","ISSN":"1600-0455","issue":"7","journalAbbreviation":"Acta Radiol","language":"eng","note":"PMID: 24068748","page":"890-896","source":"PubMed","title":"A study of clinical complications and risk factors in 1,001 native and transplant kidney biopsies in Sweden","volume":"55","author":[{"family":"Peters","given":"Björn"},{"family":"Andersson","given":"Yvonne"},{"family":"Stegmayr","given":"Bernd"},{"family":"Mölne","given":"Johan"},{"family":"Jensen","given":"Gert"},{"family":"Dahlberg","given":"Per"},{"family":"Holm-Gunnarsson","given":"Inger"},{"family":"Ekberg","given":"Jana"},{"family":"Bjurström","given":"Karl"},{"family":"Haux","given":"Stina-Britta"},{"family":"Hadimeri","given":"Henrik"}],"issued":{"date-parts":[["2014",9]]}}}],"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65,66</w:t>
      </w:r>
      <w:r>
        <w:rPr>
          <w:rFonts w:cstheme="minorHAnsi"/>
          <w:vertAlign w:val="superscript"/>
        </w:rPr>
        <w:fldChar w:fldCharType="end"/>
      </w:r>
      <w:r w:rsidRPr="00C456B5">
        <w:rPr>
          <w:rFonts w:cstheme="minorHAnsi"/>
        </w:rPr>
        <w:t xml:space="preserve">. </w:t>
      </w:r>
    </w:p>
    <w:p w14:paraId="550B91A0" w14:textId="60ABFC17" w:rsidR="00076320" w:rsidRPr="00C456B5" w:rsidRDefault="00076320" w:rsidP="00076320">
      <w:pPr>
        <w:shd w:val="clear" w:color="auto" w:fill="FFFFFF"/>
        <w:spacing w:before="100" w:beforeAutospacing="1" w:after="100" w:afterAutospacing="1" w:line="240" w:lineRule="auto"/>
        <w:jc w:val="both"/>
        <w:rPr>
          <w:rFonts w:cstheme="minorHAnsi"/>
          <w:noProof/>
        </w:rPr>
      </w:pPr>
      <w:r w:rsidRPr="00C456B5">
        <w:rPr>
          <w:rFonts w:cstheme="minorHAnsi"/>
        </w:rPr>
        <w:t>Biopsy is performed when there is acute graft dysfunction with the aim of providing a histological diagnosis to confirm clinical suspicion and should be reported according to current Banff criteria. However, renal scarring may be too advanced for any intervention to lead to significant improvement. Subclinical rejection (SCAR) is defined as histological rejection in the absence of clinical evidence of altered graft function diagnosed on protocol biopsies and logically one might expect that early detection would lead to improved outcomes. In most patients, with modern immunosuppression regimes, there is little evidence that treatment of SCAR improves outcomes and a clear link between SCAR and chronic rejection has not yet been proven</w:t>
      </w:r>
      <w:r>
        <w:rPr>
          <w:rFonts w:cstheme="minorHAnsi"/>
          <w:noProof/>
          <w:vertAlign w:val="superscript"/>
        </w:rPr>
        <w:t xml:space="preserve"> </w:t>
      </w:r>
      <w:r>
        <w:rPr>
          <w:rFonts w:cstheme="minorHAnsi"/>
          <w:noProof/>
          <w:vertAlign w:val="superscript"/>
        </w:rPr>
        <w:fldChar w:fldCharType="begin"/>
      </w:r>
      <w:r w:rsidR="006528EA">
        <w:rPr>
          <w:rFonts w:cstheme="minorHAnsi"/>
          <w:noProof/>
          <w:vertAlign w:val="superscript"/>
        </w:rPr>
        <w:instrText xml:space="preserve"> ADDIN ZOTERO_ITEM CSL_CITATION {"citationID":"UOtAXGr7","properties":{"formattedCitation":"\\super 67\\nosupersub{}","plainCitation":"67","noteIndex":0},"citationItems":[{"id":18903,"uris":["http://zotero.org/users/3444308/items/GVIRWXWT"],"itemData":{"id":18903,"type":"article-journal","abstract":"We conducted a randomized, multicenter study to determine whether treatment of subclinical rejection with increased corticosteroids resulted in beneficial outcomes in renal transplant patients receiving tacrolimus (TAC), mycophenolate mofetil (MMF) and prednisone. One hundred and twenty-one patients were randomized to biopsies at 0,1,2,3 and 6 months (Biopsy arm), and 119 to biopsies at 0 and 6 months only (Control arm). The primary endpoint of the study was the prevalence of the sum of the interstitial and tubular scores (ci + ct)&gt; 2 (Banff) at 6 months. Secondary endpoints included clinical and subclinical rejection and renal function. At 6 months, 34.8% of the Biopsy and 20.5% of the Control arm patients had a ci + ct score &gt;or= 2 (p = 0.07). Between months 0 and 6, clinical rejection episodes were 12 in 10 Biopsy arm patients and 8 in 8 Control arm patients (p = 0.44). Overall prevalence of subclinical rejection in the Biopsy arm was 4.6%. Creatinine clearance at 6 months was 72.9 +/- 21.7 in the Biopsy and 68.90 mL/min +/- 18.35 mL/min in the Control arm patients (p = 0.18). In conclusion, we found no benefit to the procurement of early protocol biopsies in renal transplant patients receiving TAC, MMF and prednisone, at least in the short term. This is likely due to their low prevalence of subclinical rejection.","container-title":"American Journal of Transplantation: Official Journal of the American Society of Transplantation and the American Society of Transplant Surgeons","DOI":"10.1111/j.1600-6143.2007.01979.x","ISSN":"1600-6135","issue":"11","journalAbbreviation":"Am J Transplant","language":"eng","note":"PMID: 17908280","page":"2538-2545","source":"PubMed","title":"Lack of benefit of early protocol biopsies in renal transplant patients receiving TAC and MMF: a randomized study","title-short":"Lack of benefit of early protocol biopsies in renal transplant patients receiving TAC and MMF","volume":"7","author":[{"family":"Rush","given":"D."},{"family":"Arlen","given":"D."},{"family":"Boucher","given":"A."},{"family":"Busque","given":"S."},{"family":"Cockfield","given":"S. M."},{"family":"Girardin","given":"C."},{"family":"Knoll","given":"G."},{"family":"Lachance","given":"J.-G."},{"family":"Landsberg","given":"D."},{"family":"Shapiro","given":"J."},{"family":"Shoker","given":"A."},{"family":"Yilmaz","given":"S."}],"issued":{"date-parts":[["2007",11]]}}}],"schema":"https://github.com/citation-style-language/schema/raw/master/csl-citation.json"} </w:instrText>
      </w:r>
      <w:r>
        <w:rPr>
          <w:rFonts w:cstheme="minorHAnsi"/>
          <w:noProof/>
          <w:vertAlign w:val="superscript"/>
        </w:rPr>
        <w:fldChar w:fldCharType="separate"/>
      </w:r>
      <w:r w:rsidR="00A04B9C" w:rsidRPr="00A04B9C">
        <w:rPr>
          <w:rFonts w:ascii="Calibri" w:hAnsi="Calibri" w:cs="Calibri"/>
          <w:vertAlign w:val="superscript"/>
        </w:rPr>
        <w:t>67</w:t>
      </w:r>
      <w:r>
        <w:rPr>
          <w:rFonts w:cstheme="minorHAnsi"/>
          <w:noProof/>
          <w:vertAlign w:val="superscript"/>
        </w:rPr>
        <w:fldChar w:fldCharType="end"/>
      </w:r>
      <w:r>
        <w:rPr>
          <w:rFonts w:cstheme="minorHAnsi"/>
          <w:noProof/>
        </w:rPr>
        <w:t>.</w:t>
      </w:r>
      <w:r w:rsidRPr="00C456B5">
        <w:rPr>
          <w:rFonts w:cstheme="minorHAnsi"/>
        </w:rPr>
        <w:t xml:space="preserve"> There are multiple reasons for this: there is no large multi-centre prospective study; the induction, baseline and maintenance immunosuppression regimes vary in studies; some protocol biopsies are actually indication biopsies and thus cannot show SCAR; and the Banff criteria was designed for diagnostic biopsies and not for protocol biopsies where the findings may not fit with the criteria</w:t>
      </w:r>
      <w:r>
        <w:rPr>
          <w:rFonts w:cstheme="minorHAnsi"/>
        </w:rPr>
        <w:t xml:space="preserve"> </w:t>
      </w:r>
      <w:r>
        <w:rPr>
          <w:rFonts w:cstheme="minorHAnsi"/>
        </w:rPr>
        <w:fldChar w:fldCharType="begin"/>
      </w:r>
      <w:r w:rsidR="006528EA">
        <w:rPr>
          <w:rFonts w:cstheme="minorHAnsi"/>
        </w:rPr>
        <w:instrText xml:space="preserve"> ADDIN ZOTERO_ITEM CSL_CITATION {"citationID":"7Vl60w0E","properties":{"formattedCitation":"\\super 68\\nosupersub{}","plainCitation":"68","noteIndex":0},"citationItems":[{"id":18902,"uris":["http://zotero.org/users/3444308/items/S82X5GDH"],"itemData":{"id":18902,"type":"article-journal","abstract":"The XV. Banff conference for allograft pathology was held in conjunction with the annual meeting of the American Society for Histocompatibility and Immunogenetics in Pittsburgh, PA (USA) and focused on refining recent updates to the classification, advances from the Banff working groups, and standardization of molecular diagnostics. This report on kidney transplant pathology details clarifications and refinements to the criteria for chronic active (CA) T cell-mediated rejection (TCMR), borderline, and antibody-mediated rejection (ABMR). The main focus of kidney sessions was on how to address biopsies meeting criteria for CA TCMR plus borderline or acute TCMR. Recent studies on the clinical impact of borderline infiltrates were also presented to clarify whether the threshold for interstitial inflammation in diagnosis of borderline should be i0 or i1. Sessions on ABMR focused on biopsies showing microvascular inflammation in the absence of C4d staining or detectable donor-specific antibodies; the potential value of molecular diagnostics in such cases and recommendations for use of the latter in the setting of solid organ transplantation are presented in the accompanying meeting report. Finally, several speakers discussed the capabilities of artificial intelligence and the potential for use of machine learning algorithms in diagnosis and personalized therapeutics in solid organ transplantation.","container-title":"American Journal of Transplantation: Official Journal of the American Society of Transplantation and the American Society of Transplant Surgeons","DOI":"10.1111/ajt.15898","ISSN":"1600-6143","issue":"9","journalAbbreviation":"Am J Transplant","language":"eng","note":"PMID: 32463180\nPMCID: PMC7496245","page":"2318-2331","source":"PubMed","title":"The Banff 2019 Kidney Meeting Report (I): Updates on and clarification of criteria for T cell- and antibody-mediated rejection","title-short":"The Banff 2019 Kidney Meeting Report (I)","volume":"20","author":[{"family":"Loupy","given":"Alexandre"},{"family":"Haas","given":"Mark"},{"family":"Roufosse","given":"Candice"},{"family":"Naesens","given":"Maarten"},{"family":"Adam","given":"Benjamin"},{"family":"Afrouzian","given":"Marjan"},{"family":"Akalin","given":"Enver"},{"family":"Alachkar","given":"Nada"},{"family":"Bagnasco","given":"Serena"},{"family":"Becker","given":"Jan U."},{"family":"Cornell","given":"Lynn D."},{"family":"Clahsen-van Groningen","given":"Marian C."},{"family":"Demetris","given":"Anthony J."},{"family":"Dragun","given":"Duska"},{"family":"Duong van Huyen","given":"Jean-Paul"},{"family":"Farris","given":"Alton B."},{"family":"Fogo","given":"Agnes B."},{"family":"Gibson","given":"Ian W."},{"family":"Glotz","given":"Denis"},{"family":"Gueguen","given":"Juliette"},{"family":"Kikic","given":"Zeljko"},{"family":"Kozakowski","given":"Nicolas"},{"family":"Kraus","given":"Edward"},{"family":"Lefaucheur","given":"Carmen"},{"family":"Liapis","given":"Helen"},{"family":"Mannon","given":"Roslyn B."},{"family":"Montgomery","given":"Robert A."},{"family":"Nankivell","given":"Brian J."},{"family":"Nickeleit","given":"Volker"},{"family":"Nickerson","given":"Peter"},{"family":"Rabant","given":"Marion"},{"family":"Racusen","given":"Lorraine"},{"family":"Randhawa","given":"Parmjeet"},{"family":"Robin","given":"Blaise"},{"family":"Rosales","given":"Ivy A."},{"family":"Sapir-Pichhadze","given":"Ruth"},{"family":"Schinstock","given":"Carrie A."},{"family":"Seron","given":"Daniel"},{"family":"Singh","given":"Harsharan K."},{"family":"Smith","given":"Rex N."},{"family":"Stegall","given":"Mark D."},{"family":"Zeevi","given":"Adriana"},{"family":"Solez","given":"Kim"},{"family":"Colvin","given":"Robert B."},{"family":"Mengel","given":"Michael"}],"issued":{"date-parts":[["2020",9]]}}}],"schema":"https://github.com/citation-style-language/schema/raw/master/csl-citation.json"}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68</w:t>
      </w:r>
      <w:r>
        <w:rPr>
          <w:rFonts w:cstheme="minorHAnsi"/>
        </w:rPr>
        <w:fldChar w:fldCharType="end"/>
      </w:r>
      <w:r w:rsidRPr="00C456B5">
        <w:rPr>
          <w:rFonts w:cstheme="minorHAnsi"/>
        </w:rPr>
        <w:t>. Protocol biopsy practice varies significantly between countries but also between centres in the same country</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{"citationID":"8ldJxhzr","properties":{"formattedCitation":"\\super 69\\nosupersub{}","plainCitation":"69","noteIndex":0},"citationItems":[{"id":19014,"uris":["http://zotero.org/users/3444308/items/LMWJE3Q6","http://zotero.org/users/3444308/items/2CTYTEAQ"],"itemData":{"id":19014,"type":"article-journal","abstract":"The KDIGO guideline for acute rejection treatment recommends use of corticosteroids and suggests using lymphocyte-depleting agents as second line treatment. Aim of the study was to determine the current practices of detection and treatment of TCMR of kidney allografts amongst European kidney transplant centres. An invitation was sent through ESOT/EKITA newsletters and through social media to transplant professionals in Europe for taking part in the survey. A total of 129 transplant professionals responded to the survey. There was equal representation of small and large sized transplant centres. The majority of centres treat borderline changes (BL) and TCMR (Grade IA-B, IIA-B) in indication biopsies and protocol biopsies with corticosteroids as first line treatment. Thymoglobulin is used mainly as second line treatment for TCMR Grade IA-B (80%) and TCMR IIA-B (85%). Treatment success is most often evaluated within one month of therapy. There were no differences observed between the large and small centres for the management of TCMR. This survey highlights the common practices and diversity in clinics for the management of TCMR in Europe. Testing new therapies for TCMR should be in comparison to the current standard of care in Europe. Better consensus on treatment success is crucial for robust study designs.","container-title":"Transplant International: Official Journal of the European Society for Organ Transplantation","DOI":"10.3389/ti.2024.12283","ISSN":"1432-2277","journalAbbreviation":"Transpl Int","language":"eng","note":"PMID: 38699173\nPMCID: PMC11063346","page":"12283","source":"PubMed","title":"European Survey on Clinical Practice of Detecting and Treating T-Cell Mediated Kidney Transplant Rejection","volume":"37","author":[{"family":"Koshy","given":"Priyanka"},{"family":"Furian","given":"Lucrezia"},{"family":"Nickerson","given":"Peter"},{"family":"Zaza","given":"Gianluigi"},{"family":"Haller","given":"Maria"},{"family":"Vries","given":"Aiko P. J.","non-dropping-particle":"de"},{"family":"Naesens","given":"Maarten"}],"issued":{"date-parts":[["2024"]]}}}],"schema":"https://github.com/citation-style-language/schema/raw/master/csl-citation.json"}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69</w:t>
      </w:r>
      <w:r>
        <w:rPr>
          <w:rFonts w:cstheme="minorHAnsi"/>
          <w:vertAlign w:val="superscript"/>
        </w:rPr>
        <w:fldChar w:fldCharType="end"/>
      </w:r>
      <w:r w:rsidRPr="00C456B5">
        <w:rPr>
          <w:rFonts w:cstheme="minorHAnsi"/>
        </w:rPr>
        <w:t>. There is randomised control trial evidence that there is no benefit from protocol biopsies performed within the first 6 months of transplantation in low risk patients on a standard immunosuppressive regimen</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{"citationID":"qum31vrd","properties":{"formattedCitation":"\\super 67\\nosupersub{}","plainCitation":"67","noteIndex":0},"citationItems":[{"id":18903,"uris":["http://zotero.org/users/3444308/items/GVIRWXWT"],"itemData":{"id":18903,"type":"article-journal","abstract":"We conducted a randomized, multicenter study to determine whether treatment of subclinical rejection with increased corticosteroids resulted in beneficial outcomes in renal transplant patients receiving tacrolimus (TAC), mycophenolate mofetil (MMF) and prednisone. One hundred and twenty-one patients were randomized to biopsies at 0,1,2,3 and 6 months (Biopsy arm), and 119 to biopsies at 0 and 6 months only (Control arm). The primary endpoint of the study was the prevalence of the sum of the interstitial and tubular scores (ci + ct)&gt; 2 (Banff) at 6 months. Secondary endpoints included clinical and subclinical rejection and renal function. At 6 months, 34.8% of the Biopsy and 20.5% of the Control arm patients had a ci + ct score &gt;or= 2 (p = 0.07). Between months 0 and 6, clinical rejection episodes were 12 in 10 Biopsy arm patients and 8 in 8 Control arm patients (p = 0.44). Overall prevalence of subclinical rejection in the Biopsy arm was 4.6%. Creatinine clearance at 6 months was 72.9 +/- 21.7 in the Biopsy and 68.90 mL/min +/- 18.35 mL/min in the Control arm patients (p = 0.18). In conclusion, we found no benefit to the procurement of early protocol biopsies in renal transplant patients receiving TAC, MMF and prednisone, at least in the short term. This is likely due to their low prevalence of subclinical rejection.","container-title":"American Journal of Transplantation: Official Journal of the American Society of Transplantation and the American Society of Transplant Surgeons","DOI":"10.1111/j.1600-6143.2007.01979.x","ISSN":"1600-6135","issue":"11","journalAbbreviation":"Am J Transplant","language":"eng","note":"PMID: 17908280","page":"2538-2545","source":"PubMed","title":"Lack of benefit of early protocol biopsies in renal transplant patients receiving TAC and MMF: a randomized study","title-short":"Lack of benefit of early protocol biopsies in renal transplant patients receiving TAC and MMF","volume":"7","author":[{"family":"Rush","given":"D."},{"family":"Arlen","given":"D."},{"family":"Boucher","given":"A."},{"family":"Busque","given":"S."},{"family":"Cockfield","given":"S. M."},{"family":"Girardin","given":"C."},{"family":"Knoll","given":"G."},{"family":"Lachance","given":"J.-G."},{"family":"Landsberg","given":"D."},{"family":"Shapiro","given":"J."},{"family":"Shoker","given":"A."},{"family":"Yilmaz","given":"S."}],"issued":{"date-parts":[["2007",11]]}}}],"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67</w:t>
      </w:r>
      <w:r>
        <w:rPr>
          <w:rFonts w:cstheme="minorHAnsi"/>
          <w:vertAlign w:val="superscript"/>
        </w:rPr>
        <w:fldChar w:fldCharType="end"/>
      </w:r>
      <w:r w:rsidRPr="00C456B5">
        <w:rPr>
          <w:rFonts w:cstheme="minorHAnsi"/>
          <w:noProof/>
          <w:vertAlign w:val="superscript"/>
        </w:rPr>
        <w:t xml:space="preserve"> </w:t>
      </w:r>
      <w:r w:rsidRPr="00C456B5">
        <w:rPr>
          <w:rFonts w:cstheme="minorHAnsi"/>
          <w:noProof/>
        </w:rPr>
        <w:t>and a recent large Nordic study demonstrated limited value for one-year protocol biopsies at detecting either sub-clinical or borderline TCMR in low risk patients</w:t>
      </w:r>
      <w:r>
        <w:rPr>
          <w:rFonts w:cstheme="minorHAnsi"/>
          <w:noProof/>
        </w:rPr>
        <w:t xml:space="preserve"> </w:t>
      </w:r>
      <w:r>
        <w:rPr>
          <w:rFonts w:cstheme="minorHAnsi"/>
          <w:noProof/>
        </w:rPr>
        <w:fldChar w:fldCharType="begin"/>
      </w:r>
      <w:r w:rsidR="006528EA">
        <w:rPr>
          <w:rFonts w:cstheme="minorHAnsi"/>
          <w:noProof/>
        </w:rPr>
        <w:instrText xml:space="preserve"> ADDIN ZOTERO_ITEM CSL_CITATION {"citationID":"bMhautzB","properties":{"formattedCitation":"\\super 70\\nosupersub{}","plainCitation":"70","noteIndex":0},"citationItems":[{"id":18901,"uris":["http://zotero.org/users/3444308/items/7GDR9QP4"],"itemData":{"id":18901,"type":"article-journal","abstract":"BACKGROUND: The clinical significance of kidney transplant protocol biopsies has been debated. We studied the frequency of borderline changes and T cell-mediated rejection (TCMR) in 1-y protocol biopsies in standard risk kidney transplant recipients.\nMETHODS: Consecutive non-HLA-sensitized recipients of kidney transplants between 2006 and 2017, who underwent a protocol biopsy at 1 y in 2 national transplant centers were studied retrospectively (N</w:instrText>
      </w:r>
      <w:r w:rsidR="006528EA">
        <w:rPr>
          <w:rFonts w:ascii="Arial" w:hAnsi="Arial" w:cs="Arial"/>
          <w:noProof/>
        </w:rPr>
        <w:instrText> </w:instrText>
      </w:r>
      <w:r w:rsidR="006528EA">
        <w:rPr>
          <w:rFonts w:cstheme="minorHAnsi"/>
          <w:noProof/>
        </w:rPr>
        <w:instrText>=</w:instrText>
      </w:r>
      <w:r w:rsidR="006528EA">
        <w:rPr>
          <w:rFonts w:ascii="Arial" w:hAnsi="Arial" w:cs="Arial"/>
          <w:noProof/>
        </w:rPr>
        <w:instrText> </w:instrText>
      </w:r>
      <w:r w:rsidR="006528EA">
        <w:rPr>
          <w:rFonts w:cstheme="minorHAnsi"/>
          <w:noProof/>
        </w:rPr>
        <w:instrText>1546). Donor-specific HLA antibodies (DSAs), graft function (plasma creatinine), and proteinuria were measured at the time of 1-y protocol biopsy. The occurrence of subclinical acute TCMR (i2t2v0 or higher) or borderline changes suspicious of TCMR (i1t1v0 or higher) in the protocol biopsy was studied, together with frequency of findings causing changes in the composite score iBox.\nRESULTS: Subclinical acute TCMR was detected in 30 of 1546 (1.9%) of the protocol biopsies, and borderline or TCMR in 179 of 1546 (12%). Among patients with no history of acute rejection, and no proteinuria or DSA, TCMR was detected in only 1 of 974 (0.1%) and borderline or TCMR in only 48 of 974 (4.9%) patients at 1 y. In the absence of proteinuria (&lt;30</w:instrText>
      </w:r>
      <w:r w:rsidR="006528EA">
        <w:rPr>
          <w:rFonts w:ascii="Arial" w:hAnsi="Arial" w:cs="Arial"/>
          <w:noProof/>
        </w:rPr>
        <w:instrText> </w:instrText>
      </w:r>
      <w:r w:rsidR="006528EA">
        <w:rPr>
          <w:rFonts w:cstheme="minorHAnsi"/>
          <w:noProof/>
        </w:rPr>
        <w:instrText xml:space="preserve">mg/g, or equivalent as measured with a negative dipstick proteinuria) or DSA, or history of acute rejection, only 50 of 974 (5.1%) biopsies showed any lesions significant for the iBox score.\nCONCLUSIONS: The likelihood of pathological findings in 1-y protocol biopsies in non-HLA-sensitized patients without previous immunological events is low. Clinical usefulness of protocol biopsies seems limited in these patients.","container-title":"Transplantation Direct","DOI":"10.1097/TXD.0000000000001621","ISSN":"2373-8731","issue":"5","journalAbbreviation":"Transplant Direct","language":"eng","note":"PMID: 38617466\nPMCID: PMC11013703","page":"e1621","source":"PubMed","title":"Very Low Frequency of Pathological Findings in One-year Protocol Biopsies of Uneventful Standard Risk Kidney Transplant Recipients: Results From the Nordic Protocol Biopsy Study","title-short":"Very Low Frequency of Pathological Findings in One-year Protocol Biopsies of Uneventful Standard Risk Kidney Transplant Recipients","volume":"10","author":[{"family":"Helanterä","given":"Ilkka"},{"family":"Dörje","given":"Christina"},{"family":"Ortiz","given":"Fernanda"},{"family":"Varberg Reisæter","given":"Anna"},{"family":"Hammarström","given":"Clara"},{"family":"Lauronen","given":"Jouni"},{"family":"Räisänen-Sokolowski","given":"Anne"},{"family":"Haugen","given":"Anders Johan"},{"family":"Lempinen","given":"Marko"},{"family":"Åsberg","given":"Anders"},{"family":"Mjøen","given":"Geir"}],"issued":{"date-parts":[["2024",5]]}}}],"schema":"https://github.com/citation-style-language/schema/raw/master/csl-citation.json"} </w:instrText>
      </w:r>
      <w:r>
        <w:rPr>
          <w:rFonts w:cstheme="minorHAnsi"/>
          <w:noProof/>
        </w:rPr>
        <w:fldChar w:fldCharType="separate"/>
      </w:r>
      <w:r w:rsidR="00A04B9C" w:rsidRPr="00A04B9C">
        <w:rPr>
          <w:rFonts w:ascii="Calibri" w:hAnsi="Calibri" w:cs="Calibri"/>
          <w:vertAlign w:val="superscript"/>
        </w:rPr>
        <w:t>70</w:t>
      </w:r>
      <w:r>
        <w:rPr>
          <w:rFonts w:cstheme="minorHAnsi"/>
          <w:noProof/>
        </w:rPr>
        <w:fldChar w:fldCharType="end"/>
      </w:r>
      <w:r w:rsidRPr="00C456B5">
        <w:rPr>
          <w:rFonts w:cstheme="minorHAnsi"/>
        </w:rPr>
        <w:t>. There are two clinical settings where protocol biopsy is of value. In delayed graft function (DGF) there is increased risk of graft failure; ‘silent’ acute rejection may account for a significant proportion of this increased risk</w:t>
      </w:r>
      <w:r>
        <w:rPr>
          <w:rFonts w:cstheme="minorHAnsi"/>
        </w:rPr>
        <w:t xml:space="preserve"> </w:t>
      </w:r>
      <w:r>
        <w:rPr>
          <w:rFonts w:cstheme="minorHAnsi"/>
        </w:rPr>
        <w:fldChar w:fldCharType="begin"/>
      </w:r>
      <w:r w:rsidR="006528EA">
        <w:rPr>
          <w:rFonts w:cstheme="minorHAnsi"/>
        </w:rPr>
        <w:instrText xml:space="preserve"> ADDIN ZOTERO_ITEM CSL_CITATION {"citationID":"3WwFLYnD","properties":{"formattedCitation":"\\super 71\\nosupersub{}","plainCitation":"71","noteIndex":0},"citationItems":[{"id":18900,"uris":["http://zotero.org/users/3444308/items/PCT3KCYQ"],"itemData":{"id":18900,"type":"article-journal","abstract":"BACKGROUND: The relationship between the effects of early, silent, acute rejection (AR) and delayed graft function (DGF) on kidney allograft survival remain controversial, and the role of protocol biopsies during DGF is unclear. We hypothesized that protocol biopsies during DGF would reveal a high incidence of silent AR that may adversely affect long-term allograft survival.\nMETHODS: We routinely carried out protocol biopsies in patients requiring dialysis 7 to 10 days posttransplant. We retrospectively examined the extent to which silent AR, diagnosed by protocol biopsies during prolonged DGF, may mediate the adverse effects of DGF on graft survival in 410 consecutive transplants using Cox proportional hazards analysis.\nRESULTS: By 40 days posttransplant, the cumulative incidence of AR was 57.2% among 65 patients who had a protocol biopsies during DGF, while it was only 15.1% among the 345 who did not need a protocol biopsy. Mild DGF (n=30) requiring one or two dialysis treatments had no effect on graft survival, but the unadjusted risk ratio (and 95% confidence interval) associated with more prolonged DGF (n=104) was 3.08 (2.09-4.52, P&lt;0.0001). The risk for graft failure from AR detected on protocol biopsy was 2.91 (1.60-5.27, P=0.0004) and was similar to the risk from early AR in patients without DGF, 2.95 (1.72-5.07, P&lt;0.0001). After taking the effects of AR into account, the risk of graft failure attributable to prolonged DGF was reduced to 1.76 (1.06-2.94, P=0.0294), suggesting that much of the risk of DGF was because of the risk of AR.\nCONCLUSIONS: Silent AR is common during DGF. Prolonged DGF is associated with reduced graft survival after kidney transplantation, and much of this association can be explained by silent AR. In the absence of data from randomized trials, protocol biopsies and treatment of silent AR during prolonged DGF appear to be warranted.","container-title":"Transplantation","DOI":"10.1097/00007890-200211270-00010","ISSN":"0041-1337","issue":"10","journalAbbreviation":"Transplantation","language":"eng","note":"PMID: 12451239","page":"1400-1404","source":"PubMed","title":"Silent acute rejection during prolonged delayed graft function reduces kidney allograft survival","volume":"74","author":[{"family":"Qureshi","given":"Fawad"},{"family":"Rabb","given":"Hamid"},{"family":"Kasiske","given":"Bertram L."}],"issued":{"date-parts":[["2002",11,27]]}}}],"schema":"https://github.com/citation-style-language/schema/raw/master/csl-citation.json"} </w:instrText>
      </w:r>
      <w:r>
        <w:rPr>
          <w:rFonts w:cstheme="minorHAnsi"/>
        </w:rPr>
        <w:fldChar w:fldCharType="separate"/>
      </w:r>
      <w:r w:rsidR="00A04B9C" w:rsidRPr="00A04B9C">
        <w:rPr>
          <w:rFonts w:ascii="Calibri" w:hAnsi="Calibri" w:cs="Calibri"/>
          <w:vertAlign w:val="superscript"/>
        </w:rPr>
        <w:t>71</w:t>
      </w:r>
      <w:r>
        <w:rPr>
          <w:rFonts w:cstheme="minorHAnsi"/>
        </w:rPr>
        <w:fldChar w:fldCharType="end"/>
      </w:r>
      <w:r w:rsidRPr="00C456B5">
        <w:rPr>
          <w:rFonts w:cstheme="minorHAnsi"/>
        </w:rPr>
        <w:t>. In a more specialised setting, in very high and high immunological risk patients, if SCAR is detected this should be treated as it may improve outcome</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{"citationID":"gHvLelt8","properties":{"formattedCitation":"\\super 72,73\\nosupersub{}","plainCitation":"72,73","noteIndex":0},"citationItems":[{"id":18898,"uris":["http://zotero.org/users/3444308/items/CRHYV6GD"],"itemData":{"id":18898,"type":"article-journal","abstract":"We reviewed 116 surveillance biopsies obtained approximately 1, 3, 6 and 12 months posttransplantation from 50 +XM live donor kidney transplant recipients to determine the frequency of subclinical cell-mediated rejection (CMR) and antibody-mediated rejection (AMR). Subclinical CMR was present in 39.7% of the biopsies at 1 month and &gt;20% at all other time points. The presence of diffuse C4d on biopsies obtained at each time interval ranged from 20 to 30%. In every case, where histological and immunohistological findings were diagnostic for AMR, donor-specific antibody was found in the blood, challenging the long-held belief that low-level antibody could evade detection due to absorption on the graft. Among clinical factors, only recipient age was associated with subclinical CMR. Clinical factors associated with subclinical AMR were recipient age, positive cytotoxic crossmatch prior to desensitization and two mismatches of HLA DR 51, 52 and 53 alleles. Surveillance biopsies during the first year post-transplantation for these high-risk patients uncover clinically occult processes and phenotypes, which without intervention diminish allograft survival and function.","container-title":"American Journal of Transplantation: Official Journal of the American Society of Transplantation and the American Society of Transplant Surgeons","DOI":"10.1111/j.1600-6143.2009.02701.x","ISSN":"1600-6143","issue":"8","journalAbbreviation":"Am J Transplant","language":"eng","note":"PMID: 19538492","page":"1826-1834","source":"PubMed","title":"Subclinical rejection in stable positive crossmatch kidney transplant patients: incidence and correlations","title-short":"Subclinical rejection in stable positive crossmatch kidney transplant patients","volume":"9","author":[{"family":"Kraus","given":"E. S."},{"family":"Parekh","given":"R. S."},{"family":"Oberai","given":"P."},{"family":"Lepley","given":"D."},{"family":"Segev","given":"D. L."},{"family":"Bagnasco","given":"S."},{"family":"Collins","given":"V."},{"family":"Leffell","given":"M."},{"family":"Lucas","given":"D."},{"family":"Rabb","given":"H."},{"family":"Racusen","given":"L. C."},{"family":"Singer","given":"A. L."},{"family":"Stewart","given":"Z. A."},{"family":"Warren","given":"D. S."},{"family":"Zachary","given":"A. A."},{"family":"Haas","given":"M."},{"family":"Montgomery","given":"R. A."}],"issued":{"date-parts":[["2009",8]]}}},{"id":18899,"uris":["http://zotero.org/users/3444308/items/QMI2MWD4"],"itemData":{"id":18899,"type":"article-journal","abstract":"BACKGROUND: The introduction of solid-phase immunoassay (SPI) technology for the detection and characterization of human leukocyte antigen (HLA) antibodies in transplantation while providing greater sensitivity than was obtainable by complement-dependent lymphocytotoxicity (CDC) assays has resulted in a new paradigm with respect to the interpretation of donor-specific antibodies (DSA). Although the SPI assay performed on the Luminex instrument (hereafter referred to as the Luminex assay), in particular, has permitted the detection of antibodies not detectable by CDC, the clinical significance of these antibodies is incompletely understood. Nevertheless, the detection of these antibodies has led to changes in the clinical management of sensitized patients. In addition, SPI testing raises technical issues that require resolution and careful consideration when interpreting antibody results.\nMETHODS: With this background, The Transplantation Society convened a group of laboratory and clinical experts in the field of transplantation to prepare a consensus report and make recommendations on the use of this new technology based on both published evidence and expert opinion. Three working groups were formed to address (a) the technical issues with respect to the use of this technology, (b) the interpretation of pretransplantation antibody testing in the context of various clinical settings and organ transplant types (kidney, heart, lung, liver, pancreas, intestinal, and islet cells), and (c) the application of antibody testing in the posttransplantation setting. The three groups were established in November 2011 and convened for a \"Consensus Conference on Antibodies in Transplantation\" in Rome, Italy, in May 2012. The deliberations of the three groups meeting independently and then together are the bases for this report.\nRESULTS: A comprehensive list of recommendations was prepared by each group. A summary of the key recommendations follows. Technical Group: (a) SPI must be used for the detection of pretransplantation HLA antibodies in solid organ transplant recipients and, in particular, the use of the single-antigen bead assay to detect antibodies to HLA loci, such as Cw, DQA, DPA, and DPB, which are not readily detected by other methods. (b) The use of SPI for antibody detection should be supplemented with cell-based assays to examine the correlations between the two types of assays and to establish the likelihood of a positive crossmatch (XM). (c) There must be an awareness of the technical factors that can influence the results and their clinical interpretation when using the Luminex bead technology, such as variation in antigen density and the presence of denatured antigen on the beads. Pretransplantation Group: (a) Risk categories should be established based on the antibody and the XM results obtained. (b) DSA detected by CDC and a positive XM should be avoided due to their strong association with antibody-mediated rejection and graft loss. (c) A renal transplantation can be performed in the absence of a prospective XM if single-antigen bead screening for antibodies to all class I and II HLA loci is negative. This decision, however, needs to be taken in agreement with local clinical programs and the relevant regulatory bodies. (d) The presence of DSA HLA antibodies should be avoided in heart and lung transplantation and considered a risk factor for liver, intestinal, and islet cell transplantation. Posttransplantation Group: (a) High-risk patients (i.e., desensitized or DSA positive/XM negative) should be monitored by measurement of DSA and protocol biopsies in the first 3 months after transplantation. (b) Intermediate-risk patients (history of DSA but currently negative) should be monitored for DSA within the first month. If DSA is present, a biopsy should be performed. (c) Low-risk patients (nonsensitized first transplantation) should be screened for DSA at least once 3 to 12 months after transplantation. If DSA is detected, a biopsy should be performed. In all three categories, the recommendations for subsequent treatment are based on the biopsy results.\nCONCLUSIONS: A comprehensive list of recommendations is provided covering the technical and pretransplantation and posttransplantation monitoring of HLA antibodies in solid organ transplantation. The recommendations are intended to provide state-of-the-art guidance in the use and clinical application of recently developed methods for HLA antibody detection when used in conjunction with traditional methods.","container-title":"Transplantation","DOI":"10.1097/TP.0b013e31827a19cc","ISSN":"1534-6080","issue":"1","journalAbbreviation":"Transplantation","language":"eng","note":"PMID: 23238534","page":"19-47","source":"PubMed","title":"Consensus guidelines on the testing and clinical management issues associated with HLA and non-HLA antibodies in transplantation","volume":"95","author":[{"family":"Tait","given":"Brian D."},{"family":"Süsal","given":"Caner"},{"family":"Gebel","given":"Howard M."},{"family":"Nickerson","given":"Peter W."},{"family":"Zachary","given":"Andrea A."},{"family":"Claas","given":"Frans H. J."},{"family":"Reed","given":"Elaine F."},{"family":"Bray","given":"Robert A."},{"family":"Campbell","given":"Patricia"},{"family":"Chapman","given":"Jeremy R."},{"family":"Coates","given":"P. Toby"},{"family":"Colvin","given":"Robert B."},{"family":"Cozzi","given":"Emanuele"},{"family":"Doxiadis","given":"Ilias I. N."},{"family":"Fuggle","given":"Susan V."},{"family":"Gill","given":"John"},{"family":"Glotz","given":"Denis"},{"family":"Lachmann","given":"Nils"},{"family":"Mohanakumar","given":"Thalachallour"},{"family":"Suciu-Foca","given":"Nicole"},{"family":"Sumitran-Holgersson","given":"Suchitra"},{"family":"Tanabe","given":"Kazunari"},{"family":"Taylor","given":"Craig J."},{"family":"Tyan","given":"Dolly B."},{"family":"Webster","given":"Angela"},{"family":"Zeevi","given":"Adriana"},{"family":"Opelz","given":"Gerhard"}],"issued":{"date-parts":[["2013",1,15]]}}}],"schema":"https://github.com/citation-style-language/schema/raw/master/csl-citation.json"}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72,73</w:t>
      </w:r>
      <w:r>
        <w:rPr>
          <w:rFonts w:cstheme="minorHAnsi"/>
          <w:vertAlign w:val="superscript"/>
        </w:rPr>
        <w:fldChar w:fldCharType="end"/>
      </w:r>
      <w:r w:rsidRPr="00C456B5">
        <w:rPr>
          <w:rFonts w:cstheme="minorHAnsi"/>
        </w:rPr>
        <w:t xml:space="preserve">. The optimal timing and frequency of protocol biopsy is not </w:t>
      </w:r>
      <w:proofErr w:type="gramStart"/>
      <w:r w:rsidRPr="00C456B5">
        <w:rPr>
          <w:rFonts w:cstheme="minorHAnsi"/>
        </w:rPr>
        <w:t>clear</w:t>
      </w:r>
      <w:proofErr w:type="gramEnd"/>
      <w:r w:rsidRPr="00C456B5">
        <w:rPr>
          <w:rFonts w:cstheme="minorHAnsi"/>
        </w:rPr>
        <w:t xml:space="preserve"> but we suggest that it be considered in the clinical settings outlined above at days 7-10 for DGF. In </w:t>
      </w:r>
      <w:proofErr w:type="gramStart"/>
      <w:r w:rsidRPr="00C456B5">
        <w:rPr>
          <w:rFonts w:cstheme="minorHAnsi"/>
        </w:rPr>
        <w:t>high risk</w:t>
      </w:r>
      <w:proofErr w:type="gramEnd"/>
      <w:r w:rsidRPr="00C456B5">
        <w:rPr>
          <w:rFonts w:cstheme="minorHAnsi"/>
        </w:rPr>
        <w:t xml:space="preserve"> transplants, protocol biopsy will typically be at 3 months.</w:t>
      </w:r>
    </w:p>
    <w:p w14:paraId="37DE987E" w14:textId="7464F6F0" w:rsidR="00076320" w:rsidRPr="00C456B5" w:rsidRDefault="00076320" w:rsidP="00076320">
      <w:pPr>
        <w:spacing w:line="240" w:lineRule="auto"/>
        <w:jc w:val="both"/>
        <w:rPr>
          <w:rFonts w:cstheme="minorHAnsi"/>
        </w:rPr>
      </w:pPr>
      <w:r w:rsidRPr="00C456B5">
        <w:rPr>
          <w:rFonts w:cstheme="minorHAnsi"/>
        </w:rPr>
        <w:t>It is recommended to stain all biopsies for C4d and to send a serum sample for detection of human leukocyte antigen (HLA) specific antibodies to facilitate diagnosis of acute antibody mediated rejection in line with joint BSHI/BTS guidelines and those of The Transplantation Society</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{"citationID":"VLp0eD7N","properties":{"formattedCitation":"\\super 73\\nosupersub{}","plainCitation":"73","noteIndex":0},"citationItems":[{"id":18899,"uris":["http://zotero.org/users/3444308/items/QMI2MWD4"],"itemData":{"id":18899,"type":"article-journal","abstract":"BACKGROUND: The introduction of solid-phase immunoassay (SPI) technology for the detection and characterization of human leukocyte antigen (HLA) antibodies in transplantation while providing greater sensitivity than was obtainable by complement-dependent lymphocytotoxicity (CDC) assays has resulted in a new paradigm with respect to the interpretation of donor-specific antibodies (DSA). Although the SPI assay performed on the Luminex instrument (hereafter referred to as the Luminex assay), in particular, has permitted the detection of antibodies not detectable by CDC, the clinical significance of these antibodies is incompletely understood. Nevertheless, the detection of these antibodies has led to changes in the clinical management of sensitized patients. In addition, SPI testing raises technical issues that require resolution and careful consideration when interpreting antibody results.\nMETHODS: With this background, The Transplantation Society convened a group of laboratory and clinical experts in the field of transplantation to prepare a consensus report and make recommendations on the use of this new technology based on both published evidence and expert opinion. Three working groups were formed to address (a) the technical issues with respect to the use of this technology, (b) the interpretation of pretransplantation antibody testing in the context of various clinical settings and organ transplant types (kidney, heart, lung, liver, pancreas, intestinal, and islet cells), and (c) the application of antibody testing in the posttransplantation setting. The three groups were established in November 2011 and convened for a \"Consensus Conference on Antibodies in Transplantation\" in Rome, Italy, in May 2012. The deliberations of the three groups meeting independently and then together are the bases for this report.\nRESULTS: A comprehensive list of recommendations was prepared by each group. A summary of the key recommendations follows. Technical Group: (a) SPI must be used for the detection of pretransplantation HLA antibodies in solid organ transplant recipients and, in particular, the use of the single-antigen bead assay to detect antibodies to HLA loci, such as Cw, DQA, DPA, and DPB, which are not readily detected by other methods. (b) The use of SPI for antibody detection should be supplemented with cell-based assays to examine the correlations between the two types of assays and to establish the likelihood of a positive crossmatch (XM). (c) There must be an awareness of the technical factors that can influence the results and their clinical interpretation when using the Luminex bead technology, such as variation in antigen density and the presence of denatured antigen on the beads. Pretransplantation Group: (a) Risk categories should be established based on the antibody and the XM results obtained. (b) DSA detected by CDC and a positive XM should be avoided due to their strong association with antibody-mediated rejection and graft loss. (c) A renal transplantation can be performed in the absence of a prospective XM if single-antigen bead screening for antibodies to all class I and II HLA loci is negative. This decision, however, needs to be taken in agreement with local clinical programs and the relevant regulatory bodies. (d) The presence of DSA HLA antibodies should be avoided in heart and lung transplantation and considered a risk factor for liver, intestinal, and islet cell transplantation. Posttransplantation Group: (a) High-risk patients (i.e., desensitized or DSA positive/XM negative) should be monitored by measurement of DSA and protocol biopsies in the first 3 months after transplantation. (b) Intermediate-risk patients (history of DSA but currently negative) should be monitored for DSA within the first month. If DSA is present, a biopsy should be performed. (c) Low-risk patients (nonsensitized first transplantation) should be screened for DSA at least once 3 to 12 months after transplantation. If DSA is detected, a biopsy should be performed. In all three categories, the recommendations for subsequent treatment are based on the biopsy results.\nCONCLUSIONS: A comprehensive list of recommendations is provided covering the technical and pretransplantation and posttransplantation monitoring of HLA antibodies in solid organ transplantation. The recommendations are intended to provide state-of-the-art guidance in the use and clinical application of recently developed methods for HLA antibody detection when used in conjunction with traditional methods.","container-title":"Transplantation","DOI":"10.1097/TP.0b013e31827a19cc","ISSN":"1534-6080","issue":"1","journalAbbreviation":"Transplantation","language":"eng","note":"PMID: 23238534","page":"19-47","source":"PubMed","title":"Consensus guidelines on the testing and clinical management issues associated with HLA and non-HLA antibodies in transplantation","volume":"95","author":[{"family":"Tait","given":"Brian D."},{"family":"Süsal","given":"Caner"},{"family":"Gebel","given":"Howard M."},{"family":"Nickerson","given":"Peter W."},{"family":"Zachary","given":"Andrea A."},{"family":"Claas","given":"Frans H. J."},{"family":"Reed","given":"Elaine F."},{"family":"Bray","given":"Robert A."},{"family":"Campbell","given":"Patricia"},{"family":"Chapman","given":"Jeremy R."},{"family":"Coates","given":"P. Toby"},{"family":"Colvin","given":"Robert B."},{"family":"Cozzi","given":"Emanuele"},{"family":"Doxiadis","given":"Ilias I. N."},{"family":"Fuggle","given":"Susan V."},{"family":"Gill","given":"John"},{"family":"Glotz","given":"Denis"},{"family":"Lachmann","given":"Nils"},{"family":"Mohanakumar","given":"Thalachallour"},{"family":"Suciu-Foca","given":"Nicole"},{"family":"Sumitran-Holgersson","given":"Suchitra"},{"family":"Tanabe","given":"Kazunari"},{"family":"Taylor","given":"Craig J."},{"family":"Tyan","given":"Dolly B."},{"family":"Webster","given":"Angela"},{"family":"Zeevi","given":"Adriana"},{"family":"Opelz","given":"Gerhard"}],"issued":{"date-parts":[["2013",1,15]]}}}],"schema":"https://github.com/citation-style-language/schema/raw/master/csl-citation.json"}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73</w:t>
      </w:r>
      <w:r>
        <w:rPr>
          <w:rFonts w:cstheme="minorHAnsi"/>
          <w:vertAlign w:val="superscript"/>
        </w:rPr>
        <w:fldChar w:fldCharType="end"/>
      </w:r>
      <w:r w:rsidRPr="00C456B5">
        <w:rPr>
          <w:rFonts w:cstheme="minorHAnsi"/>
        </w:rPr>
        <w:t xml:space="preserve">. Immunohistopathologic evidence of recent interaction of antibody with the vascular endothelium is necessary for the diagnosis and this may include, but is not limited, to C4d positivity. The Banff criteria were revised in 2022 to acknowledge the occurrence of “probable” </w:t>
      </w:r>
      <w:r w:rsidRPr="00C456B5">
        <w:rPr>
          <w:rFonts w:cstheme="minorHAnsi"/>
        </w:rPr>
        <w:lastRenderedPageBreak/>
        <w:t>antibody mediated rejection in the absence of detectable C4d staining but in conjunction with detectable donor-specific antibodies and micro-vascular inflammation below the MVI threshold</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{"citationID":"73yfa4CY","properties":{"formattedCitation":"\\super 74\\nosupersub{}","plainCitation":"74","noteIndex":0},"citationItems":[{"id":18897,"uris":["http://zotero.org/users/3444308/items/PMYZF6X8"],"itemData":{"id":18897,"type":"article-journal","abstract":"The XVI-th Banff Meeting for Allograft Pathology was held at Banff, Alberta, Canada, from 19th to 23rd September 2022, as a joint meeting with the Canadian Society of Transplantation. To mark the 30th anniversary of the first Banff Classification, premeeting discussions were held on the past, present, and future of the Banff Classification. This report is a summary of the meeting highlights that were most important in terms of their effect on the Classification, including discussions around microvascular inflammation and biopsy-based transcript analysis for diagnosis. In a postmeeting survey, agreement was reached on the delineation of the following phenotypes: (1) \"Probable antibody-mediated rejection (AMR),\" which represents donor-specific antibodies (DSA)-positive cases with some histologic features of AMR but below current thresholds for a definitive AMR diagnosis; and (2) \"Microvascular inflammation, DSA-negative and C4d-negative,\" a phenotype of unclear cause requiring further study, which represents cases with microvascular inflammation not explained by DSA. Although biopsy-based transcript diagnostics are considered promising and remain an integral part of the Banff Classification (limited to diagnosis of AMR), further work needs to be done to agree on the exact classifiers, thresholds, and clinical context of use.","container-title":"American Journal of Transplantation: Official Journal of the American Society of Transplantation and the American Society of Transplant Surgeons","DOI":"10.1016/j.ajt.2023.10.016","ISSN":"1600-6143","issue":"3","journalAbbreviation":"Am J Transplant","language":"eng","note":"PMID: 38032300","page":"338-349","source":"PubMed","title":"The Banff 2022 Kidney Meeting Report: Reappraisal of microvascular inflammation and the role of biopsy-based transcript diagnostics","title-short":"The Banff 2022 Kidney Meeting Report","volume":"24","author":[{"family":"Naesens","given":"Maarten"},{"family":"Roufosse","given":"Candice"},{"family":"Haas","given":"Mark"},{"family":"Lefaucheur","given":"Carmen"},{"family":"Mannon","given":"Roslyn B."},{"family":"Adam","given":"Benjamin A."},{"family":"Aubert","given":"Olivier"},{"family":"Böhmig","given":"Georg A."},{"family":"Callemeyn","given":"Jasper"},{"family":"Clahsen-van Groningen","given":"Marian"},{"family":"Cornell","given":"Lynn D."},{"family":"Demetris","given":"Anthony J."},{"family":"Drachenberg","given":"Cinthia B."},{"family":"Einecke","given":"Gunilla"},{"family":"Fogo","given":"Agnes B."},{"family":"Gibson","given":"Ian W."},{"family":"Halloran","given":"Philip"},{"family":"Hidalgo","given":"Luis G."},{"family":"Horsfield","given":"Catherine"},{"family":"Huang","given":"Edmund"},{"family":"Kikić","given":"Željko"},{"family":"Kozakowski","given":"Nicolas"},{"family":"Nankivell","given":"Brian"},{"family":"Rabant","given":"Marion"},{"family":"Randhawa","given":"Parmjeet"},{"family":"Riella","given":"Leonardo V."},{"family":"Sapir-Pichhadze","given":"Ruth"},{"family":"Schinstock","given":"Carrie"},{"family":"Solez","given":"Kim"},{"family":"Tambur","given":"Anat R."},{"family":"Thaunat","given":"Olivier"},{"family":"Wiebe","given":"Chris"},{"family":"Zielinski","given":"Dina"},{"family":"Colvin","given":"Robert"},{"family":"Loupy","given":"Alexandre"},{"family":"Mengel","given":"Michael"}],"issued":{"date-parts":[["2024",3]]}}}],"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74</w:t>
      </w:r>
      <w:r>
        <w:rPr>
          <w:rFonts w:cstheme="minorHAnsi"/>
          <w:vertAlign w:val="superscript"/>
        </w:rPr>
        <w:fldChar w:fldCharType="end"/>
      </w:r>
      <w:r>
        <w:rPr>
          <w:rFonts w:cstheme="minorHAnsi"/>
          <w:vertAlign w:val="superscript"/>
        </w:rPr>
        <w:t xml:space="preserve"> </w:t>
      </w:r>
      <w:r>
        <w:rPr>
          <w:rFonts w:cstheme="minorHAnsi"/>
        </w:rPr>
        <w:t>.C</w:t>
      </w:r>
      <w:r w:rsidRPr="00C456B5">
        <w:rPr>
          <w:rFonts w:cstheme="minorHAnsi"/>
        </w:rPr>
        <w:t xml:space="preserve">onversely, diffuse C4d staining may occur in the absence of morphological evidence of active rejection or graft dysfunction, primarily in ABO incompatible transplantation. </w:t>
      </w:r>
    </w:p>
    <w:p w14:paraId="718CECCB" w14:textId="2D83E657" w:rsidR="00076320" w:rsidRPr="00C456B5" w:rsidRDefault="00076320" w:rsidP="00076320">
      <w:pPr>
        <w:spacing w:line="240" w:lineRule="auto"/>
        <w:jc w:val="both"/>
        <w:rPr>
          <w:rFonts w:cstheme="minorHAnsi"/>
        </w:rPr>
      </w:pPr>
      <w:r w:rsidRPr="00C456B5">
        <w:rPr>
          <w:rFonts w:cstheme="minorHAnsi"/>
        </w:rPr>
        <w:t>There is ongoing work with the Banff Molecular Diagnostics Working Group, amongst others, exploring the use of innovative non-invasive biomarkers of rejection that may in time allow integration of different methods into the diagnosis of rejection</w:t>
      </w:r>
      <w:r>
        <w:rPr>
          <w:rFonts w:cstheme="minorHAnsi"/>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{"citationID":"UN140ZT1","properties":{"formattedCitation":"\\super 75\\uc0\\u8211{}79\\nosupersub{}","plainCitation":"75–79","noteIndex":0},"citationItems":[{"id":9562,"uris":["http://zotero.org/users/3444308/items/M779PMH3","http://zotero.org/users/3444308/items/WXVSTIQR"],"itemData":{"id":9562,"type":"article-journal","abstract":"PURPOSE OF REVIEW: The last year has seen considerable progress in translational research exploring the clinical utility of biopsy-based transcriptomics of kidney transplant biopsies to enhance the diagnosis of rejection. This review will summarize recent findings with a focus on different platforms, potential clinical applications, and barriers to clinical adoption.\nRECENT FINDINGS: Recent literature has focussed on using biopsy-based transcriptomics to improve diagnosis of rejection, in particular antibody-mediated rejection. Different techniques of gene expression analysis (reverse transcriptase quantitative PCR, microarrays, probe-based techniques) have been used either on separate samples with ideally preserved RNA, or on left over tissue from routine biopsy processing. Despite remarkable consistency in overall patterns of gene expression, there is no consensus on acceptable indications, or whether biopsy-based transcriptomics adds significant value at reasonable cost to current diagnostic practice.\nSUMMARY: Access to biopsy-based transcriptomics will widen as regulatory approvals for platforms and gene expression models develop. Clinicians need more evidence and guidance to inform decisions on how to use precious biopsy samples for biopsy-based transcriptomics, and how to integrate results with standard histology-based diagnosis.","container-title":"Current Opinion in Nephrology and Hypertension","DOI":"10.1097/MNH.0000000000000974","ISSN":"1473-6543","issue":"3","journalAbbreviation":"Curr Opin Nephrol Hypertens","language":"eng","note":"PMID: 38411022\nPMCID: PMC10990030","page":"273-282","source":"PubMed","title":"Biopsy-based transcriptomics in the diagnosis of kidney transplant rejection","volume":"33","author":[{"family":"Nattes","given":"Tristan","non-dropping-particle":"de"},{"family":"Beadle","given":"Jack"},{"family":"Roufosse","given":"Candice"}],"issued":{"date-parts":[["2024",5,1]]}}},{"id":18896,"uris":["http://zotero.org/users/3444308/items/I2IV2UK4"],"itemData":{"id":18896,"type":"article-journal","abstract":"This meeting report from the XV Banff conference describes the creation of a multiorgan transplant gene panel by the Banff Molecular Diagnostics Working Group (MDWG). This Banff Human Organ Transplant (B-HOT) panel is the culmination of previous work by the MDWG to identify a broadly useful gene panel based on whole transcriptome technology. A data-driven process distilled a gene list from peer-reviewed comprehensive microarray studies that discovered and validated their use in kidney, liver, heart, and lung transplant biopsies. These were supplemented by genes that define relevant cellular pathways and cell types plus 12 reference genes used for normalization. The 770 gene B-HOT panel includes the most pertinent genes related to rejection, tolerance, viral infections, and innate and adaptive immune responses. This commercially available panel uses the NanoString platform, which can quantitate transcripts from formalin-fixed paraffin-embedded samples. The B-HOT panel will facilitate multicenter collaborative clinical research using archival samples and permit the development of an open source large database of standardized analyses, thereby expediting clinical validation studies. The MDWG believes that a pathogenesis and pathway based molecular approach will be valuable for investigators and promote therapeutic decision-making and clinical trials.","container-title":"American Journal of Transplantation: Official Journal of the American Society of Transplantation and the American Society of Transplant Surgeons","DOI":"10.1111/ajt.16059","ISSN":"1600-6143","issue":"9","journalAbbreviation":"Am J Transplant","language":"eng","note":"PMID: 32428337\nPMCID: PMC7496585","page":"2305-2317","source":"PubMed","title":"Banff 2019 Meeting Report: Molecular diagnostics in solid organ transplantation-Consensus for the Banff Human Organ Transplant (B-HOT) gene panel and open source multicenter validation","title-short":"Banff 2019 Meeting Report","volume":"20","author":[{"family":"Mengel","given":"Michael"},{"family":"Loupy","given":"Alexandre"},{"family":"Haas","given":"Mark"},{"family":"Roufosse","given":"Candice"},{"family":"Naesens","given":"Maarten"},{"family":"Akalin","given":"Enver"},{"family":"Clahsen-van Groningen","given":"Marian C."},{"family":"Dagobert","given":"Jessy"},{"family":"Demetris","given":"Anthony J."},{"family":"Duong van Huyen","given":"Jean-Paul"},{"family":"Gueguen","given":"Juliette"},{"family":"Issa","given":"Fadi"},{"family":"Robin","given":"Blaise"},{"family":"Rosales","given":"Ivy"},{"family":"Von der Thüsen","given":"Jan H."},{"family":"Sanchez-Fueyo","given":"Alberto"},{"family":"Smith","given":"Rex N."},{"family":"Wood","given":"Kathryn"},{"family":"Adam","given":"Benjamin"},{"family":"Colvin","given":"Robert B."}],"issued":{"date-parts":[["2020",9]]}}},{"id":18893,"uris":["http://zotero.org/users/3444308/items/NUJ9QAB9"],"itemData":{"id":18893,"type":"article-journal","abstract":"In kidney transplantation, the use of minimally invasive damage biomarkers that are more sensitive and specific than plasma creatinine will be crucial to enable early, actionable detection or exclusion of structural kidney damage due to acute or chronic rejection. Donor-derived cell-free DNA (dd-cfDNA), which can be quantified, for example, through next-generation sequencing, droplet digital PCR and quantitative PCR, is a candidate biomarker with great potential for enabling comprehensive monitoring of allograft injury. dd-cfDNA has a favourable overall diagnostic performance for the detection of rejection and its high negative predictive value might be especially useful for avoiding unnecessary biopsies. Elevated dd-cfDNA levels have been shown to be detectable before graft injury can be clinically identified using current diagnostic methods. Moreover, dd-cfDNA falls rapidly to baseline levels after successful treatment for rejection owing to its short half-life. dd-cfDNA can detect graft injury caused by immune activation owing to insufficient immunosuppression and might therefore also help guide immunosuppression dosing. The fractional abundance of dd-cfDNA can be affected by changes in the recipient cfDNA (for example, due to infection or physical exercise) but the use of absolute quantification of dd-cfDNA overcomes this limitation. Serial dd-cfDNA determinations might therefore facilitate cost-effective personalized clinical management of kidney transplant recipients to reduce premature graft loss.","container-title":"Nature Reviews. Nephrology","DOI":"10.1038/s41581-021-00428-0","ISSN":"1759-507X","issue":"9","journalAbbreviation":"Nat Rev Nephrol","language":"eng","note":"PMID: 34031575","page":"591-603","source":"PubMed","title":"Liquid biopsies: donor-derived cell-free DNA for the detection of kidney allograft injury","title-short":"Liquid biopsies","volume":"17","author":[{"family":"Oellerich","given":"Michael"},{"family":"Sherwood","given":"Karen"},{"family":"Keown","given":"Paul"},{"family":"Schütz","given":"Ekkehard"},{"family":"Beck","given":"Julia"},{"family":"Stegbauer","given":"Johannes"},{"family":"Rump","given":"Lars Christian"},{"family":"Walson","given":"Philip D."}],"issued":{"date-parts":[["2021",9]]}}},{"id":18895,"uris":["http://zotero.org/users/3444308/items/32E29Z8V"],"itemData":{"id":18895,"type":"article-journal","abstract":"BACKGROUND: RNA gene expression of renal transplantation biopsies is commonly used to identify the immunological patterns of graft rejection. Mostly done with microarrays, seminal findings defined the patterns of gene sets associated with rejection and non-rejection kidney allograft diagnoses. To make gene expression more accessible, the Molecular Diagnostics Working Group of the Banff Foundation for Allograft Pathology and NanoString Technologies partnered to create the Banff Human Organ Transplant Panel (BHOT), a gene panel set of 770 genes as a surrogate for microarrays (~</w:instrText>
      </w:r>
      <w:r w:rsidR="006528EA">
        <w:rPr>
          <w:rFonts w:ascii="Arial" w:hAnsi="Arial" w:cs="Arial"/>
          <w:vertAlign w:val="superscript"/>
        </w:rPr>
        <w:instrText> </w:instrText>
      </w:r>
      <w:r w:rsidR="006528EA">
        <w:rPr>
          <w:rFonts w:cstheme="minorHAnsi"/>
          <w:vertAlign w:val="superscript"/>
        </w:rPr>
        <w:instrText xml:space="preserve">50,000 genes). The advantage of this platform is that gene expressions are quantifiable on formalin fixed and paraffin embedded archival tissue samples, making gene expression analyses more accessible. The purpose of this report is to test in silico the utility of the BHOT panel as a surrogate for microarrays on archival microarray data and test the performance of the modelled BHOT data.\nMETHODS: BHOT genes as a subset of genes from downloaded archival public microarray data on human renal allograft gene expression were analyzed and modelled by a variety of statistical methods.\nRESULTS: Three methods of parsing genes verify that the BHOT panel readily identifies renal rejection and non-rejection diagnoses using in silico statistical analyses of seminal archival databases. Multiple modelling algorithms show a highly variable pattern of misclassifications per sample, either between differently constructed principal components or between modelling algorithms. The misclassifications are related to the gene expression heterogeneity within a given diagnosis because clustering the data into 9 groups modelled with fewer misclassifications.\nCONCLUSION: This report supports using the Banff Human Organ Transplant Panel for gene expression of human renal allografts as a surrogate for microarrays on archival tissue. The data modelled satisfactorily with aggregate diagnoses although with limited per sample accuracy and, thereby, reflects and confirms the modelling complexity and the challenges of modelling gene expression as previously reported.","container-title":"BMC medical genomics","DOI":"10.1186/s12920-021-00891-5","ISSN":"1755-8794","issue":"1","journalAbbreviation":"BMC Med Genomics","language":"eng","note":"PMID: 33740956\nPMCID: PMC7977303","page":"86","source":"PubMed","title":"In-silico performance, validation, and modeling of the Nanostring Banff Human Organ transplant gene panel using archival data from human kidney transplants","volume":"14","author":[{"family":"Smith","given":"R. N."}],"issued":{"date-parts":[["2021",3,19]]}}},{"id":18894,"uris":["http://zotero.org/users/3444308/items/II4E97DH"],"itemData":{"id":18894,"type":"article-journal","abstract":"BACKGROUND: Microarray transcript analysis of human renal transplantation biopsies has successfully identified the many patterns of graft rejection. To evaluate an alternative, this report tests whether gene expression from the Banff Human Organ Transplant (B-HOT) probe set panel, derived from validated microarrays, can identify the relevant allograft diagnoses directly from archival human renal transplant formalin-fixed paraffin-embedded biopsies. To test this hypothesis, principal components (PCs) of gene expressions were used to identify allograft diagnoses, to classify diagnoses, and to determine whether the PC data were rich enough to identify diagnostic subtypes by clustering, which are all needed if the B-HOT panel can substitute for microarrays.\nMETHODS: RNA was isolated from routine, archival formalin-fixed paraffin-embedded tissue renal biopsy cores with both rejection and nonrejection diagnoses. The B-HOT panel expression of 770 genes was analyzed by PCs, which were then tested to determine their ability to identify diagnoses.\nRESULTS: PCs of microarray gene sets identified the Banff categories of renal allograft diagnoses, modeled well the aggregate diagnoses, showing a similar correspondence with the pathologic diagnoses as microarrays. Clustering of the PCs identified diagnostic subtypes including non-chronic antibody-mediated rejection with high endothelial expression. PCs of cell types and pathways identified new mechanistic patterns including differential expression of B and plasma cells.\nCONCLUSIONS: Using PCs of gene expression from the B-Hot panel confirms the utility of the B-HOT panel to identify allograft diagnoses and is similar to microarrays. The B-HOT panel will accelerate and expand transcript analysis and will be useful for longitudinal and outcome studies.","container-title":"Transplantation","DOI":"10.1097/TP.0000000000004389","ISSN":"1534-6080","issue":"5","journalAbbreviation":"Transplantation","language":"eng","note":"PMID: 36525551\nPMCID: PMC10132999","page":"1188-1199","source":"PubMed","title":"Utility of Banff Human Organ Transplant Gene Panel in Human Kidney Transplant Biopsies","volume":"107","author":[{"family":"Smith","given":"Rex N."},{"family":"Rosales","given":"Ivy A."},{"family":"Tomaszewski","given":"Kristen T."},{"family":"Mahowald","given":"Grace T."},{"family":"Araujo-Medina","given":"Milagros"},{"family":"Acheampong","given":"Ellen"},{"family":"Bruce","given":"Amy"},{"family":"Rios","given":"Andrea"},{"family":"Otsuka","given":"Takuya"},{"family":"Tsuji","given":"Takahiro"},{"family":"Hotta","given":"Kiyohiko"},{"family":"Colvin","given":"Robert"}],"issued":{"date-parts":[["2023",5,1]]}}}],"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75–79</w:t>
      </w:r>
      <w:r>
        <w:rPr>
          <w:rFonts w:cstheme="minorHAnsi"/>
          <w:vertAlign w:val="superscript"/>
        </w:rPr>
        <w:fldChar w:fldCharType="end"/>
      </w:r>
      <w:r>
        <w:rPr>
          <w:rFonts w:cstheme="minorHAnsi"/>
        </w:rPr>
        <w:t xml:space="preserve">. </w:t>
      </w:r>
      <w:r w:rsidRPr="00C456B5">
        <w:rPr>
          <w:rFonts w:cstheme="minorHAnsi"/>
        </w:rPr>
        <w:t>This updated guideline however does not make any recommendations on the use of novel techniques for diagnosing rejection due to the lack of widespread availability outside of clinical trials/research</w:t>
      </w:r>
      <w:r>
        <w:rPr>
          <w:rFonts w:cstheme="minorHAnsi"/>
          <w:vertAlign w:val="superscript"/>
        </w:rPr>
        <w:t xml:space="preserve"> </w:t>
      </w:r>
      <w:r>
        <w:rPr>
          <w:rFonts w:cstheme="minorHAnsi"/>
          <w:vertAlign w:val="superscript"/>
        </w:rPr>
        <w:fldChar w:fldCharType="begin"/>
      </w:r>
      <w:r w:rsidR="006528EA">
        <w:rPr>
          <w:rFonts w:cstheme="minorHAnsi"/>
          <w:vertAlign w:val="superscript"/>
        </w:rPr>
        <w:instrText xml:space="preserve"> ADDIN ZOTERO_ITEM CSL_CITATION {"citationID":"p6ga7DKc","properties":{"formattedCitation":"\\super 69,80\\nosupersub{}","plainCitation":"69,80","noteIndex":0},"citationItems":[{"id":19014,"uris":["http://zotero.org/users/3444308/items/LMWJE3Q6","http://zotero.org/users/3444308/items/2CTYTEAQ"],"itemData":{"id":19014,"type":"article-journal","abstract":"The KDIGO guideline for acute rejection treatment recommends use of corticosteroids and suggests using lymphocyte-depleting agents as second line treatment. Aim of the study was to determine the current practices of detection and treatment of TCMR of kidney allografts amongst European kidney transplant centres. An invitation was sent through ESOT/EKITA newsletters and through social media to transplant professionals in Europe for taking part in the survey. A total of 129 transplant professionals responded to the survey. There was equal representation of small and large sized transplant centres. The majority of centres treat borderline changes (BL) and TCMR (Grade IA-B, IIA-B) in indication biopsies and protocol biopsies with corticosteroids as first line treatment. Thymoglobulin is used mainly as second line treatment for TCMR Grade IA-B (80%) and TCMR IIA-B (85%). Treatment success is most often evaluated within one month of therapy. There were no differences observed between the large and small centres for the management of TCMR. This survey highlights the common practices and diversity in clinics for the management of TCMR in Europe. Testing new therapies for TCMR should be in comparison to the current standard of care in Europe. Better consensus on treatment success is crucial for robust study designs.","container-title":"Transplant International: Official Journal of the European Society for Organ Transplantation","DOI":"10.3389/ti.2024.12283","ISSN":"1432-2277","journalAbbreviation":"Transpl Int","language":"eng","note":"PMID: 38699173\nPMCID: PMC11063346","page":"12283","source":"PubMed","title":"European Survey on Clinical Practice of Detecting and Treating T-Cell Mediated Kidney Transplant Rejection","volume":"37","author":[{"family":"Koshy","given":"Priyanka"},{"family":"Furian","given":"Lucrezia"},{"family":"Nickerson","given":"Peter"},{"family":"Zaza","given":"Gianluigi"},{"family":"Haller","given":"Maria"},{"family":"Vries","given":"Aiko P. J.","non-dropping-particle":"de"},{"family":"Naesens","given":"Maarten"}],"issued":{"date-parts":[["2024"]]}}},{"id":18892,"uris":["http://zotero.org/users/3444308/items/KEXFNYI6"],"itemData":{"id":18892,"type":"article-journal","abstract":"We studied diverse rejection management strategies across centers by conducting a UNOS survey of kidney transplant program directors in 2017. There were 104 total responses from 235 kidney transplant programs representing 88 unique transplant programs (response rate 37%). Information was collected on center-specific management practices. Pertinent center-specific data were obtained from the OPTN database. Of the respondents, 33% were considered large centers (&gt;100 transplants/year). Thymoglobulin was the most commonly used induction agent at 84%, 72% responders do rapid steroid withdrawal, and mycophenolic acid (MPA) is the major antimetabolite (100%). For diagnosing TCMR, 100% used indication biopsy, 28% used protocol biopsy, 2% used serum biomarkers, and none used urine cytokines. For ABMR, 99% used indication biopsy, 34% used protocol biopsy, 72% used DSA, 21% used C1q positive DSA, and none used gene profiling (ENDATS). The treatment of subclinical and clinical TCMR included iv/PO steroids. PP/IVIG were the commonest treatments for ABMR. The use of rituximab, bortezomib, and eculizumab increased from C4D-ABMR to recurrent ABMR. There are diverse management practices for diagnosing and treating rejection. An effort to harmonize these diverse practices for management of TCMR and ABMR will give an opportunity to pool data for evaluating clinical outcomes.","container-title":"Clinical Transplantation","DOI":"10.1111/ctr.14225","ISSN":"1399-0012","issue":"4","journalAbbreviation":"Clin Transplant","language":"eng","note":"PMID: 33455009","page":"e14225","source":"PubMed","title":"Kidney allograft rejection: Diagnosis and treatment practices in USA- A UNOS survey","title-short":"Kidney allograft rejection","volume":"35","author":[{"family":"Sood","given":"Puneet"},{"family":"Cherikh","given":"Wida S."},{"family":"Toll","given":"Alice E."},{"family":"Mehta","given":"Rajil B."},{"family":"Hariharan","given":"Sundaram"}],"issued":{"date-parts":[["2021",4]]}}}],"schema":"https://github.com/citation-style-language/schema/raw/master/csl-citation.json"} </w:instrText>
      </w:r>
      <w:r>
        <w:rPr>
          <w:rFonts w:cstheme="minorHAnsi"/>
          <w:vertAlign w:val="superscript"/>
        </w:rPr>
        <w:fldChar w:fldCharType="separate"/>
      </w:r>
      <w:r w:rsidR="00A04B9C" w:rsidRPr="00A04B9C">
        <w:rPr>
          <w:rFonts w:ascii="Calibri" w:hAnsi="Calibri" w:cs="Calibri"/>
          <w:vertAlign w:val="superscript"/>
        </w:rPr>
        <w:t>69,80</w:t>
      </w:r>
      <w:r>
        <w:rPr>
          <w:rFonts w:cstheme="minorHAnsi"/>
          <w:vertAlign w:val="superscript"/>
        </w:rPr>
        <w:fldChar w:fldCharType="end"/>
      </w:r>
      <w:r w:rsidRPr="00C456B5">
        <w:rPr>
          <w:rFonts w:cstheme="minorHAnsi"/>
        </w:rPr>
        <w:t xml:space="preserve">. </w:t>
      </w:r>
    </w:p>
    <w:p w14:paraId="46650B7A" w14:textId="77777777" w:rsidR="00076320" w:rsidRDefault="00076320" w:rsidP="00076320">
      <w:pPr>
        <w:rPr>
          <w:b/>
          <w:bCs/>
        </w:rPr>
      </w:pPr>
    </w:p>
    <w:p w14:paraId="2D76182B" w14:textId="77777777" w:rsidR="00076320" w:rsidRDefault="00076320" w:rsidP="00183412">
      <w:pPr>
        <w:pStyle w:val="GuidelineHeadings"/>
      </w:pPr>
      <w:r w:rsidRPr="00D24B56">
        <w:t>Guideline 3.</w:t>
      </w:r>
      <w:r>
        <w:t>2</w:t>
      </w:r>
      <w:r w:rsidRPr="00D24B56">
        <w:t xml:space="preserve"> – KTR: </w:t>
      </w:r>
      <w:r>
        <w:t>Treatment</w:t>
      </w:r>
      <w:r w:rsidRPr="00D24B56">
        <w:t xml:space="preserve"> of acute rejection</w:t>
      </w:r>
    </w:p>
    <w:p w14:paraId="268A0316" w14:textId="77777777" w:rsidR="00076320" w:rsidRDefault="00076320" w:rsidP="00076320">
      <w:pPr>
        <w:jc w:val="both"/>
      </w:pPr>
      <w:r>
        <w:t xml:space="preserve">Acute rejection is defined as the acute worsening of allograft function with concomitant histopathological changes. It can be T-cell-mediated (TCMR) or antibody-mediated (AMR), or a combination of both (mixed). </w:t>
      </w:r>
    </w:p>
    <w:p w14:paraId="17A53830" w14:textId="569B9D6F" w:rsidR="00076320" w:rsidRDefault="00076320" w:rsidP="00076320">
      <w:pPr>
        <w:jc w:val="both"/>
      </w:pPr>
      <w:r>
        <w:t>The rate of acute rejection in the US at one year for transplants performed in 2022 was 6–11%, compared to 30-40% in the 1990s and 10-20% in the early 2000s</w:t>
      </w:r>
      <w:r>
        <w:rPr>
          <w:vertAlign w:val="superscript"/>
        </w:rPr>
        <w:t xml:space="preserve"> </w:t>
      </w:r>
      <w:r>
        <w:rPr>
          <w:vertAlign w:val="superscript"/>
        </w:rPr>
        <w:fldChar w:fldCharType="begin"/>
      </w:r>
      <w:r w:rsidR="006528EA">
        <w:rPr>
          <w:vertAlign w:val="superscript"/>
        </w:rPr>
        <w:instrText xml:space="preserve"> ADDIN ZOTERO_ITEM CSL_CITATION {"citationID":"yWdWqqBV","properties":{"formattedCitation":"\\super 81\\uc0\\u8211{}83\\nosupersub{}","plainCitation":"81–83","noteIndex":0},"citationItems":[{"id":18889,"uris":["http://zotero.org/users/3444308/items/SH4AZMK3"],"itemData":{"id":18889,"type":"article-journal","abstract":"BACKGROUND: Declining rates of acute rejection (AR) and the high rate of 1-year graft survival among patients with AR have prompted re-examination of AR as an outcome in the clinic and in trials. Yet AR and its treatment may directly or indirectly affect longer-term outcomes for kidney transplant recipients.\nMETHODS: To understand the long-term effect of AR on outcomes, we analyzed data from the Australia and New Zealand Dialysis and Transplant Registry, including 13,614 recipients of a primary kidney-only transplant between 1997 and 2017 with at least 6 months of graft function. The associations between AR within 6 months post-transplant and subsequent cause-specific graft loss and death were determined using Cox models adjusted for baseline donor, recipient, and transplant characteristics.\nRESULTS: AR occurred in 2906 recipients (21.4%) and was associated with graft loss attributed to chronic allograft nephropathy (hazard ratio [HR], 1.39; 95% confidence interval [95% CI], 1.23 to 1.56) and recurrent AR beyond month 6 (HR, 1.85; 95% CI, 1.39 to 2.46). Early AR was also associated with death with a functioning graft (HR, 1.22; 95% CI, 1.08 to 1.36), and with death due to cardiovascular disease (HR, 1.30; 95% CI, 1.11 to 1.53) and cancer (HR, 1.35; 95% CI, 1.12 to 1.64). Sensitivity analyses restricted to subgroups with either biopsy-proven, antibody-mediated, or vascular rejection, or stratified by treatment response produced similar results.\nCONCLUSIONS: AR is associated with increased risks of longer-term graft failure and death, particularly death from cardiovascular disease and cancer. The results suggest AR remains an important short-term outcome to monitor in kidney transplantation and clinical trials.","container-title":"Journal of the American Society of Nephrology: JASN","DOI":"10.1681/ASN.2018111101","ISSN":"1533-3450","issue":"9","journalAbbreviation":"J Am Soc Nephrol","language":"eng","note":"PMID: 31308074\nPMCID: PMC6727270","page":"1697-1707","source":"PubMed","title":"Long-Term Outcomes after Acute Rejection in Kidney Transplant Recipients: An ANZDATA Analysis","title-short":"Long-Term Outcomes after Acute Rejection in Kidney Transplant Recipients","volume":"30","author":[{"family":"Clayton","given":"Philip A."},{"family":"McDonald","given":"Stephen P."},{"family":"Russ","given":"Graeme R."},{"family":"Chadban","given":"Steven J."}],"issued":{"date-parts":[["2019",9]]}}},{"id":18890,"uris":["http://zotero.org/users/3444308/items/TY64AFZ3"],"itemData":{"id":18890,"type":"article-journal","abstract":"The year 2022 had continued successes and challenges for the field of kidney transplantation, as the community adapted to ongoing surges of the COVID-19 pandemic and broader geographic organ distribution. The total number of kidney transplants in the United States reached a record count of 26,309, driven by continued growth in deceased donor kidney transplants (DDKTs). The total number of candidates listed for DDKT rose slightly in 2022 but remained below 2019 listing levels, with 12.4% of candidates having been waiting 5 years or longer. Following the height of the COVID-19 pandemic, pretransplant mortality in 2022 declined across age, race and ethnicity, sex, and blood type groups. Pretransplant mortality continued to vary substantially by donation service area. The proportion of deceased donor kidneys recovered but not used for transplant (nonuse rate) rose to a high of 26.7% overall, with greater nonuse of biopsied kidneys (39.8%), kidneys from donors aged 55 years or older (54.7%), and kidneys with a kidney donor profile index (KDPI) of 85% or greater (71.3%). Nonuse of kidneys from donors who are hepatitis C virus (HCV) antibody positive rose to 30.2% but only slightly exceeded that of HCV antibody-negative donors. Disparities in access to living donor kidney transplant (LDKT) persist, especially for non-White and publicly insured patients. Delayed graft function continues an upward trend and occurred in 26.3% of adult kidney transplants in 2022. Five-year graft survival after LDKT compared with DDKT was 90.0% versus 81.4% for recipients aged 18-34 years and 80.8% versus 67.8% for recipients aged 65 years or older, respectively. The total number of pediatric kidney transplants performed in 2022 decreased to 705, its lowest point in the past decade; 502 (71.2%) were DDKTs and 203 (28.8%) were LDKTs. Among pediatric recipients, LDKT remains low, with continued racial disparities. The rate of DDKT among pediatric candidates has decreased by almost 25% since 2011. Congenital anomalies of the kidney and urinary tract remain the leading primary kidney disease diagnosis among pediatric candidates with a reported diagnosis. Most pediatric deceased donor recipients received a kidney from a donor with a KDPI of less than 35%. The rate of delayed graft function was 5.8% in 2022 and has been stable over the past decade. Long-term graft survival continues to improve, with superior outcomes for living donor transplant recipients.","container-title":"American Journal of Transplantation: Official Journal of the American Society of Transplantation and the American Society of Transplant Surgeons","DOI":"10.1016/j.ajt.2024.01.012","ISSN":"1600-6143","issue":"2S1","journalAbbreviation":"Am J Transplant","language":"eng","note":"PMID: 38431360","page":"S19-S118","source":"PubMed","title":"OPTN/SRTR 2022 Annual Data Report: Kidney","title-short":"OPTN/SRTR 2022 Annual Data Report","volume":"24","author":[{"family":"Lentine","given":"Krista L."},{"family":"Smith","given":"Jodi M."},{"family":"Lyden","given":"Grace R."},{"family":"Miller","given":"Jonathan M."},{"family":"Dolan","given":"Thomas G."},{"family":"Bradbrook","given":"Keighly"},{"family":"Larkin","given":"Lindsay"},{"family":"Temple","given":"Kayla"},{"family":"Handarova","given":"Dzhuliyana K."},{"family":"Weiss","given":"Samantha"},{"family":"Israni","given":"Ajay K."},{"family":"Snyder","given":"Jon J."}],"issued":{"date-parts":[["2024",2]]}}},{"id":18891,"uris":["http://zotero.org/users/3444308/items/DUCXX6F4"],"itemData":{"id":18891,"type":"article-journal","abstract":"Immunosuppression trends for solid organ transplantation have undergone a perceptible shift over the past decade. This period is of interest because it was during this time that the Food and Drug Administration (FDA) expanded the variety of medications to allow for alternatives in immunosuppressive management. An organ-by-organ review of SRTR data identifies several important trends. Antibody induction continues to be used for the majority of kidney (70%), simultaneous pancreas-kidney (SPK, 79%) pancreas after kidney (PAK, 74%), and intestine recipients (74%). It is used for under half of thoracic organ recipients and remains uncommon for liver transplant recipients (20%). The type of antibody preparation utilized has shifted from muromonab-CD3 and horse ATG to rabbit ATG and monoclonal anti-IL-2 receptor antagonists. Calcineurin inhibitors continue to be used for maintenance immunosuppression for most recipients, although there has been a shift from cyclosporine to tacrolimus. A clear transition is apparent in the choice of antimetabolite from azathioprine to mycophenolate mofetil. Although corticosteroids continue to be used as maintenance immunosuppression for most recipients prior to discharge, there is evidence that efforts of steroid avoidance protocols are having an impact across all organs, as slight decreases in their use have been observed.","container-title":"American Journal of Transplantation: Official Journal of the American Society of Transplantation and the American Society of Transplant Surgeons","DOI":"10.1111/j.1600-6135.2005.00833.x","ISSN":"1600-6135","issue":"4 Pt 2","journalAbbreviation":"Am J Transplant","language":"eng","note":"PMID: 15760415","page":"874-886","source":"PubMed","title":"Immunosuppression: evolution in practice and trends, 1993-2003","title-short":"Immunosuppression","volume":"5","author":[{"family":"Shapiro","given":"Ron"},{"family":"Young","given":"James B."},{"family":"Milford","given":"Edgar L."},{"family":"Trotter","given":"James F."},{"family":"Bustami","given":"Rami T."},{"family":"Leichtman","given":"Alan B."}],"issued":{"date-parts":[["2005",4]]}}}],"schema":"https://github.com/citation-style-language/schema/raw/master/csl-citation.json"}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81–83</w:t>
      </w:r>
      <w:r>
        <w:rPr>
          <w:vertAlign w:val="superscript"/>
        </w:rPr>
        <w:fldChar w:fldCharType="end"/>
      </w:r>
      <w:r>
        <w:t>. UK data suggests a similar incidence but there is a lack of consistent reporting through the NHSBT registry</w:t>
      </w:r>
      <w:r w:rsidR="00885255">
        <w:t>.</w:t>
      </w:r>
    </w:p>
    <w:p w14:paraId="38695112" w14:textId="373CB7C9" w:rsidR="00076320" w:rsidRDefault="00076320" w:rsidP="00076320">
      <w:pPr>
        <w:jc w:val="both"/>
      </w:pPr>
      <w:r>
        <w:t>Systematic reviews and meta</w:t>
      </w:r>
      <w:r w:rsidR="00E02E81">
        <w:t>-</w:t>
      </w:r>
      <w:r>
        <w:t>analyses aiming to address best practise treatment for rejection report low to moderate quality data at best. Studies are generally underpowered, lack clinical endpoint reporting, comprise heterogenous phenotypes and/or include limited use of appropriate controls</w:t>
      </w:r>
      <w:r>
        <w:rPr>
          <w:vertAlign w:val="superscript"/>
        </w:rPr>
        <w:t xml:space="preserve"> </w:t>
      </w:r>
      <w:r>
        <w:rPr>
          <w:vertAlign w:val="superscript"/>
        </w:rPr>
        <w:fldChar w:fldCharType="begin"/>
      </w:r>
      <w:r w:rsidR="006528EA">
        <w:rPr>
          <w:vertAlign w:val="superscript"/>
        </w:rPr>
        <w:instrText xml:space="preserve"> ADDIN ZOTERO_ITEM CSL_CITATION {"citationID":"Ulf7cjs1","properties":{"formattedCitation":"\\super 63\\nosupersub{}","plainCitation":"63","noteIndex":0},"citationItems":[{"id":18907,"uris":["http://zotero.org/users/3444308/items/DMNEGC22"],"itemData":{"id":18907,"type":"article-journal","abstract":"The prevalence and long-term impact of T cell-mediated rejection (TCMR) is poorly defined in the modern era of tacrolimus/mycophenolate-based maintenance therapy. This observational study evaluated 775 kidney transplant recipients with serial histology and correlated TCMR events with the risk of graft loss. After a ~30% incidence of a first Banff Borderline or greater TCMR detected on for-cause (17%) or surveillance (13%) biopsies, persistent (37.4%) or subsequent (26.3%) TCMR occurred in 64% of recipients on follow-up biopsies. Alloimmune risk categories based on the HLA-DR/DQ single molecule eplet molecular mismatch correlated with the number of TCMR events (p = .002) and Banff TCMR grade (p = .007). Both a first and second TCMR event correlated with death-censored and all-cause graft loss when adjusted for baseline covariates and other significant time-dependent covariates such as DGF and ABMR. Therefore, a substantial portion of kidney transplant recipients, especially those with intermediate and high HLA-DR/DQ molecular mismatch scores, remain under-immunosuppressed, which in turn identifies the need for novel agents that can more effectively prevent or treat TCMR.","container-title":"American Journal of Transplantation: Official Journal of the American Society of Transplantation and the American Society of Transplant Surgeons","DOI":"10.1111/ajt.16883","ISSN":"1600-6143","issue":"3","journalAbbreviation":"Am J Transplant","language":"eng","note":"PMID: 34717048\nPMCID: PMC9299170","page":"761-771","source":"PubMed","title":"The negative impact of T cell-mediated rejection on renal allograft survival in the modern era","volume":"22","author":[{"family":"Rampersad","given":"Christie"},{"family":"Balshaw","given":"Robert"},{"family":"Gibson","given":"Ian W."},{"family":"Ho","given":"Julie"},{"family":"Shaw","given":"Jamie"},{"family":"Karpinski","given":"Martin"},{"family":"Goldberg","given":"Aviva"},{"family":"Birk","given":"Patricia"},{"family":"Rush","given":"David N."},{"family":"Nickerson","given":"Peter W."},{"family":"Wiebe","given":"Chris"}],"issued":{"date-parts":[["2022",3]]}}}],"schema":"https://github.com/citation-style-language/schema/raw/master/csl-citation.json"}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63</w:t>
      </w:r>
      <w:r>
        <w:rPr>
          <w:vertAlign w:val="superscript"/>
        </w:rPr>
        <w:fldChar w:fldCharType="end"/>
      </w:r>
      <w:r>
        <w:t xml:space="preserve">. </w:t>
      </w:r>
    </w:p>
    <w:p w14:paraId="3B57EBE4" w14:textId="5DDA2C00" w:rsidR="00076320" w:rsidRDefault="00076320" w:rsidP="00076320">
      <w:pPr>
        <w:jc w:val="both"/>
      </w:pPr>
      <w:r>
        <w:t>A practise shift in standard of care immunosuppression regimes (typically CNI with an anti-proliferative agent ± steroids) can make comparison with earlier outcome data difficult</w:t>
      </w:r>
      <w:r>
        <w:rPr>
          <w:vertAlign w:val="superscript"/>
        </w:rPr>
        <w:t xml:space="preserve"> </w:t>
      </w:r>
      <w:r>
        <w:rPr>
          <w:vertAlign w:val="superscript"/>
        </w:rPr>
        <w:fldChar w:fldCharType="begin"/>
      </w:r>
      <w:r w:rsidR="006528EA">
        <w:rPr>
          <w:vertAlign w:val="superscript"/>
        </w:rPr>
        <w:instrText xml:space="preserve"> ADDIN ZOTERO_ITEM CSL_CITATION {"citationID":"SLTyDk9L","properties":{"formattedCitation":"\\super 63\\nosupersub{}","plainCitation":"63","noteIndex":0},"citationItems":[{"id":18907,"uris":["http://zotero.org/users/3444308/items/DMNEGC22"],"itemData":{"id":18907,"type":"article-journal","abstract":"The prevalence and long-term impact of T cell-mediated rejection (TCMR) is poorly defined in the modern era of tacrolimus/mycophenolate-based maintenance therapy. This observational study evaluated 775 kidney transplant recipients with serial histology and correlated TCMR events with the risk of graft loss. After a ~30% incidence of a first Banff Borderline or greater TCMR detected on for-cause (17%) or surveillance (13%) biopsies, persistent (37.4%) or subsequent (26.3%) TCMR occurred in 64% of recipients on follow-up biopsies. Alloimmune risk categories based on the HLA-DR/DQ single molecule eplet molecular mismatch correlated with the number of TCMR events (p = .002) and Banff TCMR grade (p = .007). Both a first and second TCMR event correlated with death-censored and all-cause graft loss when adjusted for baseline covariates and other significant time-dependent covariates such as DGF and ABMR. Therefore, a substantial portion of kidney transplant recipients, especially those with intermediate and high HLA-DR/DQ molecular mismatch scores, remain under-immunosuppressed, which in turn identifies the need for novel agents that can more effectively prevent or treat TCMR.","container-title":"American Journal of Transplantation: Official Journal of the American Society of Transplantation and the American Society of Transplant Surgeons","DOI":"10.1111/ajt.16883","ISSN":"1600-6143","issue":"3","journalAbbreviation":"Am J Transplant","language":"eng","note":"PMID: 34717048\nPMCID: PMC9299170","page":"761-771","source":"PubMed","title":"The negative impact of T cell-mediated rejection on renal allograft survival in the modern era","volume":"22","author":[{"family":"Rampersad","given":"Christie"},{"family":"Balshaw","given":"Robert"},{"family":"Gibson","given":"Ian W."},{"family":"Ho","given":"Julie"},{"family":"Shaw","given":"Jamie"},{"family":"Karpinski","given":"Martin"},{"family":"Goldberg","given":"Aviva"},{"family":"Birk","given":"Patricia"},{"family":"Rush","given":"David N."},{"family":"Nickerson","given":"Peter W."},{"family":"Wiebe","given":"Chris"}],"issued":{"date-parts":[["2022",3]]}}}],"schema":"https://github.com/citation-style-language/schema/raw/master/csl-citation.json"}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63</w:t>
      </w:r>
      <w:r>
        <w:rPr>
          <w:vertAlign w:val="superscript"/>
        </w:rPr>
        <w:fldChar w:fldCharType="end"/>
      </w:r>
      <w:r>
        <w:t xml:space="preserve">. </w:t>
      </w:r>
    </w:p>
    <w:p w14:paraId="37016731" w14:textId="77777777" w:rsidR="00076320" w:rsidRPr="00686361" w:rsidRDefault="00076320" w:rsidP="00076320">
      <w:pPr>
        <w:jc w:val="both"/>
      </w:pPr>
      <w:r w:rsidRPr="00686361">
        <w:t xml:space="preserve">Despite this an HLA donor specific antibody (DSA) can give rise to post-transplant AMR </w:t>
      </w:r>
      <w:proofErr w:type="gramStart"/>
      <w:r w:rsidRPr="00686361">
        <w:t>as a result of</w:t>
      </w:r>
      <w:proofErr w:type="gramEnd"/>
      <w:r w:rsidRPr="00686361">
        <w:t xml:space="preserve"> crossing a pre-existing HLA DSA; through an early memory recall response; or it can develop de novo.</w:t>
      </w:r>
    </w:p>
    <w:p w14:paraId="7F037DFE" w14:textId="70501B50" w:rsidR="00076320" w:rsidRPr="003D5384" w:rsidRDefault="00076320" w:rsidP="00CD306A">
      <w:pPr>
        <w:jc w:val="both"/>
      </w:pPr>
      <w:r w:rsidRPr="00686361">
        <w:t>Of these three pathways, de novo HLA DSA associated AMR has a higher rate of graft loss and often presents as mixed TCMR/AMR rejection as compared to memory-associated AMR, which typically is a pure AMR phenotype, occurs early posttransplant, and is more responsive to therapy</w:t>
      </w:r>
      <w:r>
        <w:rPr>
          <w:vertAlign w:val="superscript"/>
        </w:rPr>
        <w:t xml:space="preserve"> </w:t>
      </w:r>
      <w:r>
        <w:rPr>
          <w:vertAlign w:val="superscript"/>
        </w:rPr>
        <w:fldChar w:fldCharType="begin"/>
      </w:r>
      <w:r w:rsidR="006528EA">
        <w:rPr>
          <w:vertAlign w:val="superscript"/>
        </w:rPr>
        <w:instrText xml:space="preserve"> ADDIN ZOTERO_ITEM CSL_CITATION {"citationID":"W2w3QEYk","properties":{"formattedCitation":"\\super 63,84\\nosupersub{}","plainCitation":"63,84","noteIndex":0},"citationItems":[{"id":18907,"uris":["http://zotero.org/users/3444308/items/DMNEGC22"],"itemData":{"id":18907,"type":"article-journal","abstract":"The prevalence and long-term impact of T cell-mediated rejection (TCMR) is poorly defined in the modern era of tacrolimus/mycophenolate-based maintenance therapy. This observational study evaluated 775 kidney transplant recipients with serial histology and correlated TCMR events with the risk of graft loss. After a ~30% incidence of a first Banff Borderline or greater TCMR detected on for-cause (17%) or surveillance (13%) biopsies, persistent (37.4%) or subsequent (26.3%) TCMR occurred in 64% of recipients on follow-up biopsies. Alloimmune risk categories based on the HLA-DR/DQ single molecule eplet molecular mismatch correlated with the number of TCMR events (p = .002) and Banff TCMR grade (p = .007). Both a first and second TCMR event correlated with death-censored and all-cause graft loss when adjusted for baseline covariates and other significant time-dependent covariates such as DGF and ABMR. Therefore, a substantial portion of kidney transplant recipients, especially those with intermediate and high HLA-DR/DQ molecular mismatch scores, remain under-immunosuppressed, which in turn identifies the need for novel agents that can more effectively prevent or treat TCMR.","container-title":"American Journal of Transplantation: Official Journal of the American Society of Transplantation and the American Society of Transplant Surgeons","DOI":"10.1111/ajt.16883","ISSN":"1600-6143","issue":"3","journalAbbreviation":"Am J Transplant","language":"eng","note":"PMID: 34717048\nPMCID: PMC9299170","page":"761-771","source":"PubMed","title":"The negative impact of T cell-mediated rejection on renal allograft survival in the modern era","volume":"22","author":[{"family":"Rampersad","given":"Christie"},{"family":"Balshaw","given":"Robert"},{"family":"Gibson","given":"Ian W."},{"family":"Ho","given":"Julie"},{"family":"Shaw","given":"Jamie"},{"family":"Karpinski","given":"Martin"},{"family":"Goldberg","given":"Aviva"},{"family":"Birk","given":"Patricia"},{"family":"Rush","given":"David N."},{"family":"Nickerson","given":"Peter W."},{"family":"Wiebe","given":"Chris"}],"issued":{"date-parts":[["2022",3]]}}},{"id":18888,"uris":["http://zotero.org/users/3444308/items/DGVSNWJM"],"itemData":{"id":18888,"type":"article-journal","abstract":"Kidney transplantation has been the optimal treatment for end-stage kidney disease for almost 70 years, with increasing frequency over this period. Despite the prevalence of the procedure, allograft rejection continues to impact transplant recipients, with consequences ranging from hospitalization to allograft failure. Rates of rejection have declined over time, which has been largely attributed to developments in immunosuppressive therapy, understanding of the immune system, and monitoring. Developments in these therapies, as well as an improved understanding of rejection risk and the epidemiology of rejection, are dependent on a foundational understanding of the pathophysiology of rejection. This review explains the interconnected mechanisms behind antibody-mediated and T-cell-mediated rejection and highlights how these processes contribute to outcomes and can inform future progress.","container-title":"Journal of Clinical Medicine","DOI":"10.3390/jcm12124130","ISSN":"2077-0383","issue":"12","journalAbbreviation":"J Clin Med","language":"eng","note":"PMID: 37373823\nPMCID: PMC10299312","page":"4130","source":"PubMed","title":"Pathophysiology of Rejection in Kidney Transplantation","volume":"12","author":[{"family":"Tamargo","given":"Christina L."},{"family":"Kant","given":"Sam"}],"issued":{"date-parts":[["2023",6,19]]}}}],"schema":"https://github.com/citation-style-language/schema/raw/master/csl-citation.json"}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63,84</w:t>
      </w:r>
      <w:r>
        <w:rPr>
          <w:vertAlign w:val="superscript"/>
        </w:rPr>
        <w:fldChar w:fldCharType="end"/>
      </w:r>
      <w:r>
        <w:t>.</w:t>
      </w:r>
      <w:r w:rsidRPr="00686361">
        <w:t xml:space="preserve"> </w:t>
      </w:r>
    </w:p>
    <w:p w14:paraId="44057F78" w14:textId="0883A02E" w:rsidR="00076320" w:rsidRDefault="00076320" w:rsidP="00076320">
      <w:pPr>
        <w:jc w:val="both"/>
      </w:pPr>
      <w:r>
        <w:t>Rejection may present as clinical, sub-clinical or borderline, and despite a lack of clear guiding evidence, most transplant nephrologists would opt to treat sub-clinical or borderline rejection as long as there are not contra-indications</w:t>
      </w:r>
      <w:r>
        <w:rPr>
          <w:vertAlign w:val="superscript"/>
        </w:rPr>
        <w:t xml:space="preserve"> </w:t>
      </w:r>
      <w:r>
        <w:rPr>
          <w:vertAlign w:val="superscript"/>
        </w:rPr>
        <w:fldChar w:fldCharType="begin"/>
      </w:r>
      <w:r w:rsidR="006528EA">
        <w:rPr>
          <w:vertAlign w:val="superscript"/>
        </w:rPr>
        <w:instrText xml:space="preserve"> ADDIN ZOTERO_ITEM CSL_CITATION {"citationID":"s3o7u1oM","properties":{"formattedCitation":"\\super 85\\nosupersub{}","plainCitation":"85","noteIndex":0},"citationItems":[{"id":18887,"uris":["http://zotero.org/users/3444308/items/H2RQ6JNM"],"itemData":{"id":18887,"type":"article-journal","container-title":"American Journal of Transplantation: Official Journal of the American Society of Transplantation and the American Society of Transplant Surgeons","DOI":"10.1111/ajt.16964","ISSN":"1600-6143","issue":"3","journalAbbreviation":"Am J Transplant","language":"eng","note":"PMID: 35073440","page":"683-684","source":"PubMed","title":"T cell-mediated rejection in kidney transplant recipients: The end(point) is also the beginning","title-short":"T cell-mediated rejection in kidney transplant recipients","volume":"22","author":[{"family":"Chandran","given":"Sindhu"},{"family":"Mannon","given":"Roslyn B."}],"issued":{"date-parts":[["2022",3]]}}}],"schema":"https://github.com/citation-style-language/schema/raw/master/csl-citation.json"}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85</w:t>
      </w:r>
      <w:r>
        <w:rPr>
          <w:vertAlign w:val="superscript"/>
        </w:rPr>
        <w:fldChar w:fldCharType="end"/>
      </w:r>
      <w:r>
        <w:t xml:space="preserve">. There is conflicting evidence as to whether borderline infiltrates will automatically progress into </w:t>
      </w:r>
      <w:r w:rsidRPr="00CC7884">
        <w:t>rejection</w:t>
      </w:r>
      <w:r>
        <w:t xml:space="preserve"> and evolution of the Banff criteria now means the distinction between borderline changes (“very mild acute rejection”) and acute </w:t>
      </w:r>
      <w:r>
        <w:lastRenderedPageBreak/>
        <w:t>rejection Grade 1 (“mild acute rejection”) may increase the potential for frequent false negatives</w:t>
      </w:r>
      <w:r>
        <w:rPr>
          <w:vertAlign w:val="superscript"/>
        </w:rPr>
        <w:t xml:space="preserve"> </w:t>
      </w:r>
      <w:r>
        <w:rPr>
          <w:vertAlign w:val="superscript"/>
        </w:rPr>
        <w:fldChar w:fldCharType="begin"/>
      </w:r>
      <w:r w:rsidR="006528EA">
        <w:rPr>
          <w:vertAlign w:val="superscript"/>
        </w:rPr>
        <w:instrText xml:space="preserve"> ADDIN ZOTERO_ITEM CSL_CITATION {"citationID":"DiiI9rwf","properties":{"formattedCitation":"\\super 63\\nosupersub{}","plainCitation":"63","noteIndex":0},"citationItems":[{"id":18907,"uris":["http://zotero.org/users/3444308/items/DMNEGC22"],"itemData":{"id":18907,"type":"article-journal","abstract":"The prevalence and long-term impact of T cell-mediated rejection (TCMR) is poorly defined in the modern era of tacrolimus/mycophenolate-based maintenance therapy. This observational study evaluated 775 kidney transplant recipients with serial histology and correlated TCMR events with the risk of graft loss. After a ~30% incidence of a first Banff Borderline or greater TCMR detected on for-cause (17%) or surveillance (13%) biopsies, persistent (37.4%) or subsequent (26.3%) TCMR occurred in 64% of recipients on follow-up biopsies. Alloimmune risk categories based on the HLA-DR/DQ single molecule eplet molecular mismatch correlated with the number of TCMR events (p = .002) and Banff TCMR grade (p = .007). Both a first and second TCMR event correlated with death-censored and all-cause graft loss when adjusted for baseline covariates and other significant time-dependent covariates such as DGF and ABMR. Therefore, a substantial portion of kidney transplant recipients, especially those with intermediate and high HLA-DR/DQ molecular mismatch scores, remain under-immunosuppressed, which in turn identifies the need for novel agents that can more effectively prevent or treat TCMR.","container-title":"American Journal of Transplantation: Official Journal of the American Society of Transplantation and the American Society of Transplant Surgeons","DOI":"10.1111/ajt.16883","ISSN":"1600-6143","issue":"3","journalAbbreviation":"Am J Transplant","language":"eng","note":"PMID: 34717048\nPMCID: PMC9299170","page":"761-771","source":"PubMed","title":"The negative impact of T cell-mediated rejection on renal allograft survival in the modern era","volume":"22","author":[{"family":"Rampersad","given":"Christie"},{"family":"Balshaw","given":"Robert"},{"family":"Gibson","given":"Ian W."},{"family":"Ho","given":"Julie"},{"family":"Shaw","given":"Jamie"},{"family":"Karpinski","given":"Martin"},{"family":"Goldberg","given":"Aviva"},{"family":"Birk","given":"Patricia"},{"family":"Rush","given":"David N."},{"family":"Nickerson","given":"Peter W."},{"family":"Wiebe","given":"Chris"}],"issued":{"date-parts":[["2022",3]]}}}],"schema":"https://github.com/citation-style-language/schema/raw/master/csl-citation.json"}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63</w:t>
      </w:r>
      <w:r>
        <w:rPr>
          <w:vertAlign w:val="superscript"/>
        </w:rPr>
        <w:fldChar w:fldCharType="end"/>
      </w:r>
      <w:r>
        <w:t xml:space="preserve">. </w:t>
      </w:r>
    </w:p>
    <w:p w14:paraId="21F804B9" w14:textId="0DFB30C7" w:rsidR="00076320" w:rsidRPr="00B03D2D" w:rsidRDefault="00076320" w:rsidP="00076320">
      <w:pPr>
        <w:jc w:val="both"/>
      </w:pPr>
      <w:r w:rsidRPr="00B03D2D">
        <w:t xml:space="preserve">In a prospective </w:t>
      </w:r>
      <w:r>
        <w:t xml:space="preserve">cohort </w:t>
      </w:r>
      <w:r w:rsidRPr="00B03D2D">
        <w:t>study comparing the outcomes of patients with subclinical inflammation to those without inflammation</w:t>
      </w:r>
      <w:r>
        <w:t xml:space="preserve"> on protocol biopsies</w:t>
      </w:r>
      <w:r w:rsidRPr="00B03D2D">
        <w:t>, the group with subclinical inflammation had higher serum creatinine levels</w:t>
      </w:r>
      <w:r>
        <w:t xml:space="preserve">, higher </w:t>
      </w:r>
      <w:r w:rsidRPr="00B03D2D">
        <w:t>chronicity scores on the follow-up biopsy (at 12 months)</w:t>
      </w:r>
      <w:r>
        <w:t>,</w:t>
      </w:r>
      <w:r w:rsidRPr="00B03D2D">
        <w:t xml:space="preserve"> a greater likelihood of developing de novo DSA</w:t>
      </w:r>
      <w:r>
        <w:t>s,</w:t>
      </w:r>
      <w:r w:rsidRPr="00B03D2D">
        <w:t xml:space="preserve"> and </w:t>
      </w:r>
      <w:r>
        <w:t xml:space="preserve">a greater likelihood of </w:t>
      </w:r>
      <w:r w:rsidRPr="00B03D2D">
        <w:t xml:space="preserve">experiencing </w:t>
      </w:r>
      <w:r>
        <w:t xml:space="preserve">clinical </w:t>
      </w:r>
      <w:r w:rsidRPr="00B03D2D">
        <w:t>rejection episodes requiring treatment during the two-year follow-up period</w:t>
      </w:r>
      <w:r>
        <w:rPr>
          <w:vertAlign w:val="superscript"/>
        </w:rPr>
        <w:t xml:space="preserve"> </w:t>
      </w:r>
      <w:r>
        <w:rPr>
          <w:vertAlign w:val="superscript"/>
        </w:rPr>
        <w:fldChar w:fldCharType="begin"/>
      </w:r>
      <w:r w:rsidR="006528EA">
        <w:rPr>
          <w:vertAlign w:val="superscript"/>
        </w:rPr>
        <w:instrText xml:space="preserve"> ADDIN ZOTERO_ITEM CSL_CITATION {"citationID":"Y34aMPeX","properties":{"formattedCitation":"\\super 86\\nosupersub{}","plainCitation":"86","noteIndex":0},"citationItems":[{"id":18886,"uris":["http://zotero.org/users/3444308/items/M6KYSART"],"itemData":{"id":18886,"type":"article-journal","abstract":"The impact of subclinical inflammation (SCI) noted on early kidney allograft biopsies remains unclear. This study evaluated the outcome of SCI noted on 3-month biopsy. A total of 273/363 (75%) kidney transplant recipients with a functioning kidney underwent allograft biopsies 3-months posttransplant. Among those with stable allograft function at 3 months, 200 biopsies that did not meet the Banff criteria for acute rejection were identified. These were Group I: No Inflammation (NI, n = 71) and Group II: Subclinical Inflammation (SCI, n = 129). We evaluated differences in kidney function at 24-months and allograft histology score at 12-month biopsy. SCI patients had a higher serum creatinine (1.6 ± 0.7 vs 1.38 ± 0.45; P = .02) at 24-months posttransplant, and at last follow-up at a mean of 42.5 months (1.69 ± 0.9 vs 1.46 ± 0.5 mg/dL; P = .027). The allograft chronicity score (ci + ct + cg + cv) at 12-months posttransplant was higher in the SCI group (2.4 ± 1.35 vs 1.9 ± 1.2; P = .02). The incidence of subsequent rejections within the first year in SCI and NI groups was 24% vs 10%, respectively (P = .015). De novo donor-specific antibody within 12 months was more prevalent in the SCI group (12/129 vs 1/71, P = .03). SCI is likely not a benign finding and may have long-term implications for kidney allograft function.","container-title":"American Journal of Transplantation: Official Journal of the American Society of Transplantation and the American Society of Transplant Surgeons","DOI":"10.1111/ajt.14627","ISSN":"1600-6143","issue":"7","journalAbbreviation":"Am J Transplant","language":"eng","note":"PMID: 29247472","page":"1710-1717","source":"PubMed","title":"Short-term adverse effects of early subclinical allograft inflammation in kidney transplant recipients with a rapid steroid withdrawal protocol","volume":"18","author":[{"family":"Mehta","given":"Rajil"},{"family":"Bhusal","given":"Sushma"},{"family":"Randhawa","given":"Parmjeet"},{"family":"Sood","given":"Puneet"},{"family":"Cherukuri","given":"Aravind"},{"family":"Wu","given":"Christine"},{"family":"Puttarajappa","given":"Chethan"},{"family":"Hoffman","given":"William"},{"family":"Shah","given":"Nirav"},{"family":"Mangiola","given":"Massimo"},{"family":"Zeevi","given":"Adriana"},{"family":"Tevar","given":"Amit D."},{"family":"Hariharan","given":"Sundaram"}],"issued":{"date-parts":[["2018",7]]}}}],"schema":"https://github.com/citation-style-language/schema/raw/master/csl-citation.json"}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86</w:t>
      </w:r>
      <w:r>
        <w:rPr>
          <w:vertAlign w:val="superscript"/>
        </w:rPr>
        <w:fldChar w:fldCharType="end"/>
      </w:r>
      <w:r w:rsidRPr="00B03D2D">
        <w:t>.</w:t>
      </w:r>
    </w:p>
    <w:p w14:paraId="42D9F6C9" w14:textId="23739195" w:rsidR="00076320" w:rsidRDefault="00076320" w:rsidP="00076320">
      <w:pPr>
        <w:jc w:val="both"/>
      </w:pPr>
      <w:r>
        <w:t xml:space="preserve">All patients experiencing an episode of rejection should be assessed for treatment concordance; including assessment of patient understanding, absorption issues or pharmacological interactions, and current immunosuppression should be optimised. </w:t>
      </w:r>
    </w:p>
    <w:p w14:paraId="3EDD6518" w14:textId="3B6C6D65" w:rsidR="00076320" w:rsidRPr="00F9795C" w:rsidRDefault="00076320" w:rsidP="003D5384">
      <w:pPr>
        <w:pStyle w:val="GuidelineHeadings"/>
      </w:pPr>
      <w:r>
        <w:t xml:space="preserve">Guidelines 3.2.2, 3.2.3 &amp; 3.2.4 </w:t>
      </w:r>
      <w:r w:rsidRPr="00D24B56">
        <w:t>KTR</w:t>
      </w:r>
      <w:r w:rsidR="00932D5D">
        <w:t xml:space="preserve"> –</w:t>
      </w:r>
      <w:r w:rsidRPr="00D24B56">
        <w:t xml:space="preserve"> </w:t>
      </w:r>
      <w:r>
        <w:t>Treatment</w:t>
      </w:r>
      <w:r w:rsidRPr="00D24B56">
        <w:t xml:space="preserve"> of acute rejection</w:t>
      </w:r>
      <w:r>
        <w:t xml:space="preserve"> - </w:t>
      </w:r>
      <w:r w:rsidRPr="00F9795C">
        <w:t>Optimising immunosuppression</w:t>
      </w:r>
      <w:r>
        <w:t xml:space="preserve"> for all types of rejection</w:t>
      </w:r>
    </w:p>
    <w:p w14:paraId="4E7C2F05" w14:textId="77777777" w:rsidR="00076320" w:rsidRDefault="00076320" w:rsidP="00076320">
      <w:pPr>
        <w:jc w:val="both"/>
      </w:pPr>
      <w:r>
        <w:t>Patients prescribed a steroid free regime should have corticosteroids added to their regime as per KDIGO recommendations.</w:t>
      </w:r>
    </w:p>
    <w:p w14:paraId="0D24C2D6" w14:textId="4ABA452C" w:rsidR="00076320" w:rsidRPr="007F3139" w:rsidRDefault="00076320" w:rsidP="00076320">
      <w:pPr>
        <w:jc w:val="both"/>
      </w:pPr>
      <w:r>
        <w:t>Patients taking azathioprine should be switched to mycophenolate in the absence of contra-indications. There is RCT evidence that the addition of MMF to the post-rejection immunosuppression regimen, or replacement of azathioprine with MMF, will help to prevent subsequent acute rejection</w:t>
      </w:r>
      <w:r>
        <w:rPr>
          <w:vertAlign w:val="superscript"/>
        </w:rPr>
        <w:t xml:space="preserve"> </w:t>
      </w:r>
      <w:r>
        <w:rPr>
          <w:vertAlign w:val="superscript"/>
        </w:rPr>
        <w:fldChar w:fldCharType="begin"/>
      </w:r>
      <w:r w:rsidR="006528EA">
        <w:rPr>
          <w:vertAlign w:val="superscript"/>
        </w:rPr>
        <w:instrText xml:space="preserve"> ADDIN ZOTERO_ITEM CSL_CITATION {"citationID":"V1yAkQZB","properties":{"formattedCitation":"\\super 87\\nosupersub{}","plainCitation":"87","noteIndex":0},"citationItems":[{"id":18885,"uris":["http://zotero.org/users/3444308/items/ENZE83GD"],"itemData":{"id":18885,"type":"article-journal","abstract":"Introduced in 1995, mycophenolate mofetil (MMF) would become the most powerful antiproliferative agent in the field of organ transplantation, thereby supplanting azathioprine, the first antiproliferative agent introduced in the early 1960s. Its association with tacrolimus greatly improved kidney transplant (KT) prognosis by significantly reducing the incidence of posttransplant acute rejection. MMF is also reputed to be a safe medication, but the frequency of the gastrointestinal complications associated with it, even minor ones, has induced the marketing of a second molecule called enteric-coated mycophenolate sodium. This late form of mycophenolate was supposed to be better tolerated thanks to its pharmacokinetic properties but the studies did not show significant differences between the two molecules. Otherwise, the combination of MMF with tacrolimus has significantly increased the risk of infections, particularly viral, and of neoplasia. To reduce this risk and avoid any situation of under or overexposure while remaining effective, only a strict and long-term monitoring of MMF allows the maintenance of already established therapeutic targets within the predefined ranges. In KT, individualizing the prescription and targets of MMF according to immunologic risk, global immunosuppression, and posttransplant period, as for other immunosuppressants, is open to discussion and may be beneficial.","container-title":"Artificial Organs","DOI":"10.1111/aor.13623","ISSN":"1525-1594","issue":"6","journalAbbreviation":"Artif Organs","language":"eng","note":"PMID: 31879962","page":"561-576","source":"PubMed","title":"Mycophenolates: The latest modern and potent immunosuppressive drugs in adult kidney transplantation: What we should know about them?","title-short":"Mycophenolates","volume":"44","author":[{"family":"Bentata","given":"Yassamine"}],"issued":{"date-parts":[["2020",6]]}}}],"schema":"https://github.com/citation-style-language/schema/raw/master/csl-citation.json"}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87</w:t>
      </w:r>
      <w:r>
        <w:rPr>
          <w:vertAlign w:val="superscript"/>
        </w:rPr>
        <w:fldChar w:fldCharType="end"/>
      </w:r>
      <w:r>
        <w:t>. An RCT (N = 221) comparing treatment outcomes of first rejection outcomes in patients taking MMF to those taking azathioprine showed those receiving MMF had fewer subsequent rejection episodes, and graft survival at 3 years was better in the MMF group</w:t>
      </w:r>
      <w:r>
        <w:rPr>
          <w:vertAlign w:val="superscript"/>
        </w:rPr>
        <w:t xml:space="preserve"> </w:t>
      </w:r>
      <w:r>
        <w:rPr>
          <w:vertAlign w:val="superscript"/>
        </w:rPr>
        <w:fldChar w:fldCharType="begin"/>
      </w:r>
      <w:r w:rsidR="006528EA">
        <w:rPr>
          <w:vertAlign w:val="superscript"/>
        </w:rPr>
        <w:instrText xml:space="preserve"> ADDIN ZOTERO_ITEM CSL_CITATION {"citationID":"wzQI1cOD","properties":{"formattedCitation":"\\super 87,88\\nosupersub{}","plainCitation":"87,88","noteIndex":0},"citationItems":[{"id":18885,"uris":["http://zotero.org/users/3444308/items/ENZE83GD"],"itemData":{"id":18885,"type":"article-journal","abstract":"Introduced in 1995, mycophenolate mofetil (MMF) would become the most powerful antiproliferative agent in the field of organ transplantation, thereby supplanting azathioprine, the first antiproliferative agent introduced in the early 1960s. Its association with tacrolimus greatly improved kidney transplant (KT) prognosis by significantly reducing the incidence of posttransplant acute rejection. MMF is also reputed to be a safe medication, but the frequency of the gastrointestinal complications associated with it, even minor ones, has induced the marketing of a second molecule called enteric-coated mycophenolate sodium. This late form of mycophenolate was supposed to be better tolerated thanks to its pharmacokinetic properties but the studies did not show significant differences between the two molecules. Otherwise, the combination of MMF with tacrolimus has significantly increased the risk of infections, particularly viral, and of neoplasia. To reduce this risk and avoid any situation of under or overexposure while remaining effective, only a strict and long-term monitoring of MMF allows the maintenance of already established therapeutic targets within the predefined ranges. In KT, individualizing the prescription and targets of MMF according to immunologic risk, global immunosuppression, and posttransplant period, as for other immunosuppressants, is open to discussion and may be beneficial.","container-title":"Artificial Organs","DOI":"10.1111/aor.13623","ISSN":"1525-1594","issue":"6","journalAbbreviation":"Artif Organs","language":"eng","note":"PMID: 31879962","page":"561-576","source":"PubMed","title":"Mycophenolates: The latest modern and potent immunosuppressive drugs in adult kidney transplantation: What we should know about them?","title-short":"Mycophenolates","volume":"44","author":[{"family":"Bentata","given":"Yassamine"}],"issued":{"date-parts":[["2020",6]]}}},{"id":18884,"uris":["http://zotero.org/users/3444308/items/YYGG2TII"],"itemData":{"id":18884,"type":"article-journal","abstract":"BACKGROUND: Mycophenolate mofetil (MMF) significantly reduces the incidence of acute allograft rejection in renal transplant patients. The effect of adding MMF to the immunosuppressive regimen of patients with established rejection is unknown. The purpose of the current study was to compare the safety and efficacy of the addition of MMF to the treatment regimen of an early first acute cellular rejection.\nMETHODS: The study was a double-blind, double-dummy controlled clinical trial of 221 renal transplant recipients experiencing the first biopsy-proven rejection within 6 months of transplant performed at 15 U.S. and Canadian centers. A total of 113 patients received MMF (1.5 g twice daily) and intravenous corticosteroids, and 108 patients received azathioprine (AZA) (1-2 mg/kg/day) and intravenous corticosteroids. The intravenous corticosteroids in each group consisted of 5 mg/kg/day for 5 days followed by an oral steroid taper. End points for the study were the first use of antilymphocyte therapy, the number of courses of antirejection therapy given during the first 6 months, and graft and patient survival at 1 year.\nRESULTS: At 6 months, 16.8% of the MMF-treated patients and 41.7% of the AZA-treated patients required at least one course of antilymphocyte therapy (P &lt; 0.0001). The number of patients requiring full courses of antirejection therapy for the treatment of rejection was less in the MMF-treated group (24.8%) versus the AZA-treated group (58.3%) (P &lt; 0.0001). The proportion of patients with the use of antilymphocyte therapy or treatment failure during the first 6 months was 29.2% vs. 51.9% (P=0.0006) in the MMF versus the AZA groups, respectively. By 1 year after enrollment, 10 patients (8.9%) in the MMF-treated group lost their graft or died versus 16 patients (14.8%) in the AZA-treated group. More patients in the MMF group withdrew because of an adverse event: 20 patients (17.7%) compared with 11 AZA-treated patients (10.2%).\nCONCLUSIONS: MMF administered in combination with pulse corticosteroids significantly decreases the subsequent use of antilymphocyte therapy in the treatment of acute renal allograft rejection. In addition to being a safe and effective prophylactic agent, MMF added to steroids improves the rate of reversal of acute rejection episodes.","container-title":"Transplantation","ISSN":"0041-1337","issue":"2","journalAbbreviation":"Transplantation","language":"eng","note":"PMID: 9458021","page":"235-241","source":"PubMed","title":"Mycophenolate mofetil for the treatment of a first acute renal allograft rejection: The Mycophenolate Mofetil Acute Renal Rejection Study Group","title-short":"Mycophenolate mofetil for the treatment of a first acute renal allograft rejection","volume":"65","issued":{"date-parts":[["1998",1,27]]}}}],"schema":"https://github.com/citation-style-language/schema/raw/master/csl-citation.json"}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87,88</w:t>
      </w:r>
      <w:r>
        <w:rPr>
          <w:vertAlign w:val="superscript"/>
        </w:rPr>
        <w:fldChar w:fldCharType="end"/>
      </w:r>
      <w:r>
        <w:t>.</w:t>
      </w:r>
    </w:p>
    <w:p w14:paraId="5653546C" w14:textId="77777777" w:rsidR="00076320" w:rsidRDefault="00076320" w:rsidP="00076320">
      <w:pPr>
        <w:jc w:val="both"/>
      </w:pPr>
      <w:r>
        <w:t xml:space="preserve">However, the type of rejection was poorly </w:t>
      </w:r>
      <w:proofErr w:type="gramStart"/>
      <w:r>
        <w:t>defined</w:t>
      </w:r>
      <w:proofErr w:type="gramEnd"/>
      <w:r>
        <w:t xml:space="preserve"> and the study was not statistically powered to detect significance beyond the 6 month follow up.</w:t>
      </w:r>
    </w:p>
    <w:p w14:paraId="55DA946A" w14:textId="619608BE" w:rsidR="00076320" w:rsidRDefault="00076320" w:rsidP="00076320">
      <w:pPr>
        <w:jc w:val="both"/>
      </w:pPr>
      <w:r>
        <w:t xml:space="preserve">Increasing target trough level of </w:t>
      </w:r>
      <w:r w:rsidRPr="0063620F">
        <w:t xml:space="preserve">CNI </w:t>
      </w:r>
      <w:r>
        <w:t>s</w:t>
      </w:r>
      <w:r w:rsidRPr="0063620F">
        <w:t>hould be carefully weighed in terms of increased adverse effects. A systematic review showed that that increasing the exposure to tacrolimus added little to no benefit</w:t>
      </w:r>
      <w:r>
        <w:t xml:space="preserve"> except where patients were non adherent </w:t>
      </w:r>
      <w:r>
        <w:fldChar w:fldCharType="begin"/>
      </w:r>
      <w:r w:rsidR="006528EA">
        <w:instrText xml:space="preserve"> ADDIN ZOTERO_ITEM CSL_CITATION {"citationID":"Wfzilgn4","properties":{"formattedCitation":"\\super 89\\nosupersub{}","plainCitation":"89","noteIndex":0},"citationItems":[{"id":18883,"uris":["http://zotero.org/users/3444308/items/N77RCJSH"],"itemData":{"id":18883,"type":"article-journal","abstract":"Immunosuppressive agents are used post-organ transplant to prevent acute rejection and graft losses. Tacrolimus, the most widely used immunosuppressive agent for kidney transplant recipients, has unfavorable side effects such as new-onset diabetes after transplant, nephrotoxicity, and electrolyte imbalances. Other drug groups such as the mammalian target of rapamycin (mTOR) inhibitors, belatacept, and bleselumab have been used to either substitute calcineurin inhibitors or reduce their exposure. This systematic analysis reviews evidence from randomized controlled trials to compare the safety and efficacy of various immunosuppressive regimens for kidney transplant recipients. An in-depth methodical search was conducted across PubMed, Cochrane Library, and Mendeley. PRISMA 2020 guidelines were followed for this study. Randomized controlled trials comparing varying regimens were included in this study. While there was no difference in safety and efficacy between once-daily and twice-daily tacrolimus, mTOR inhibitors showed to be a viable option for a reduced tacrolimus exposure regimen. Calcineurin inhibitor avoidance and early steroid withdrawal regimens both showed increased rates of rejection. Based on these findings, a regimen containing once-daily tacrolimus and an mTOR inhibitor with or without corticosteroid is a viable immunosuppressive regimen post-kidney transplant. Further trials, especially ones with longer follow-up periods, are needed to explore these regimens' long-term safety and efficacy.","container-title":"Cureus","DOI":"10.7759/cureus.43903","ISSN":"2168-8184","issue":"8","journalAbbreviation":"Cureus","language":"eng","note":"PMID: 37746361\nPMCID: PMC10512192","page":"e43903","source":"PubMed","title":"Comparative Safety and Efficacy of Immunosuppressive Regimens Post-kidney Transplant: A Systematic Review","title-short":"Comparative Safety and Efficacy of Immunosuppressive Regimens Post-kidney Transplant","volume":"15","author":[{"family":"Qayyum","given":"Shahid"},{"family":"Shahid","given":"Kamran"}],"issued":{"date-parts":[["2023",8]]}}}],"schema":"https://github.com/citation-style-language/schema/raw/master/csl-citation.json"} </w:instrText>
      </w:r>
      <w:r>
        <w:fldChar w:fldCharType="separate"/>
      </w:r>
      <w:r w:rsidR="00A04B9C" w:rsidRPr="00A04B9C">
        <w:rPr>
          <w:rFonts w:ascii="Calibri" w:hAnsi="Calibri" w:cs="Calibri"/>
          <w:vertAlign w:val="superscript"/>
        </w:rPr>
        <w:t>89</w:t>
      </w:r>
      <w:r>
        <w:fldChar w:fldCharType="end"/>
      </w:r>
      <w:r>
        <w:t>.</w:t>
      </w:r>
    </w:p>
    <w:p w14:paraId="3D7C96E7" w14:textId="77777777" w:rsidR="00076320" w:rsidRDefault="00076320" w:rsidP="00076320">
      <w:pPr>
        <w:jc w:val="both"/>
        <w:rPr>
          <w:color w:val="FF0000"/>
        </w:rPr>
      </w:pPr>
      <w:r>
        <w:t>Consideration should be made to switching ciclosporin to tacrolimus in the absence of contra-indications</w:t>
      </w:r>
      <w:r w:rsidRPr="007F3139">
        <w:rPr>
          <w:color w:val="000000" w:themeColor="text1"/>
        </w:rPr>
        <w:t>.</w:t>
      </w:r>
    </w:p>
    <w:p w14:paraId="6FB5E113" w14:textId="77777777" w:rsidR="00076320" w:rsidRPr="000A7BA3" w:rsidRDefault="00076320" w:rsidP="00F10BCF">
      <w:pPr>
        <w:pStyle w:val="GuidelineSubheadings"/>
        <w:rPr>
          <w:color w:val="000000" w:themeColor="text1"/>
          <w:u w:val="single"/>
        </w:rPr>
      </w:pPr>
      <w:r w:rsidRPr="00D24B56">
        <w:t xml:space="preserve">KTR: </w:t>
      </w:r>
      <w:r>
        <w:t>Treatment</w:t>
      </w:r>
      <w:r w:rsidRPr="00D24B56">
        <w:t xml:space="preserve"> of acute rejection</w:t>
      </w:r>
      <w:r>
        <w:t xml:space="preserve"> - </w:t>
      </w:r>
      <w:r w:rsidRPr="000A7BA3">
        <w:rPr>
          <w:color w:val="000000" w:themeColor="text1"/>
          <w:u w:val="single"/>
        </w:rPr>
        <w:t>T Cell Mediated Rejection</w:t>
      </w:r>
    </w:p>
    <w:p w14:paraId="2F8888D8" w14:textId="1B2A2BA8" w:rsidR="00076320" w:rsidRDefault="00076320" w:rsidP="00076320">
      <w:pPr>
        <w:jc w:val="both"/>
      </w:pPr>
      <w:r>
        <w:t xml:space="preserve">There is a lack of good quality evidence supporting any one clear strategy over another, as a result of this the approach to managing acute T-cell mediated rejection (TCMR) varies between transplant centres </w:t>
      </w:r>
      <w:r>
        <w:fldChar w:fldCharType="begin"/>
      </w:r>
      <w:r w:rsidR="006528EA">
        <w:instrText xml:space="preserve"> ADDIN ZOTERO_ITEM CSL_CITATION {"citationID":"7CHmCkbf","properties":{"formattedCitation":"\\super 90\\nosupersub{}","plainCitation":"90","noteIndex":0},"citationItems":[{"id":18882,"uris":["http://zotero.org/users/3444308/items/6IMZDWMH"],"itemData":{"id":18882,"type":"article-journal","abstract":"Despite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A."}],"issued":{"date-parts":[["2023",7,27]]}}}],"schema":"https://github.com/citation-style-language/schema/raw/master/csl-citation.json"} </w:instrText>
      </w:r>
      <w:r>
        <w:fldChar w:fldCharType="separate"/>
      </w:r>
      <w:r w:rsidR="00A04B9C" w:rsidRPr="00A04B9C">
        <w:rPr>
          <w:rFonts w:ascii="Calibri" w:hAnsi="Calibri" w:cs="Calibri"/>
          <w:vertAlign w:val="superscript"/>
        </w:rPr>
        <w:t>90</w:t>
      </w:r>
      <w:r>
        <w:fldChar w:fldCharType="end"/>
      </w:r>
      <w:r>
        <w:t xml:space="preserve">. </w:t>
      </w:r>
    </w:p>
    <w:p w14:paraId="23F69286" w14:textId="6AB3A1F4" w:rsidR="00076320" w:rsidRPr="00B52FCB" w:rsidRDefault="00076320" w:rsidP="00076320">
      <w:pPr>
        <w:jc w:val="both"/>
      </w:pPr>
      <w:r w:rsidRPr="00B52FCB">
        <w:t>In a systematic review of literature assessing response to treatment in TCMR</w:t>
      </w:r>
      <w:r>
        <w:t xml:space="preserve"> (all therapies)</w:t>
      </w:r>
      <w:r w:rsidRPr="00B52FCB">
        <w:t xml:space="preserve">, it was noted that different criteria are used to define response, introducing significant limitations. </w:t>
      </w:r>
      <w:r w:rsidRPr="00B52FCB">
        <w:lastRenderedPageBreak/>
        <w:t>However, pooled data suggests similar therapeutic response in Banff IA, IB rejections (44–73%) and Banff IIA rejections (52–80%), but notable significantly lower in Banff IIB rejections (10%)</w:t>
      </w:r>
      <w:r>
        <w:rPr>
          <w:vertAlign w:val="superscript"/>
        </w:rPr>
        <w:t xml:space="preserve"> </w:t>
      </w:r>
      <w:r>
        <w:rPr>
          <w:vertAlign w:val="superscript"/>
        </w:rPr>
        <w:fldChar w:fldCharType="begin"/>
      </w:r>
      <w:r w:rsidR="006528EA">
        <w:rPr>
          <w:vertAlign w:val="superscript"/>
        </w:rPr>
        <w:instrText xml:space="preserve"> ADDIN ZOTERO_ITEM CSL_CITATION {"citationID":"ViiqYD2O","properties":{"formattedCitation":"\\super 91\\nosupersub{}","plainCitation":"91","noteIndex":0},"citationItems":[{"id":18881,"uris":["http://zotero.org/users/3444308/items/9ZYI65GF"],"itemData":{"id":18881,"type":"article-journal","abstract":"BACKGROUND: The poor prognosis classically associated with Banff grade 2 acute cell-mediated rejection (CMR) may be due to unrecognized antibody-mediated damage. We thus performed a systematic review of the literature to determine the rate of response to treatment in kidney transplant recipients with pure CMR, stratified by Banff class.\nMETHODS: In addition to a manual search, databases interrogated included Excerpta Medica Database (EMBASE), Medical Literature Analysis and Retrieval System Online (MEDLINE), Evidence-Based Medicine (EBM) databases, Central, PubMed and CINAHL. Studies providing functional and/or histological response rates to the treatment of CMR rejection by Banff class (1997 or more recent) were included.\nRESULTS: Among the 746 articles identified, 5 articles were included in the final review. Two studies excluded some, and 2 excluded all features of antibody-mediated rejection, while providing data on functional recovery. The absence of functional recovery was reported in 4% of borderline, 15% for Banff grade 1A and IB pooled, 0% to 25% of Banff grade 1B alone, 11% to 20% of Banff grade 2A, and 38% of Banff grade 2B rejections.\nCONCLUSIONS: The rate of functional recovery of pure Banff IIA CMR overlapped with that of Banff grade 1 CMR, whereas Banff grade 2B showed worse prognosis. There was important heterogeneity in the definition of response to treatment and paucity of data describing the histological response to treatment stratified by Banff class. There is a pressing need to standardize outcome metrics for the reversibility of rejection in kidney transplant recipients in order to design high-quality trials for novel therapeutic alternatives.","container-title":"Transplantation Direct","DOI":"10.1097/TXD.0000000000000626","ISSN":"2373-8731","issue":"12","journalAbbreviation":"Transplant Direct","language":"eng","note":"PMID: 27990480\nPMCID: PMC5142362","page":"e115","source":"PubMed","title":"Efficacy of Acute Cellular Rejection Treatment According to Banff Score in Kidney Transplant Recipients: A Systematic Review","title-short":"Efficacy of Acute Cellular Rejection Treatment According to Banff Score in Kidney Transplant Recipients","volume":"2","author":[{"family":"Lamarche","given":"Caroline"},{"family":"Côté","given":"Jean-Maxime"},{"family":"Sénécal","given":"Lynne"},{"family":"Cardinal","given":"Héloïse"}],"issued":{"date-parts":[["2016",12]]}}}],"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91</w:t>
      </w:r>
      <w:r>
        <w:rPr>
          <w:vertAlign w:val="superscript"/>
        </w:rPr>
        <w:fldChar w:fldCharType="end"/>
      </w:r>
      <w:r>
        <w:t xml:space="preserve">. </w:t>
      </w:r>
    </w:p>
    <w:p w14:paraId="455FE02B" w14:textId="2E12A0AB" w:rsidR="00076320" w:rsidRPr="000A7BA3" w:rsidRDefault="00076320" w:rsidP="003D5384">
      <w:pPr>
        <w:pStyle w:val="GuidelineHeadings"/>
      </w:pPr>
      <w:r>
        <w:t xml:space="preserve">Guideline 3.2.5 </w:t>
      </w:r>
      <w:r w:rsidRPr="00D24B56">
        <w:t>KTR</w:t>
      </w:r>
      <w:r w:rsidR="00B7112B">
        <w:t xml:space="preserve"> –</w:t>
      </w:r>
      <w:r w:rsidRPr="00D24B56">
        <w:t xml:space="preserve"> </w:t>
      </w:r>
      <w:r>
        <w:t>Treatment</w:t>
      </w:r>
      <w:r w:rsidRPr="00D24B56">
        <w:t xml:space="preserve"> of acute </w:t>
      </w:r>
      <w:r>
        <w:t xml:space="preserve">T cell mediated </w:t>
      </w:r>
      <w:r w:rsidRPr="00D24B56">
        <w:t>rejection</w:t>
      </w:r>
      <w:r>
        <w:t xml:space="preserve"> - Corticosteroids</w:t>
      </w:r>
    </w:p>
    <w:p w14:paraId="0A27A206" w14:textId="75F1B692" w:rsidR="00076320" w:rsidRDefault="00076320" w:rsidP="00076320">
      <w:pPr>
        <w:jc w:val="both"/>
      </w:pPr>
      <w:r>
        <w:t>Corticosteroids act by inhibiting cytokine transcription by blocking transcription factors, such as NF-kβ and activator protein-1, leading to downstream effects of T-cell depletion (by IL-2 inhibition), inhibition of T-Helper 1 differentiation and apoptosis, eosinophil apoptosis, and macrophage dysfunction</w:t>
      </w:r>
      <w:r>
        <w:rPr>
          <w:vertAlign w:val="superscript"/>
        </w:rPr>
        <w:t xml:space="preserve"> </w:t>
      </w:r>
      <w:r>
        <w:rPr>
          <w:vertAlign w:val="superscript"/>
        </w:rPr>
        <w:fldChar w:fldCharType="begin"/>
      </w:r>
      <w:r w:rsidR="006528EA">
        <w:rPr>
          <w:vertAlign w:val="superscript"/>
        </w:rPr>
        <w:instrText xml:space="preserve"> ADDIN ZOTERO_ITEM CSL_CITATION {"citationID":"rqbQDXqV","properties":{"formattedCitation":"\\super 92\\nosupersub{}","plainCitation":"92","noteIndex":0},"citationItems":[{"id":18880,"uris":["http://zotero.org/users/3444308/items/AQENED2X"],"itemData":{"id":18880,"type":"article-journal","abstract":"Immunosuppressive agents are commonly used in the nephrologist's practice in the treatment of autoimmune and immune-mediated diseases and transplantation, and they are investigational in the treatment of AKI and ESRD. Drug development has been rapid over the past decades as mechanisms of the immune response have been better defined both by serendipity (the discovery of agents with immunosuppressive activity that led to greater understanding of the immune response) and through mechanistic study (the study of immune deficiencies and autoimmune diseases and the critical pathways or mutations that contribute to disease). Toxicities of early immunosuppressive agents, such as corticosteroids, azathioprine, and cyclophosphamide, stimulated intense investigation for agents with more specificity and less harmful effects. Because the mechanisms of the immune response were better delineated over the past 30 years, this specialty is now bestowed with a multitude of therapeutic options that have reduced rejection rates and improved graft survival in kidney transplantation, provided alternatives to cytotoxic therapy in immune-mediated diseases, and opened new opportunities for intervention in diseases both common (AKI) and rare (atypical hemolytic syndrome). Rather than summarizing clinical indications and clinical trials for all currently available immunosuppressive medications, the purpose of this review is to place these agents into mechanistic context together with a brief discussion of unique features of development and use that are of interest to the nephrologist.","container-title":"Clinical journal of the American Society of Nephrology: CJASN","DOI":"10.2215/CJN.08570814","ISSN":"1555-905X","issue":"2","journalAbbreviation":"Clin J Am Soc Nephrol","language":"eng","note":"PMID: 26170177\nPMCID: PMC4741049","page":"332-343","source":"PubMed","title":"Immunosuppressive Medications","volume":"11","author":[{"family":"Wiseman","given":"Alexander C."}],"issued":{"date-parts":[["2016",2,5]]}}}],"schema":"https://github.com/citation-style-language/schema/raw/master/csl-citation.json"}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92</w:t>
      </w:r>
      <w:r>
        <w:rPr>
          <w:vertAlign w:val="superscript"/>
        </w:rPr>
        <w:fldChar w:fldCharType="end"/>
      </w:r>
      <w:r>
        <w:t xml:space="preserve">. </w:t>
      </w:r>
    </w:p>
    <w:p w14:paraId="2D7F6FD6" w14:textId="07A50D62" w:rsidR="00076320" w:rsidRDefault="00076320" w:rsidP="00076320">
      <w:pPr>
        <w:jc w:val="both"/>
      </w:pPr>
      <w:r>
        <w:t>Corticosteroids should be considered first line treatment for acute TCMR given high probability of efficacy with low-moderate risk of toxicity with around 70-75% of acute TCMR IA and IB rejection episodes responsive to high dose corticosteroids</w:t>
      </w:r>
      <w:r>
        <w:rPr>
          <w:vertAlign w:val="superscript"/>
        </w:rPr>
        <w:t xml:space="preserve"> </w:t>
      </w:r>
      <w:r>
        <w:rPr>
          <w:vertAlign w:val="superscript"/>
        </w:rPr>
        <w:fldChar w:fldCharType="begin"/>
      </w:r>
      <w:r w:rsidR="006528EA">
        <w:rPr>
          <w:vertAlign w:val="superscript"/>
        </w:rPr>
        <w:instrText xml:space="preserve"> ADDIN ZOTERO_ITEM CSL_CITATION {"citationID":"jL6u2ZMi","properties":{"formattedCitation":"\\super 81,90\\nosupersub{}","plainCitation":"81,90","noteIndex":0},"citationItems":[{"id":18882,"uris":["http://zotero.org/users/3444308/items/6IMZDWMH"],"itemData":{"id":18882,"type":"article-journal","abstract":"Despite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A."}],"issued":{"date-parts":[["2023",7,27]]}}},{"id":18889,"uris":["http://zotero.org/users/3444308/items/SH4AZMK3"],"itemData":{"id":18889,"type":"article-journal","abstract":"BACKGROUND: Declining rates of acute rejection (AR) and the high rate of 1-year graft survival among patients with AR have prompted re-examination of AR as an outcome in the clinic and in trials. Yet AR and its treatment may directly or indirectly affect longer-term outcomes for kidney transplant recipients.\nMETHODS: To understand the long-term effect of AR on outcomes, we analyzed data from the Australia and New Zealand Dialysis and Transplant Registry, including 13,614 recipients of a primary kidney-only transplant between 1997 and 2017 with at least 6 months of graft function. The associations between AR within 6 months post-transplant and subsequent cause-specific graft loss and death were determined using Cox models adjusted for baseline donor, recipient, and transplant characteristics.\nRESULTS: AR occurred in 2906 recipients (21.4%) and was associated with graft loss attributed to chronic allograft nephropathy (hazard ratio [HR], 1.39; 95% confidence interval [95% CI], 1.23 to 1.56) and recurrent AR beyond month 6 (HR, 1.85; 95% CI, 1.39 to 2.46). Early AR was also associated with death with a functioning graft (HR, 1.22; 95% CI, 1.08 to 1.36), and with death due to cardiovascular disease (HR, 1.30; 95% CI, 1.11 to 1.53) and cancer (HR, 1.35; 95% CI, 1.12 to 1.64). Sensitivity analyses restricted to subgroups with either biopsy-proven, antibody-mediated, or vascular rejection, or stratified by treatment response produced similar results.\nCONCLUSIONS: AR is associated with increased risks of longer-term graft failure and death, particularly death from cardiovascular disease and cancer. The results suggest AR remains an important short-term outcome to monitor in kidney transplantation and clinical trials.","container-title":"Journal of the American Society of Nephrology: JASN","DOI":"10.1681/ASN.2018111101","ISSN":"1533-3450","issue":"9","journalAbbreviation":"J Am Soc Nephrol","language":"eng","note":"PMID: 31308074\nPMCID: PMC6727270","page":"1697-1707","source":"PubMed","title":"Long-Term Outcomes after Acute Rejection in Kidney Transplant Recipients: An ANZDATA Analysis","title-short":"Long-Term Outcomes after Acute Rejection in Kidney Transplant Recipients","volume":"30","author":[{"family":"Clayton","given":"Philip A."},{"family":"McDonald","given":"Stephen P."},{"family":"Russ","given":"Graeme R."},{"family":"Chadban","given":"Steven J."}],"issued":{"date-parts":[["2019",9]]}}}],"schema":"https://github.com/citation-style-language/schema/raw/master/csl-citation.json"}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81,90</w:t>
      </w:r>
      <w:r>
        <w:rPr>
          <w:vertAlign w:val="superscript"/>
        </w:rPr>
        <w:fldChar w:fldCharType="end"/>
      </w:r>
      <w:r>
        <w:t>.</w:t>
      </w:r>
    </w:p>
    <w:p w14:paraId="0CF22C4D" w14:textId="4D1859AD" w:rsidR="00076320" w:rsidRDefault="00076320" w:rsidP="00076320">
      <w:pPr>
        <w:jc w:val="both"/>
      </w:pPr>
      <w:r>
        <w:t>Optimal regime for steroids has not been determined and there is a lack of data comparing oral versus intravenous corticosteroid administration</w:t>
      </w:r>
      <w:r>
        <w:rPr>
          <w:vertAlign w:val="superscript"/>
        </w:rPr>
        <w:t xml:space="preserve"> </w:t>
      </w:r>
      <w:r>
        <w:rPr>
          <w:vertAlign w:val="superscript"/>
        </w:rPr>
        <w:fldChar w:fldCharType="begin"/>
      </w:r>
      <w:r w:rsidR="006528EA">
        <w:rPr>
          <w:vertAlign w:val="superscript"/>
        </w:rPr>
        <w:instrText xml:space="preserve"> ADDIN ZOTERO_ITEM CSL_CITATION {"citationID":"m4RiRlj2","properties":{"formattedCitation":"\\super 93\\nosupersub{}","plainCitation":"93","noteIndex":0},"citationItems":[{"id":18879,"uris":["http://zotero.org/users/3444308/items/DCEHF8YV"],"itemData":{"id":18879,"type":"article-journal","container-title":"The Lancet","DOI":"10.1016/S0140-6736(78)90417-8","ISSN":"01406736","issue":"8056","journalAbbreviation":"The Lancet","language":"en","license":"https://www.elsevier.com/tdm/userlicense/1.0/","page":"117-118","source":"DOI.org (Crossref)","title":"ORAL VERSUS INTRAVENOUS HIGH-DOSE STEROID TREATMENT OF RENAL ALLOGRAFT REJECTION","volume":"311","author":[{"family":"Gray","given":"D."},{"family":"Daar","given":"A."},{"family":"Shepherd","given":"H."},{"family":"Oliver","given":"D.O."},{"family":"Morris","given":"P.J."}],"issued":{"date-parts":[["1978",1]]}}}],"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93</w:t>
      </w:r>
      <w:r>
        <w:rPr>
          <w:vertAlign w:val="superscript"/>
        </w:rPr>
        <w:fldChar w:fldCharType="end"/>
      </w:r>
      <w:r>
        <w:rPr>
          <w:vertAlign w:val="superscript"/>
        </w:rPr>
        <w:t xml:space="preserve"> </w:t>
      </w:r>
      <w:r>
        <w:rPr>
          <w:color w:val="000000" w:themeColor="text1"/>
        </w:rPr>
        <w:t>but t</w:t>
      </w:r>
      <w:r>
        <w:t>ypically 500mg of intravenous (IV) methylprednisolone is administered daily for 3 days followed by an oral prednisolone taper</w:t>
      </w:r>
      <w:r>
        <w:rPr>
          <w:vertAlign w:val="superscript"/>
        </w:rPr>
        <w:t xml:space="preserve"> </w:t>
      </w:r>
      <w:r>
        <w:rPr>
          <w:vertAlign w:val="superscript"/>
        </w:rPr>
        <w:fldChar w:fldCharType="begin"/>
      </w:r>
      <w:r w:rsidR="006528EA">
        <w:rPr>
          <w:vertAlign w:val="superscript"/>
        </w:rPr>
        <w:instrText xml:space="preserve"> ADDIN ZOTERO_ITEM CSL_CITATION {"citationID":"AfH9JrU6","properties":{"formattedCitation":"\\super 90\\nosupersub{}","plainCitation":"90","noteIndex":0},"citationItems":[{"id":18882,"uris":["http://zotero.org/users/3444308/items/6IMZDWMH"],"itemData":{"id":18882,"type":"article-journal","abstract":"Despite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90</w:t>
      </w:r>
      <w:r>
        <w:rPr>
          <w:vertAlign w:val="superscript"/>
        </w:rPr>
        <w:fldChar w:fldCharType="end"/>
      </w:r>
      <w:r w:rsidRPr="00D353B8">
        <w:t xml:space="preserve">. </w:t>
      </w:r>
    </w:p>
    <w:p w14:paraId="419A4B5B" w14:textId="77777777" w:rsidR="00076320" w:rsidRPr="007F3139" w:rsidRDefault="00076320" w:rsidP="00076320">
      <w:pPr>
        <w:jc w:val="both"/>
      </w:pPr>
      <w:r w:rsidRPr="00113EF2">
        <w:t>Maintenance steroids should be added</w:t>
      </w:r>
      <w:r>
        <w:t xml:space="preserve"> </w:t>
      </w:r>
      <w:r w:rsidRPr="00113EF2">
        <w:t>in steroid-free patients undergoing acute rejection of any type, however, there is paucity of evidence around optimal dosing.</w:t>
      </w:r>
    </w:p>
    <w:p w14:paraId="5749C38A" w14:textId="250369B7" w:rsidR="00076320" w:rsidRPr="005A6E03" w:rsidRDefault="00076320" w:rsidP="00F10BCF">
      <w:pPr>
        <w:pStyle w:val="GuidelineHeadings"/>
      </w:pPr>
      <w:r>
        <w:t xml:space="preserve">Guideline 3.2.6 </w:t>
      </w:r>
      <w:r w:rsidRPr="00D24B56">
        <w:t>KTR</w:t>
      </w:r>
      <w:r w:rsidR="00932D5D">
        <w:t xml:space="preserve"> –</w:t>
      </w:r>
      <w:r w:rsidRPr="00D24B56">
        <w:t xml:space="preserve"> </w:t>
      </w:r>
      <w:r>
        <w:t>Treatment</w:t>
      </w:r>
      <w:r w:rsidRPr="00D24B56">
        <w:t xml:space="preserve"> of acute </w:t>
      </w:r>
      <w:r>
        <w:t xml:space="preserve">T cell mediated </w:t>
      </w:r>
      <w:r w:rsidRPr="00D24B56">
        <w:t>rejection</w:t>
      </w:r>
      <w:r>
        <w:t xml:space="preserve"> - </w:t>
      </w:r>
      <w:r w:rsidRPr="005A6E03">
        <w:t>T</w:t>
      </w:r>
      <w:r>
        <w:t>-cell Depleting Agents (T</w:t>
      </w:r>
      <w:r w:rsidRPr="005A6E03">
        <w:t>D</w:t>
      </w:r>
      <w:r>
        <w:t>A</w:t>
      </w:r>
      <w:r w:rsidRPr="005A6E03">
        <w:t>s</w:t>
      </w:r>
      <w:r>
        <w:t>)</w:t>
      </w:r>
    </w:p>
    <w:p w14:paraId="43DF6B09" w14:textId="2E8F1155" w:rsidR="00076320" w:rsidRDefault="00076320" w:rsidP="00076320">
      <w:pPr>
        <w:jc w:val="both"/>
        <w:rPr>
          <w:color w:val="000000" w:themeColor="text1"/>
        </w:rPr>
      </w:pPr>
      <w:r>
        <w:t>TDAs are shown to be more effective than corticosteroids alone in improving kidney function and preventing graft loss for first acute cellular rejection episodes</w:t>
      </w:r>
      <w:r>
        <w:rPr>
          <w:vertAlign w:val="superscript"/>
        </w:rPr>
        <w:t xml:space="preserve"> </w:t>
      </w:r>
      <w:r>
        <w:rPr>
          <w:vertAlign w:val="superscript"/>
        </w:rPr>
        <w:fldChar w:fldCharType="begin"/>
      </w:r>
      <w:r w:rsidR="006528EA">
        <w:rPr>
          <w:vertAlign w:val="superscript"/>
        </w:rPr>
        <w:instrText xml:space="preserve"> ADDIN ZOTERO_ITEM CSL_CITATION {"citationID":"L9HMiG8I","properties":{"formattedCitation":"\\super 94,95\\nosupersub{}","plainCitation":"94,95","noteIndex":0},"citationItems":[{"id":18878,"uris":["http://zotero.org/users/3444308/items/5D5S5WUS"],"itemData":{"id":18878,"type":"article-journal","abstract":"Anti-thymocyte globulin (ATG) is a pivotal immunosuppressive therapy utilized in the management of T-cell-mediated rejection and steroid-resistant rejection among renal transplant recipients. Commercially available as Thymoglobulin (rabbit-derived, Sanofi, United States), ATG-Fresenius S (rabbit-derived), and ATGAM (equine-derived, Pfizer, United States), these formulations share a common mechanism of action centered on their interaction with cell surface markers of immune cells, imparting immunosuppressive effects. Although the prevailing mechanism predominantly involves T-cell depletion via the com plement-mediated pathway, alternate mechanisms have been elucidated. Optimal dosing and treatment duration of ATG have exhibited variance across ran domised trials and clinical reports, rendering the establishment of standardized guidelines a challenge. The spectrum of risks associated with ATG administration spans from transient adverse effects such as fever, chills, and skin rash in the acute phase to long-term concerns related to immunosuppression, including susceptibility to infections and malignancies. This comprehensive review aims to provide a thorough exploration of the current understanding of ATG, encom passing its mechanism of action, clinical utility in the treatment of acute renal graft rejections, specifically steroid-resistant cases, efficacy in rejection episode reversal, and a synthesis of findings from different eras of maintenance immunosuppression. Additionally, it delves into the adverse effects associated with ATG therapy and its impact on long-term graft function. Furthermore, the review underscores the existing gaps in evidence, particularly in the context of the Banff classification of rejections, and highlights the challenges faced by clinicians when navigating the available literature to strike the optimal balance between the risks and benefits of ATG utilization in renal transplantation.","container-title":"World Journal of Transplantation","DOI":"10.5500/wjt.v13.i6.299","ISSN":"2220-3230","issue":"6","journalAbbreviation":"World J Transplant","language":"eng","note":"PMID: 38174145\nPMCID: PMC10758678","page":"299-308","source":"PubMed","title":"Anti-thymocyte globulin for treatment of T-cell-mediated allograft rejection","volume":"13","author":[{"family":"Acharya","given":"Sumit"},{"family":"Lama","given":"Suraj"},{"family":"Kanigicherla","given":"Durga Anil"}],"issued":{"date-parts":[["2023",12,18]]}}},{"id":18877,"uris":["http://zotero.org/users/3444308/items/7GRM4L63"],"itemData":{"id":18877,"type":"article-journal","abstract":"BACKGROUND: Registry data shows that the incidence of acute rejection has been steadily falling. Approximately 10% to 35% of kidney recipients will undergo treatment for at least one episode of acute rejection within the first post-transplant year. Treatment options include pulsed steroid therapy, the use of an antibody preparation, the alteration of background immunosuppression, or combinations of these options. Over recent years, new treatment strategies have evolved, and in many parts of the world there has been an increase in use of tacrolimus and mycophenolate and a reduction in the use of cyclosporin and azathioprine use as baseline immunosuppression to prevent acute rejection. There are also global variations in use of polyclonal and monoclonal antibodies to treat acute rejection. This is an update of a review published in 2006.\nOBJECTIVES: The aim of this systematic review was to: (1) to evaluate the relative and absolute effects of different classes of antibody preparation in preventing graft loss and resolving cellular or humoral rejection episodes when used as a treatment for first episode of rejection in kidney transplant recipients; (2) evaluate the relative and absolute effects of different classes of antibody preparation in preventing graft loss and resolving cellular or humoral rejection episodes when used as a treatment for steroid-resistant rejection in kidney transplant recipients; (3) determine how the benefits and adverse events vary for each type of antibody preparation; and (4) determine how the benefits and harms vary for different formulations of antibody within each type.\nSEARCH METHODS: We searched the Cochrane Kidney and Transplant Specialised Register to 18 April 2017 through contact with the Information Specialist using search terms relevant to this review.\nSELECTION CRITERIA: Randomised controlled trials (RCTs) in all languages comparing all mono- and polyclonal antibody preparations, given in combination with any other immunosuppressive agents, for the treatment of cellular or humoral graft rejection, when compared to any other treatment for acute rejection were eligible for inclusion.\nDATA COLLECTION AND ANALYSIS: Two authors independently assessed the risk of bias of the included studies and extracted data. Statistical analyses were performed using a random-effects model and results expressed as risk ratio (RR) or mean difference (MD) with 95% confidence intervals (CI).\nMAIN RESULTS: We included 11 new studies (18 reports, 346 participants) in this update, bring the total number of included studies to 31 (76 reports, 1680 participants). Studies were generally small, incompletely reported, especially for potential harms, and did not define outcome measures adequately. The risk of bias was inadequate or unclear risk for random sequence generation (81%), allocation concealment (87%) and other bias (87%). There were, however, a predominance of low risk of bias for blinding (75%) and incomplete outcome data (80%) across all the studies. Selective reporting had a mixture of low (58%), high (29%), and unclear (13%) risk of bias.Seventeen studies (1005 participants) compared therapies for first acute cellular rejection episodes. Antibody therapy was probably better than steroid in reversing acute cellular rejection (RR 0.50, 95% CI 0.30 to 0.82; moderate certainty) and preventing subsequent rejection (RR 0.70, 95% CI 0.50 to 0.99; moderate certainty), may be better for preventing graft loss (death censored: (RR 0.80, 95% CI 0.57 to 1.12; low certainty) but there was little or no difference in death at one year. Adverse effects of treatment (including fever, chills and malaise following drug administration) were probably reduced with steroid therapy (RR 23.88, 95% CI 5.10 to 111.86; I2 = 16%; moderate certainty).Twelve studies (576 patients) investigated antibody treatment for steroid-resistant rejection. There was little or no benefit of muromonab-CD3 over ATG or ALG in reversing rejection, preventing subsequent rejection, or preventing graft loss or death. Two studies compared the use of rituximab for treatment of acute humoral rejection (58 patients). Muromonab-CD3 treated patients suffered three times more than those receiving either ATG or T10B9, from a syndrome of fever, chills and malaise following drug administration (RR 3.12, 95% CI 1.87 to 5.21; I2 = 31%), and experienced more neurological side effects (RR 13.10 95% CI 1.43 to 120.05; I2 = 36%) (low certainty evidence).There was no evidence of additional benefit from rituximab in terms of either reversal of rejection (RR 0.94, 95% CI 0.54 to 1.64), or graft loss or death 12 months (RR 1.0, 95% CI 0.23 to 4.35). Rituximab plus steroids probably increases the risk of urinary tract infection/pyelonephritis (RR 5.73, 95% CI 1.80 to 18.21).\nAUTHORS' CONCLUSIONS: In reversing first acute cellular rejection and preventing graft loss, any antibody is probably better than steroid, but there is little or no difference in subsequent rejection and patient survival. In reversing steroid-resistant rejection there was little or no difference between different antibodies over a period of 12 months, with limited data beyond that time frame. In treating acute humoral rejection, there was no evidence that the use of antibody therapy conferred additional benefit in terms of reversal of rejection, or death or graft loss.Although this is an updated review, the majority of newer included studies provide additional evidence from the cyclosporin/azathioprine era of kidney transplantation and therefore conclusions cannot necessarily be extrapolated to patients treated with more contemporary immunosuppressive regimens which include tacrolimus/mycophenolate or sirolimus. However, many kidney transplant centres around the world continue to use older immunosuppressive regimes and the findings of this review remain strongly relevant to their clinical practice.Larger studies with standardised reproducible outcome criteria are needed to investigate the outcomes and risks of antibody treatments for acute rejection in kidney transplant recipients receiving contemporary immunosuppressive regimes.","container-title":"The Cochrane Database of Systematic Reviews","DOI":"10.1002/14651858.CD004756.pub4","ISSN":"1469-493X","issue":"7","journalAbbreviation":"Cochrane Database Syst Rev","language":"eng","note":"PMID: 28731207\nPMCID: PMC6483358","page":"CD004756","source":"PubMed","title":"Polyclonal and monoclonal antibodies for treating acute rejection episodes in kidney transplant recipients","volume":"7","author":[{"family":"Webster","given":"Angela C."},{"family":"Wu","given":"Sunny"},{"family":"Tallapragada","given":"Krishna"},{"family":"Park","given":"Min Young"},{"family":"Chapman","given":"Jeremy R."},{"family":"Carr","given":"Sue J."}],"issued":{"date-parts":[["2017",7,20]]}}}],"schema":"https://github.com/citation-style-language/schema/raw/master/csl-citation.json"}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94,95</w:t>
      </w:r>
      <w:r>
        <w:rPr>
          <w:vertAlign w:val="superscript"/>
        </w:rPr>
        <w:fldChar w:fldCharType="end"/>
      </w:r>
      <w:r>
        <w:t xml:space="preserve">. </w:t>
      </w:r>
      <w:proofErr w:type="gramStart"/>
      <w:r>
        <w:t>However</w:t>
      </w:r>
      <w:proofErr w:type="gramEnd"/>
      <w:r>
        <w:t xml:space="preserve"> </w:t>
      </w:r>
      <w:proofErr w:type="gramStart"/>
      <w:r>
        <w:t>the majority of</w:t>
      </w:r>
      <w:proofErr w:type="gramEnd"/>
      <w:r>
        <w:t xml:space="preserve"> this data is from single centre retrospective cohort studies published more than 20 years ago. </w:t>
      </w:r>
      <w:r w:rsidRPr="00484C92">
        <w:rPr>
          <w:color w:val="000000" w:themeColor="text1"/>
        </w:rPr>
        <w:t>Evidence is</w:t>
      </w:r>
      <w:r>
        <w:rPr>
          <w:color w:val="000000" w:themeColor="text1"/>
        </w:rPr>
        <w:t xml:space="preserve"> also</w:t>
      </w:r>
      <w:r w:rsidRPr="00484C92">
        <w:rPr>
          <w:color w:val="000000" w:themeColor="text1"/>
        </w:rPr>
        <w:t xml:space="preserve"> limited by changes in Banff classification, </w:t>
      </w:r>
      <w:r>
        <w:rPr>
          <w:color w:val="000000" w:themeColor="text1"/>
        </w:rPr>
        <w:t>and it is now considered that the majority of Banff class I lesions respond to corticosteroids, whereas TCMR involving lymphocytic infiltrate of vasculature (Banff class II and II) may be more responsive to TDAs</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{"citationID":"BHjo2iq3","properties":{"formattedCitation":"\\super 94\\nosupersub{}","plainCitation":"94","noteIndex":0},"citationItems":[{"id":18878,"uris":["http://zotero.org/users/3444308/items/5D5S5WUS"],"itemData":{"id":18878,"type":"article-journal","abstract":"Anti-thymocyte globulin (ATG) is a pivotal immunosuppressive therapy utilized in the management of T-cell-mediated rejection and steroid-resistant rejection among renal transplant recipients. Commercially available as Thymoglobulin (rabbit-derived, Sanofi, United States), ATG-Fresenius S (rabbit-derived), and ATGAM (equine-derived, Pfizer, United States), these formulations share a common mechanism of action centered on their interaction with cell surface markers of immune cells, imparting immunosuppressive effects. Although the prevailing mechanism predominantly involves T-cell depletion via the com plement-mediated pathway, alternate mechanisms have been elucidated. Optimal dosing and treatment duration of ATG have exhibited variance across ran domised trials and clinical reports, rendering the establishment of standardized guidelines a challenge. The spectrum of risks associated with ATG administration spans from transient adverse effects such as fever, chills, and skin rash in the acute phase to long-term concerns related to immunosuppression, including susceptibility to infections and malignancies. This comprehensive review aims to provide a thorough exploration of the current understanding of ATG, encom passing its mechanism of action, clinical utility in the treatment of acute renal graft rejections, specifically steroid-resistant cases, efficacy in rejection episode reversal, and a synthesis of findings from different eras of maintenance immunosuppression. Additionally, it delves into the adverse effects associated with ATG therapy and its impact on long-term graft function. Furthermore, the review underscores the existing gaps in evidence, particularly in the context of the Banff classification of rejections, and highlights the challenges faced by clinicians when navigating the available literature to strike the optimal balance between the risks and benefits of ATG utilization in renal transplantation.","container-title":"World Journal of Transplantation","DOI":"10.5500/wjt.v13.i6.299","ISSN":"2220-3230","issue":"6","journalAbbreviation":"World J Transplant","language":"eng","note":"PMID: 38174145\nPMCID: PMC10758678","page":"299-308","source":"PubMed","title":"Anti-thymocyte globulin for treatment of T-cell-mediated allograft rejection","volume":"13","author":[{"family":"Acharya","given":"Sumit"},{"family":"Lama","given":"Suraj"},{"family":"Kanigicherla","given":"Durga Anil"}],"issued":{"date-parts":[["2023",12,18]]}}}],"schema":"https://github.com/citation-style-language/schema/raw/master/csl-citation.json"}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94</w:t>
      </w:r>
      <w:r>
        <w:rPr>
          <w:color w:val="000000" w:themeColor="text1"/>
          <w:vertAlign w:val="superscript"/>
        </w:rPr>
        <w:fldChar w:fldCharType="end"/>
      </w:r>
      <w:r>
        <w:rPr>
          <w:color w:val="000000" w:themeColor="text1"/>
        </w:rPr>
        <w:t>.</w:t>
      </w:r>
    </w:p>
    <w:p w14:paraId="6D1A134E" w14:textId="3699CC18" w:rsidR="00076320" w:rsidRDefault="00076320" w:rsidP="00076320">
      <w:pPr>
        <w:jc w:val="both"/>
      </w:pPr>
      <w:r>
        <w:t xml:space="preserve">T-cell depleting agents </w:t>
      </w:r>
      <w:r>
        <w:rPr>
          <w:color w:val="000000" w:themeColor="text1"/>
        </w:rPr>
        <w:t>can be either monoclonal (alemtuzumab, OKT3) or polyclonal (thymoglobulin)</w:t>
      </w:r>
      <w:r>
        <w:t xml:space="preserve">. Older studies compared monoclonal TDAs (specifically Muromonab-CD3, OKT3) with polyclonal TDAs and results showed little or no benefit of monoclonal TDAs (predominantly OKT3) over polyclonal </w:t>
      </w:r>
      <w:proofErr w:type="spellStart"/>
      <w:r>
        <w:t>thymoglobublin</w:t>
      </w:r>
      <w:proofErr w:type="spellEnd"/>
      <w:r>
        <w:t>, but OKT3 is no longer commercially available. Instead, the only monoclonal T cell depleting agent, currently commercially available is anti CD52-specific monoclonal antibody; Alemtuzumab</w:t>
      </w:r>
      <w:r>
        <w:rPr>
          <w:vertAlign w:val="superscript"/>
        </w:rPr>
        <w:t xml:space="preserve"> </w:t>
      </w:r>
      <w:r>
        <w:rPr>
          <w:vertAlign w:val="superscript"/>
        </w:rPr>
        <w:fldChar w:fldCharType="begin"/>
      </w:r>
      <w:r w:rsidR="006528EA">
        <w:rPr>
          <w:vertAlign w:val="superscript"/>
        </w:rPr>
        <w:instrText xml:space="preserve"> ADDIN ZOTERO_ITEM CSL_CITATION {"citationID":"ETyOVgS4","properties":{"formattedCitation":"\\super 95\\nosupersub{}","plainCitation":"95","noteIndex":0},"citationItems":[{"id":18877,"uris":["http://zotero.org/users/3444308/items/7GRM4L63"],"itemData":{"id":18877,"type":"article-journal","abstract":"BACKGROUND: Registry data shows that the incidence of acute rejection has been steadily falling. Approximately 10% to 35% of kidney recipients will undergo treatment for at least one episode of acute rejection within the first post-transplant year. Treatment options include pulsed steroid therapy, the use of an antibody preparation, the alteration of background immunosuppression, or combinations of these options. Over recent years, new treatment strategies have evolved, and in many parts of the world there has been an increase in use of tacrolimus and mycophenolate and a reduction in the use of cyclosporin and azathioprine use as baseline immunosuppression to prevent acute rejection. There are also global variations in use of polyclonal and monoclonal antibodies to treat acute rejection. This is an update of a review published in 2006.\nOBJECTIVES: The aim of this systematic review was to: (1) to evaluate the relative and absolute effects of different classes of antibody preparation in preventing graft loss and resolving cellular or humoral rejection episodes when used as a treatment for first episode of rejection in kidney transplant recipients; (2) evaluate the relative and absolute effects of different classes of antibody preparation in preventing graft loss and resolving cellular or humoral rejection episodes when used as a treatment for steroid-resistant rejection in kidney transplant recipients; (3) determine how the benefits and adverse events vary for each type of antibody preparation; and (4) determine how the benefits and harms vary for different formulations of antibody within each type.\nSEARCH METHODS: We searched the Cochrane Kidney and Transplant Specialised Register to 18 April 2017 through contact with the Information Specialist using search terms relevant to this review.\nSELECTION CRITERIA: Randomised controlled trials (RCTs) in all languages comparing all mono- and polyclonal antibody preparations, given in combination with any other immunosuppressive agents, for the treatment of cellular or humoral graft rejection, when compared to any other treatment for acute rejection were eligible for inclusion.\nDATA COLLECTION AND ANALYSIS: Two authors independently assessed the risk of bias of the included studies and extracted data. Statistical analyses were performed using a random-effects model and results expressed as risk ratio (RR) or mean difference (MD) with 95% confidence intervals (CI).\nMAIN RESULTS: We included 11 new studies (18 reports, 346 participants) in this update, bring the total number of included studies to 31 (76 reports, 1680 participants). Studies were generally small, incompletely reported, especially for potential harms, and did not define outcome measures adequately. The risk of bias was inadequate or unclear risk for random sequence generation (81%), allocation concealment (87%) and other bias (87%). There were, however, a predominance of low risk of bias for blinding (75%) and incomplete outcome data (80%) across all the studies. Selective reporting had a mixture of low (58%), high (29%), and unclear (13%) risk of bias.Seventeen studies (1005 participants) compared therapies for first acute cellular rejection episodes. Antibody therapy was probably better than steroid in reversing acute cellular rejection (RR 0.50, 95% CI 0.30 to 0.82; moderate certainty) and preventing subsequent rejection (RR 0.70, 95% CI 0.50 to 0.99; moderate certainty), may be better for preventing graft loss (death censored: (RR 0.80, 95% CI 0.57 to 1.12; low certainty) but there was little or no difference in death at one year. Adverse effects of treatment (including fever, chills and malaise following drug administration) were probably reduced with steroid therapy (RR 23.88, 95% CI 5.10 to 111.86; I2 = 16%; moderate certainty).Twelve studies (576 patients) investigated antibody treatment for steroid-resistant rejection. There was little or no benefit of muromonab-CD3 over ATG or ALG in reversing rejection, preventing subsequent rejection, or preventing graft loss or death. Two studies compared the use of rituximab for treatment of acute humoral rejection (58 patients). Muromonab-CD3 treated patients suffered three times more than those receiving either ATG or T10B9, from a syndrome of fever, chills and malaise following drug administration (RR 3.12, 95% CI 1.87 to 5.21; I2 = 31%), and experienced more neurological side effects (RR 13.10 95% CI 1.43 to 120.05; I2 = 36%) (low certainty evidence).There was no evidence of additional benefit from rituximab in terms of either reversal of rejection (RR 0.94, 95% CI 0.54 to 1.64), or graft loss or death 12 months (RR 1.0, 95% CI 0.23 to 4.35). Rituximab plus steroids probably increases the risk of urinary tract infection/pyelonephritis (RR 5.73, 95% CI 1.80 to 18.21).\nAUTHORS' CONCLUSIONS: In reversing first acute cellular rejection and preventing graft loss, any antibody is probably better than steroid, but there is little or no difference in subsequent rejection and patient survival. In reversing steroid-resistant rejection there was little or no difference between different antibodies over a period of 12 months, with limited data beyond that time frame. In treating acute humoral rejection, there was no evidence that the use of antibody therapy conferred additional benefit in terms of reversal of rejection, or death or graft loss.Although this is an updated review, the majority of newer included studies provide additional evidence from the cyclosporin/azathioprine era of kidney transplantation and therefore conclusions cannot necessarily be extrapolated to patients treated with more contemporary immunosuppressive regimens which include tacrolimus/mycophenolate or sirolimus. However, many kidney transplant centres around the world continue to use older immunosuppressive regimes and the findings of this review remain strongly relevant to their clinical practice.Larger studies with standardised reproducible outcome criteria are needed to investigate the outcomes and risks of antibody treatments for acute rejection in kidney transplant recipients receiving contemporary immunosuppressive regimes.","container-title":"The Cochrane Database of Systematic Reviews","DOI":"10.1002/14651858.CD004756.pub4","ISSN":"1469-493X","issue":"7","journalAbbreviation":"Cochrane Database Syst Rev","language":"eng","note":"PMID: 28731207\nPMCID: PMC6483358","page":"CD004756","source":"PubMed","title":"Polyclonal and monoclonal antibodies for treating acute rejection episodes in kidney transplant recipients","volume":"7","author":[{"family":"Webster","given":"Angela C."},{"family":"Wu","given":"Sunny"},{"family":"Tallapragada","given":"Krishna"},{"family":"Park","given":"Min Young"},{"family":"Chapman","given":"Jeremy R."},{"family":"Carr","given":"Sue J."}],"issued":{"date-parts":[["2017",7,20]]}}}],"schema":"https://github.com/citation-style-language/schema/raw/master/csl-citation.json"}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95</w:t>
      </w:r>
      <w:r>
        <w:rPr>
          <w:vertAlign w:val="superscript"/>
        </w:rPr>
        <w:fldChar w:fldCharType="end"/>
      </w:r>
      <w:r>
        <w:t>.</w:t>
      </w:r>
    </w:p>
    <w:p w14:paraId="1C638BC7" w14:textId="37B4848A" w:rsidR="00076320" w:rsidRDefault="00076320" w:rsidP="00076320">
      <w:pPr>
        <w:jc w:val="both"/>
        <w:rPr>
          <w:color w:val="000000" w:themeColor="text1"/>
        </w:rPr>
      </w:pPr>
      <w:r>
        <w:rPr>
          <w:color w:val="000000" w:themeColor="text1"/>
        </w:rPr>
        <w:t xml:space="preserve">Five small case series’ with a combined cohort of 88 patients reported benefits of alemtuzumab for antibody mediated rejection, but only one compared alemtuzumab to </w:t>
      </w:r>
      <w:proofErr w:type="spellStart"/>
      <w:r>
        <w:rPr>
          <w:color w:val="000000" w:themeColor="text1"/>
        </w:rPr>
        <w:t>rATG</w:t>
      </w:r>
      <w:proofErr w:type="spellEnd"/>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{"citationID":"r9wrTQC1","properties":{"formattedCitation":"\\super 96\\nosupersub{}","plainCitation":"96","noteIndex":0},"citationItems":[{"id":19071,"uris":["http://zotero.org/users/3444308/items/Y9FW2QJ5"],"itemData":{"id":19071,"type":"article-journal","abstract":"Rabbit anti-thymocyte globulin (rATG) is currently the treatment of choice for glucocorticoid-resistant, recurrent, or severe acute allograft rejection (AR). However, rATG is associated with severe infusion-related side effects. Alemtuzumab is incidentally given to kidney transplant recipients as treatment for AR. In the current study, the outcomes of patients treated with alemtuzumab for AR were compared with that of patients treated with rATG for AR. The patient-, allograft-, and infection-free survival and adverse events of 116 alemtuzumab-treated patients were compared with those of 108 patients treated with rATG for AR. Propensity scores were used to control for differences between the two groups. Patient- and allograft survival of patients treated with either alemtuzumab or rATG were not different [hazard ratio (HR) 1.14, 95%-confidence interval (CI) 0.48-2.69, p = 0.77, and HR 0.82, 95%-CI 0.45-1.5, p = 0.52, respectively). Infection-free survival after alemtuzumab treatment was superior compared with that of rATG-treated patients (HR 0.41, 95%-CI 0.25-0.68, p &lt; 0.002). Infusion-related adverse events occurred less frequently after alemtuzumab treatment. Alemtuzumab therapy may therefore be an alternative therapy for glucocorticoid-resistant, recurrent, or severe acute kidney transplant rejection.","container-title":"Frontiers in Immunology","DOI":"10.3389/fimmu.2020.01332","ISSN":"1664-3224","journalAbbreviation":"Front Immunol","language":"eng","note":"PMID: 32719676\nPMCID: PMC7350932","page":"1332","source":"PubMed","title":"Comparison of Alemtuzumab and Anti-thymocyte Globulin Treatment for Acute Kidney Allograft Rejection","volume":"11","author":[{"family":"Zwan","given":"Marieke","non-dropping-particle":"van der"},{"family":"Clahsen-Van Groningen","given":"Marian C."},{"family":"Hoogen","given":"Martijn W. F.","non-dropping-particle":"van den"},{"family":"Kho","given":"Marcia M. L."},{"family":"Roodnat","given":"Joke I."},{"family":"Mauff","given":"Katya A. L."},{"family":"Roelen","given":"Dave L."},{"family":"Agteren","given":"Madelon","non-dropping-particle":"van"},{"family":"Baan","given":"Carla C."},{"family":"Hesselink","given":"Dennis A."}],"issued":{"date-parts":[["2020"]]}}}],"schema":"https://github.com/citation-style-language/schema/raw/master/csl-citation.json"}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96</w:t>
      </w:r>
      <w:r>
        <w:rPr>
          <w:color w:val="000000" w:themeColor="text1"/>
          <w:vertAlign w:val="superscript"/>
        </w:rPr>
        <w:fldChar w:fldCharType="end"/>
      </w:r>
      <w:r>
        <w:rPr>
          <w:color w:val="000000" w:themeColor="text1"/>
        </w:rPr>
        <w:t xml:space="preserve">. </w:t>
      </w:r>
    </w:p>
    <w:p w14:paraId="31F60F43" w14:textId="7F2EB221" w:rsidR="00076320" w:rsidRDefault="00076320" w:rsidP="00076320">
      <w:pPr>
        <w:jc w:val="both"/>
        <w:rPr>
          <w:color w:val="000000" w:themeColor="text1"/>
        </w:rPr>
      </w:pPr>
      <w:r w:rsidRPr="00A061CC">
        <w:rPr>
          <w:color w:val="000000" w:themeColor="text1"/>
        </w:rPr>
        <w:t xml:space="preserve">A </w:t>
      </w:r>
      <w:r>
        <w:rPr>
          <w:color w:val="000000" w:themeColor="text1"/>
        </w:rPr>
        <w:t xml:space="preserve">2020 Dutch retrospective analysis of two cohorts (n=224), using propensity scores to control for baseline differences, examined outcomes between 2002 to 2012 following treatment for glucocorticoid-resistant, recurrent or severe acute TCMR (Banff </w:t>
      </w:r>
      <w:proofErr w:type="spellStart"/>
      <w:r>
        <w:rPr>
          <w:color w:val="000000" w:themeColor="text1"/>
        </w:rPr>
        <w:t>IIa</w:t>
      </w:r>
      <w:proofErr w:type="spellEnd"/>
      <w:r>
        <w:rPr>
          <w:color w:val="000000" w:themeColor="text1"/>
        </w:rPr>
        <w:t xml:space="preserve"> or higher) and compared those who received </w:t>
      </w:r>
      <w:r w:rsidRPr="00A061CC">
        <w:rPr>
          <w:color w:val="000000" w:themeColor="text1"/>
        </w:rPr>
        <w:t xml:space="preserve">alemtuzumab </w:t>
      </w:r>
      <w:r>
        <w:rPr>
          <w:color w:val="000000" w:themeColor="text1"/>
        </w:rPr>
        <w:t xml:space="preserve">with those who received </w:t>
      </w:r>
      <w:proofErr w:type="spellStart"/>
      <w:r>
        <w:rPr>
          <w:color w:val="000000" w:themeColor="text1"/>
        </w:rPr>
        <w:t>r</w:t>
      </w:r>
      <w:r w:rsidRPr="00A061CC">
        <w:rPr>
          <w:color w:val="000000" w:themeColor="text1"/>
        </w:rPr>
        <w:t>ATG</w:t>
      </w:r>
      <w:proofErr w:type="spellEnd"/>
      <w:r>
        <w:rPr>
          <w:color w:val="000000" w:themeColor="text1"/>
        </w:rPr>
        <w:t xml:space="preserve"> </w:t>
      </w:r>
      <w:r>
        <w:rPr>
          <w:color w:val="000000" w:themeColor="text1"/>
        </w:rPr>
        <w:fldChar w:fldCharType="begin"/>
      </w:r>
      <w:r w:rsidR="006528EA">
        <w:rPr>
          <w:color w:val="000000" w:themeColor="text1"/>
        </w:rPr>
        <w:instrText xml:space="preserve"> ADDIN ZOTERO_ITEM CSL_CITATION {"citationID":"s6y0Pe4e","properties":{"formattedCitation":"\\super 97\\nosupersub{}","plainCitation":"97","noteIndex":0},"citationItems":[{"id":19070,"uris":["http://zotero.org/users/3444308/items/KGMYCB37"],"itemData":{"id":19070,"type":"article-journal","abstract":"Alemtuzumab is used as lymphocyte-depleting therapy for severe or glucocorticoid-resistant kidney transplant rejection. However, the long-term efficacy and toxicity of alemtuzumab therapy are unclear. Therefore, all cases of alemtuzumab anti-rejection therapy between 2012 and 2022 in our institution were investigated. Graft survival, graft function, lymphocyte depletion, serious infections, malignancies, and patient survival were analyzed and compared with a reference cohort of transplanted patients who did not require alemtuzumab anti-rejection therapy. A total of 225 patients treated with alemtuzumab were identified and compared with a reference cohort of 1,668 patients. Over 60% of grafts was salvaged with alemtuzumab therapy, but graft survival was significantly poorer compared to the reference cohort. The median time of profound T- and B lymphocyte depletion was 272 and 344 days, respectively. Serious infection rate after alemtuzumab therapy was 54.1/100 person-years. The risk of death (hazard ratio 1.75, 95%-CI 1.28–2.39) and infection-related death (hazard ratio 2.36, 95%-CI 1.35–4.11) were higher in the alemtuzumab-treated cohort. In conclusion, alemtuzumab is an effective treatment for severe kidney transplant rejection, but causes long-lasting lymphocyte depletion and is associated with frequent infections and worse patient survival outcomes.","container-title":"Transplant International","DOI":"10.3389/ti.2023.11834","ISSN":"1432-2277","journalAbbreviation":"Transpl Int","page":"11834","source":"DOI.org (Crossref)","title":"A Decade of Experience With Alemtuzumab Therapy for Severe or Glucocorticoid-Resistant Kidney Transplant Rejection","volume":"36","author":[{"family":"Van Vugt","given":"Lukas K."},{"family":"Van Der Zwan","given":"Marieke"},{"family":"Clahsen-van Groningen","given":"Marian C."},{"family":"Van Agteren","given":"Madelon"},{"family":"Hullegie-Peelen","given":"Daphne M."},{"family":"De Winter","given":"Brenda C. M."},{"family":"Reinders","given":"Marlies E. J."},{"family":"Miranda Afonso","given":"Pedro"},{"family":"Hesselink","given":"Dennis A."}],"issued":{"date-parts":[["2023",11,7]]}}}],"schema":"https://github.com/citation-style-language/schema/raw/master/csl-citation.json"} </w:instrText>
      </w:r>
      <w:r>
        <w:rPr>
          <w:color w:val="000000" w:themeColor="text1"/>
        </w:rPr>
        <w:fldChar w:fldCharType="separate"/>
      </w:r>
      <w:r w:rsidR="00A04B9C" w:rsidRPr="00A04B9C">
        <w:rPr>
          <w:rFonts w:ascii="Calibri" w:hAnsi="Calibri" w:cs="Calibri"/>
          <w:vertAlign w:val="superscript"/>
        </w:rPr>
        <w:t>97</w:t>
      </w:r>
      <w:r>
        <w:rPr>
          <w:color w:val="000000" w:themeColor="text1"/>
        </w:rPr>
        <w:fldChar w:fldCharType="end"/>
      </w:r>
      <w:r>
        <w:rPr>
          <w:color w:val="000000" w:themeColor="text1"/>
        </w:rPr>
        <w:t xml:space="preserve">. </w:t>
      </w:r>
    </w:p>
    <w:p w14:paraId="47B43922" w14:textId="19BDC162" w:rsidR="00076320" w:rsidRDefault="00076320" w:rsidP="00076320">
      <w:pPr>
        <w:jc w:val="both"/>
        <w:rPr>
          <w:rFonts w:cstheme="minorHAnsi"/>
          <w:color w:val="282828"/>
          <w:shd w:val="clear" w:color="auto" w:fill="F7F7F7"/>
        </w:rPr>
      </w:pPr>
      <w:r>
        <w:lastRenderedPageBreak/>
        <w:t xml:space="preserve">Patient and allograft survival of patients treated with either alemtuzumab or </w:t>
      </w:r>
      <w:proofErr w:type="spellStart"/>
      <w:r>
        <w:t>rATG</w:t>
      </w:r>
      <w:proofErr w:type="spellEnd"/>
      <w:r>
        <w:t xml:space="preserve"> were not different [HR 1.14, 95% CI 0.48–2.69, p = 0.77, and HR 0.82, 95% CI 0.45–1.5, p = 0.52, respectively)</w:t>
      </w:r>
      <w:r>
        <w:rPr>
          <w:vertAlign w:val="superscript"/>
        </w:rPr>
        <w:t xml:space="preserve"> </w:t>
      </w:r>
      <w:r>
        <w:rPr>
          <w:vertAlign w:val="superscript"/>
        </w:rPr>
        <w:fldChar w:fldCharType="begin"/>
      </w:r>
      <w:r w:rsidR="006528EA">
        <w:rPr>
          <w:vertAlign w:val="superscript"/>
        </w:rPr>
        <w:instrText xml:space="preserve"> ADDIN ZOTERO_ITEM CSL_CITATION {"citationID":"8UKwWaeY","properties":{"formattedCitation":"\\super 96\\nosupersub{}","plainCitation":"96","noteIndex":0},"citationItems":[{"id":19071,"uris":["http://zotero.org/users/3444308/items/Y9FW2QJ5"],"itemData":{"id":19071,"type":"article-journal","abstract":"Rabbit anti-thymocyte globulin (rATG) is currently the treatment of choice for glucocorticoid-resistant, recurrent, or severe acute allograft rejection (AR). However, rATG is associated with severe infusion-related side effects. Alemtuzumab is incidentally given to kidney transplant recipients as treatment for AR. In the current study, the outcomes of patients treated with alemtuzumab for AR were compared with that of patients treated with rATG for AR. The patient-, allograft-, and infection-free survival and adverse events of 116 alemtuzumab-treated patients were compared with those of 108 patients treated with rATG for AR. Propensity scores were used to control for differences between the two groups. Patient- and allograft survival of patients treated with either alemtuzumab or rATG were not different [hazard ratio (HR) 1.14, 95%-confidence interval (CI) 0.48-2.69, p = 0.77, and HR 0.82, 95%-CI 0.45-1.5, p = 0.52, respectively). Infection-free survival after alemtuzumab treatment was superior compared with that of rATG-treated patients (HR 0.41, 95%-CI 0.25-0.68, p &lt; 0.002). Infusion-related adverse events occurred less frequently after alemtuzumab treatment. Alemtuzumab therapy may therefore be an alternative therapy for glucocorticoid-resistant, recurrent, or severe acute kidney transplant rejection.","container-title":"Frontiers in Immunology","DOI":"10.3389/fimmu.2020.01332","ISSN":"1664-3224","journalAbbreviation":"Front Immunol","language":"eng","note":"PMID: 32719676\nPMCID: PMC7350932","page":"1332","source":"PubMed","title":"Comparison of Alemtuzumab and Anti-thymocyte Globulin Treatment for Acute Kidney Allograft Rejection","volume":"11","author":[{"family":"Zwan","given":"Marieke","non-dropping-particle":"van der"},{"family":"Clahsen-Van Groningen","given":"Marian C."},{"family":"Hoogen","given":"Martijn W. F.","non-dropping-particle":"van den"},{"family":"Kho","given":"Marcia M. L."},{"family":"Roodnat","given":"Joke I."},{"family":"Mauff","given":"Katya A. L."},{"family":"Roelen","given":"Dave L."},{"family":"Agteren","given":"Madelon","non-dropping-particle":"van"},{"family":"Baan","given":"Carla C."},{"family":"Hesselink","given":"Dennis A."}],"issued":{"date-parts":[["2020"]]}}}],"schema":"https://github.com/citation-style-language/schema/raw/master/csl-citation.json"}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96</w:t>
      </w:r>
      <w:r>
        <w:rPr>
          <w:vertAlign w:val="superscript"/>
        </w:rPr>
        <w:fldChar w:fldCharType="end"/>
      </w:r>
      <w:r>
        <w:t xml:space="preserve">. Furthermore, infection-free survival after alemtuzumab treatment was similar compared with that of </w:t>
      </w:r>
      <w:proofErr w:type="spellStart"/>
      <w:r>
        <w:t>rATG</w:t>
      </w:r>
      <w:proofErr w:type="spellEnd"/>
      <w:r>
        <w:t xml:space="preserve"> treated patients (HR 0.41, 95% CI 0.25–0.68, p &lt; 0.002). </w:t>
      </w:r>
      <w:r w:rsidRPr="00F841C9">
        <w:t xml:space="preserve">CMV reactivation occurred in 25 patients treated with alemtuzumab, compared to 27 patients in the </w:t>
      </w:r>
      <w:proofErr w:type="spellStart"/>
      <w:r w:rsidRPr="00F841C9">
        <w:t>rATG</w:t>
      </w:r>
      <w:proofErr w:type="spellEnd"/>
      <w:r w:rsidRPr="00F841C9">
        <w:t xml:space="preserve"> group (p = 0.10). In both the alemtuzumab- and </w:t>
      </w:r>
      <w:proofErr w:type="spellStart"/>
      <w:r w:rsidRPr="00F841C9">
        <w:t>rATG</w:t>
      </w:r>
      <w:proofErr w:type="spellEnd"/>
      <w:r w:rsidRPr="00F841C9">
        <w:t>-treated groups, two patients experienced a primary CMV infection (p = 0.50).</w:t>
      </w:r>
    </w:p>
    <w:p w14:paraId="6800A53E" w14:textId="77777777" w:rsidR="00076320" w:rsidRDefault="00076320" w:rsidP="00076320">
      <w:pPr>
        <w:jc w:val="both"/>
      </w:pPr>
      <w:r>
        <w:t xml:space="preserve">Dosing of </w:t>
      </w:r>
      <w:proofErr w:type="spellStart"/>
      <w:r>
        <w:t>rATG</w:t>
      </w:r>
      <w:proofErr w:type="spellEnd"/>
      <w:r>
        <w:t xml:space="preserve"> was different to the standard practise described below where patients received a single dose of 4mg/kg (actual body weight) which may account for some of the infusion related adverse events. </w:t>
      </w:r>
    </w:p>
    <w:p w14:paraId="7BD017D5" w14:textId="505F65C0" w:rsidR="00076320" w:rsidRDefault="00076320" w:rsidP="00076320">
      <w:pPr>
        <w:jc w:val="both"/>
        <w:rPr>
          <w:color w:val="000000" w:themeColor="text1"/>
        </w:rPr>
      </w:pPr>
      <w:r>
        <w:rPr>
          <w:color w:val="000000" w:themeColor="text1"/>
        </w:rPr>
        <w:t>This</w:t>
      </w:r>
      <w:r w:rsidRPr="00A061CC">
        <w:rPr>
          <w:color w:val="000000" w:themeColor="text1"/>
        </w:rPr>
        <w:t xml:space="preserve"> </w:t>
      </w:r>
      <w:r>
        <w:rPr>
          <w:color w:val="000000" w:themeColor="text1"/>
        </w:rPr>
        <w:t>study suggested that a</w:t>
      </w:r>
      <w:r w:rsidRPr="00A061CC">
        <w:rPr>
          <w:color w:val="000000" w:themeColor="text1"/>
        </w:rPr>
        <w:t>lemtuzumab offers advantages in terms of cost-effectiveness,</w:t>
      </w:r>
      <w:r>
        <w:rPr>
          <w:color w:val="000000" w:themeColor="text1"/>
        </w:rPr>
        <w:t xml:space="preserve"> reduced</w:t>
      </w:r>
      <w:r w:rsidRPr="00A061CC">
        <w:rPr>
          <w:color w:val="000000" w:themeColor="text1"/>
        </w:rPr>
        <w:t xml:space="preserve"> infusion reaction</w:t>
      </w:r>
      <w:r>
        <w:rPr>
          <w:color w:val="000000" w:themeColor="text1"/>
        </w:rPr>
        <w:t xml:space="preserve">s and </w:t>
      </w:r>
      <w:r w:rsidRPr="00A061CC">
        <w:rPr>
          <w:color w:val="000000" w:themeColor="text1"/>
        </w:rPr>
        <w:t>shorter length of stay</w:t>
      </w:r>
      <w:r>
        <w:rPr>
          <w:color w:val="000000" w:themeColor="text1"/>
        </w:rPr>
        <w:t xml:space="preserve"> (median 3 days with alemtuzumab versus 15 with </w:t>
      </w:r>
      <w:proofErr w:type="spellStart"/>
      <w:r>
        <w:rPr>
          <w:color w:val="000000" w:themeColor="text1"/>
        </w:rPr>
        <w:t>rATG</w:t>
      </w:r>
      <w:proofErr w:type="spellEnd"/>
      <w:r>
        <w:rPr>
          <w:color w:val="000000" w:themeColor="text1"/>
        </w:rPr>
        <w:t>)</w:t>
      </w:r>
      <w:r w:rsidRPr="00A061CC">
        <w:rPr>
          <w:color w:val="000000" w:themeColor="text1"/>
        </w:rPr>
        <w:t xml:space="preserve"> </w:t>
      </w:r>
      <w:r>
        <w:rPr>
          <w:color w:val="000000" w:themeColor="text1"/>
        </w:rPr>
        <w:t>along with administration via subcutaneous route rather than intravenous injection</w:t>
      </w:r>
      <w:r w:rsidRPr="00A061CC">
        <w:rPr>
          <w:color w:val="000000" w:themeColor="text1"/>
        </w:rPr>
        <w:t xml:space="preserve">. </w:t>
      </w:r>
      <w:r>
        <w:rPr>
          <w:color w:val="000000" w:themeColor="text1"/>
        </w:rPr>
        <w:t>However, standard induction therapy changed during the retrospective period which limits the translation to practise</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{"citationID":"JreM9y2M","properties":{"formattedCitation":"\\super 96\\nosupersub{}","plainCitation":"96","noteIndex":0},"citationItems":[{"id":19071,"uris":["http://zotero.org/users/3444308/items/Y9FW2QJ5"],"itemData":{"id":19071,"type":"article-journal","abstract":"Rabbit anti-thymocyte globulin (rATG) is currently the treatment of choice for glucocorticoid-resistant, recurrent, or severe acute allograft rejection (AR). However, rATG is associated with severe infusion-related side effects. Alemtuzumab is incidentally given to kidney transplant recipients as treatment for AR. In the current study, the outcomes of patients treated with alemtuzumab for AR were compared with that of patients treated with rATG for AR. The patient-, allograft-, and infection-free survival and adverse events of 116 alemtuzumab-treated patients were compared with those of 108 patients treated with rATG for AR. Propensity scores were used to control for differences between the two groups. Patient- and allograft survival of patients treated with either alemtuzumab or rATG were not different [hazard ratio (HR) 1.14, 95%-confidence interval (CI) 0.48-2.69, p = 0.77, and HR 0.82, 95%-CI 0.45-1.5, p = 0.52, respectively). Infection-free survival after alemtuzumab treatment was superior compared with that of rATG-treated patients (HR 0.41, 95%-CI 0.25-0.68, p &lt; 0.002). Infusion-related adverse events occurred less frequently after alemtuzumab treatment. Alemtuzumab therapy may therefore be an alternative therapy for glucocorticoid-resistant, recurrent, or severe acute kidney transplant rejection.","container-title":"Frontiers in Immunology","DOI":"10.3389/fimmu.2020.01332","ISSN":"1664-3224","journalAbbreviation":"Front Immunol","language":"eng","note":"PMID: 32719676\nPMCID: PMC7350932","page":"1332","source":"PubMed","title":"Comparison of Alemtuzumab and Anti-thymocyte Globulin Treatment for Acute Kidney Allograft Rejection","volume":"11","author":[{"family":"Zwan","given":"Marieke","non-dropping-particle":"van der"},{"family":"Clahsen-Van Groningen","given":"Marian C."},{"family":"Hoogen","given":"Martijn W. F.","non-dropping-particle":"van den"},{"family":"Kho","given":"Marcia M. L."},{"family":"Roodnat","given":"Joke I."},{"family":"Mauff","given":"Katya A. L."},{"family":"Roelen","given":"Dave L."},{"family":"Agteren","given":"Madelon","non-dropping-particle":"van"},{"family":"Baan","given":"Carla C."},{"family":"Hesselink","given":"Dennis A."}],"issued":{"date-parts":[["2020"]]}}}],"schema":"https://github.com/citation-style-language/schema/raw/master/csl-citation.json"}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96</w:t>
      </w:r>
      <w:r>
        <w:rPr>
          <w:color w:val="000000" w:themeColor="text1"/>
          <w:vertAlign w:val="superscript"/>
        </w:rPr>
        <w:fldChar w:fldCharType="end"/>
      </w:r>
      <w:r>
        <w:rPr>
          <w:color w:val="000000" w:themeColor="text1"/>
        </w:rPr>
        <w:t xml:space="preserve">.  </w:t>
      </w:r>
    </w:p>
    <w:p w14:paraId="792F3E30" w14:textId="205DDE1E" w:rsidR="00076320" w:rsidRDefault="00076320" w:rsidP="00076320">
      <w:pPr>
        <w:jc w:val="both"/>
        <w:rPr>
          <w:color w:val="000000" w:themeColor="text1"/>
        </w:rPr>
      </w:pPr>
      <w:r>
        <w:rPr>
          <w:color w:val="000000" w:themeColor="text1"/>
        </w:rPr>
        <w:t xml:space="preserve">A follow up study by the same group looking at patient outcomes from 2012 to 2022 included 225 patients treated with alemtuzumab for rejection and determined that </w:t>
      </w:r>
      <w:r>
        <w:t>alemtuzumab remains an effective treatment for severe kidney transplant rejection</w:t>
      </w:r>
      <w:r>
        <w:rPr>
          <w:vertAlign w:val="superscript"/>
        </w:rPr>
        <w:t xml:space="preserve"> </w:t>
      </w:r>
      <w:r>
        <w:rPr>
          <w:vertAlign w:val="superscript"/>
        </w:rPr>
        <w:fldChar w:fldCharType="begin"/>
      </w:r>
      <w:r w:rsidR="006528EA">
        <w:rPr>
          <w:vertAlign w:val="superscript"/>
        </w:rPr>
        <w:instrText xml:space="preserve"> ADDIN ZOTERO_ITEM CSL_CITATION {"citationID":"Wwr5XusD","properties":{"formattedCitation":"\\super 97\\nosupersub{}","plainCitation":"97","noteIndex":0},"citationItems":[{"id":19070,"uris":["http://zotero.org/users/3444308/items/KGMYCB37"],"itemData":{"id":19070,"type":"article-journal","abstract":"Alemtuzumab is used as lymphocyte-depleting therapy for severe or glucocorticoid-resistant kidney transplant rejection. However, the long-term efficacy and toxicity of alemtuzumab therapy are unclear. Therefore, all cases of alemtuzumab anti-rejection therapy between 2012 and 2022 in our institution were investigated. Graft survival, graft function, lymphocyte depletion, serious infections, malignancies, and patient survival were analyzed and compared with a reference cohort of transplanted patients who did not require alemtuzumab anti-rejection therapy. A total of 225 patients treated with alemtuzumab were identified and compared with a reference cohort of 1,668 patients. Over 60% of grafts was salvaged with alemtuzumab therapy, but graft survival was significantly poorer compared to the reference cohort. The median time of profound T- and B lymphocyte depletion was 272 and 344 days, respectively. Serious infection rate after alemtuzumab therapy was 54.1/100 person-years. The risk of death (hazard ratio 1.75, 95%-CI 1.28–2.39) and infection-related death (hazard ratio 2.36, 95%-CI 1.35–4.11) were higher in the alemtuzumab-treated cohort. In conclusion, alemtuzumab is an effective treatment for severe kidney transplant rejection, but causes long-lasting lymphocyte depletion and is associated with frequent infections and worse patient survival outcomes.","container-title":"Transplant International","DOI":"10.3389/ti.2023.11834","ISSN":"1432-2277","journalAbbreviation":"Transpl Int","page":"11834","source":"DOI.org (Crossref)","title":"A Decade of Experience With Alemtuzumab Therapy for Severe or Glucocorticoid-Resistant Kidney Transplant Rejection","volume":"36","author":[{"family":"Van Vugt","given":"Lukas K."},{"family":"Van Der Zwan","given":"Marieke"},{"family":"Clahsen-van Groningen","given":"Marian C."},{"family":"Van Agteren","given":"Madelon"},{"family":"Hullegie-Peelen","given":"Daphne M."},{"family":"De Winter","given":"Brenda C. M."},{"family":"Reinders","given":"Marlies E. J."},{"family":"Miranda Afonso","given":"Pedro"},{"family":"Hesselink","given":"Dennis A."}],"issued":{"date-parts":[["2023",11,7]]}}}],"schema":"https://github.com/citation-style-language/schema/raw/master/csl-citation.json"}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97</w:t>
      </w:r>
      <w:r>
        <w:rPr>
          <w:vertAlign w:val="superscript"/>
        </w:rPr>
        <w:fldChar w:fldCharType="end"/>
      </w:r>
      <w:r>
        <w:t xml:space="preserve">. However, they found it is associated with long lasting lymphocyte depletion (272 days for T cells and 344 days for B cells) which translated to frequent infections, (including CMV and EBV) and worse patient survival outcomes. 18.7% of alemtuzumab treated patients subsequently developed malignancies compared to a malignancy rate of 19.6% in the reference group (which included patients not undergoing rejection) but the patient groups were not equal in size. This study did not compare alemtuzumab with </w:t>
      </w:r>
      <w:proofErr w:type="spellStart"/>
      <w:r>
        <w:t>rATG</w:t>
      </w:r>
      <w:proofErr w:type="spellEnd"/>
      <w:r>
        <w:t xml:space="preserve"> and was focussed on the </w:t>
      </w:r>
      <w:proofErr w:type="gramStart"/>
      <w:r>
        <w:t>longer term</w:t>
      </w:r>
      <w:proofErr w:type="gramEnd"/>
      <w:r>
        <w:t xml:space="preserve"> outcomes post alemtuzumab treatment. </w:t>
      </w:r>
    </w:p>
    <w:p w14:paraId="2471A25D" w14:textId="2EADA273" w:rsidR="00076320" w:rsidRDefault="00076320" w:rsidP="00076320">
      <w:pPr>
        <w:jc w:val="both"/>
      </w:pPr>
      <w:r>
        <w:t>Thymoglobulin is a multimodal polyclonal T cell depleting agent, predominantly targeting T cell antigens. The complement-dependent T cell lysis in the intravascular compartment (i.e. blood) and the phagocytosis of T cells by macrophages in peripheral and secondary lymph nodes are regarded as the primary mechanisms of action of thymoglobulin</w:t>
      </w:r>
      <w:r>
        <w:rPr>
          <w:vertAlign w:val="superscript"/>
        </w:rPr>
        <w:t xml:space="preserve"> </w:t>
      </w:r>
      <w:r>
        <w:rPr>
          <w:vertAlign w:val="superscript"/>
        </w:rPr>
        <w:fldChar w:fldCharType="begin"/>
      </w:r>
      <w:r w:rsidR="006528EA">
        <w:rPr>
          <w:vertAlign w:val="superscript"/>
        </w:rPr>
        <w:instrText xml:space="preserve"> ADDIN ZOTERO_ITEM CSL_CITATION {"citationID":"lvi9MPOI","properties":{"formattedCitation":"\\super 94\\nosupersub{}","plainCitation":"94","noteIndex":0},"citationItems":[{"id":18878,"uris":["http://zotero.org/users/3444308/items/5D5S5WUS"],"itemData":{"id":18878,"type":"article-journal","abstract":"Anti-thymocyte globulin (ATG) is a pivotal immunosuppressive therapy utilized in the management of T-cell-mediated rejection and steroid-resistant rejection among renal transplant recipients. Commercially available as Thymoglobulin (rabbit-derived, Sanofi, United States), ATG-Fresenius S (rabbit-derived), and ATGAM (equine-derived, Pfizer, United States), these formulations share a common mechanism of action centered on their interaction with cell surface markers of immune cells, imparting immunosuppressive effects. Although the prevailing mechanism predominantly involves T-cell depletion via the com plement-mediated pathway, alternate mechanisms have been elucidated. Optimal dosing and treatment duration of ATG have exhibited variance across ran domised trials and clinical reports, rendering the establishment of standardized guidelines a challenge. The spectrum of risks associated with ATG administration spans from transient adverse effects such as fever, chills, and skin rash in the acute phase to long-term concerns related to immunosuppression, including susceptibility to infections and malignancies. This comprehensive review aims to provide a thorough exploration of the current understanding of ATG, encom passing its mechanism of action, clinical utility in the treatment of acute renal graft rejections, specifically steroid-resistant cases, efficacy in rejection episode reversal, and a synthesis of findings from different eras of maintenance immunosuppression. Additionally, it delves into the adverse effects associated with ATG therapy and its impact on long-term graft function. Furthermore, the review underscores the existing gaps in evidence, particularly in the context of the Banff classification of rejections, and highlights the challenges faced by clinicians when navigating the available literature to strike the optimal balance between the risks and benefits of ATG utilization in renal transplantation.","container-title":"World Journal of Transplantation","DOI":"10.5500/wjt.v13.i6.299","ISSN":"2220-3230","issue":"6","journalAbbreviation":"World J Transplant","language":"eng","note":"PMID: 38174145\nPMCID: PMC10758678","page":"299-308","source":"PubMed","title":"Anti-thymocyte globulin for treatment of T-cell-mediated allograft rejection","volume":"13","author":[{"family":"Acharya","given":"Sumit"},{"family":"Lama","given":"Suraj"},{"family":"Kanigicherla","given":"Durga Anil"}],"issued":{"date-parts":[["2023",12,18]]}}}],"schema":"https://github.com/citation-style-language/schema/raw/master/csl-citation.json"}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94</w:t>
      </w:r>
      <w:r>
        <w:rPr>
          <w:vertAlign w:val="superscript"/>
        </w:rPr>
        <w:fldChar w:fldCharType="end"/>
      </w:r>
      <w:r>
        <w:t>.</w:t>
      </w:r>
    </w:p>
    <w:p w14:paraId="366E850E" w14:textId="0A3D5418" w:rsidR="00076320" w:rsidRDefault="00076320" w:rsidP="00076320">
      <w:pPr>
        <w:jc w:val="both"/>
      </w:pPr>
      <w:r>
        <w:t xml:space="preserve">A Cochrane systematic review of 31 RCTs demonstrated better outcomes for any TDA over corticosteroids in reversing acute cellular rejection (RR 0.50, 95% CI 0.30 to 0.82) and reduced graft loss (RR 0.80, 95% CI 0.57 to 1.12) but found little or no difference in preventing subsequent rejection (RR 0.70, 95% CI 0.50 to 0.99) and patient death at one year </w:t>
      </w:r>
      <w:r>
        <w:fldChar w:fldCharType="begin"/>
      </w:r>
      <w:r w:rsidR="006528EA">
        <w:instrText xml:space="preserve"> ADDIN ZOTERO_ITEM CSL_CITATION {"citationID":"HjcL0YuK","properties":{"formattedCitation":"\\super 95\\nosupersub{}","plainCitation":"95","noteIndex":0},"citationItems":[{"id":18877,"uris":["http://zotero.org/users/3444308/items/7GRM4L63"],"itemData":{"id":18877,"type":"article-journal","abstract":"BACKGROUND: Registry data shows that the incidence of acute rejection has been steadily falling. Approximately 10% to 35% of kidney recipients will undergo treatment for at least one episode of acute rejection within the first post-transplant year. Treatment options include pulsed steroid therapy, the use of an antibody preparation, the alteration of background immunosuppression, or combinations of these options. Over recent years, new treatment strategies have evolved, and in many parts of the world there has been an increase in use of tacrolimus and mycophenolate and a reduction in the use of cyclosporin and azathioprine use as baseline immunosuppression to prevent acute rejection. There are also global variations in use of polyclonal and monoclonal antibodies to treat acute rejection. This is an update of a review published in 2006.\nOBJECTIVES: The aim of this systematic review was to: (1) to evaluate the relative and absolute effects of different classes of antibody preparation in preventing graft loss and resolving cellular or humoral rejection episodes when used as a treatment for first episode of rejection in kidney transplant recipients; (2) evaluate the relative and absolute effects of different classes of antibody preparation in preventing graft loss and resolving cellular or humoral rejection episodes when used as a treatment for steroid-resistant rejection in kidney transplant recipients; (3) determine how the benefits and adverse events vary for each type of antibody preparation; and (4) determine how the benefits and harms vary for different formulations of antibody within each type.\nSEARCH METHODS: We searched the Cochrane Kidney and Transplant Specialised Register to 18 April 2017 through contact with the Information Specialist using search terms relevant to this review.\nSELECTION CRITERIA: Randomised controlled trials (RCTs) in all languages comparing all mono- and polyclonal antibody preparations, given in combination with any other immunosuppressive agents, for the treatment of cellular or humoral graft rejection, when compared to any other treatment for acute rejection were eligible for inclusion.\nDATA COLLECTION AND ANALYSIS: Two authors independently assessed the risk of bias of the included studies and extracted data. Statistical analyses were performed using a random-effects model and results expressed as risk ratio (RR) or mean difference (MD) with 95% confidence intervals (CI).\nMAIN RESULTS: We included 11 new studies (18 reports, 346 participants) in this update, bring the total number of included studies to 31 (76 reports, 1680 participants). Studies were generally small, incompletely reported, especially for potential harms, and did not define outcome measures adequately. The risk of bias was inadequate or unclear risk for random sequence generation (81%), allocation concealment (87%) and other bias (87%). There were, however, a predominance of low risk of bias for blinding (75%) and incomplete outcome data (80%) across all the studies. Selective reporting had a mixture of low (58%), high (29%), and unclear (13%) risk of bias.Seventeen studies (1005 participants) compared therapies for first acute cellular rejection episodes. Antibody therapy was probably better than steroid in reversing acute cellular rejection (RR 0.50, 95% CI 0.30 to 0.82; moderate certainty) and preventing subsequent rejection (RR 0.70, 95% CI 0.50 to 0.99; moderate certainty), may be better for preventing graft loss (death censored: (RR 0.80, 95% CI 0.57 to 1.12; low certainty) but there was little or no difference in death at one year. Adverse effects of treatment (including fever, chills and malaise following drug administration) were probably reduced with steroid therapy (RR 23.88, 95% CI 5.10 to 111.86; I2 = 16%; moderate certainty).Twelve studies (576 patients) investigated antibody treatment for steroid-resistant rejection. There was little or no benefit of muromonab-CD3 over ATG or ALG in reversing rejection, preventing subsequent rejection, or preventing graft loss or death. Two studies compared the use of rituximab for treatment of acute humoral rejection (58 patients). Muromonab-CD3 treated patients suffered three times more than those receiving either ATG or T10B9, from a syndrome of fever, chills and malaise following drug administration (RR 3.12, 95% CI 1.87 to 5.21; I2 = 31%), and experienced more neurological side effects (RR 13.10 95% CI 1.43 to 120.05; I2 = 36%) (low certainty evidence).There was no evidence of additional benefit from rituximab in terms of either reversal of rejection (RR 0.94, 95% CI 0.54 to 1.64), or graft loss or death 12 months (RR 1.0, 95% CI 0.23 to 4.35). Rituximab plus steroids probably increases the risk of urinary tract infection/pyelonephritis (RR 5.73, 95% CI 1.80 to 18.21).\nAUTHORS' CONCLUSIONS: In reversing first acute cellular rejection and preventing graft loss, any antibody is probably better than steroid, but there is little or no difference in subsequent rejection and patient survival. In reversing steroid-resistant rejection there was little or no difference between different antibodies over a period of 12 months, with limited data beyond that time frame. In treating acute humoral rejection, there was no evidence that the use of antibody therapy conferred additional benefit in terms of reversal of rejection, or death or graft loss.Although this is an updated review, the majority of newer included studies provide additional evidence from the cyclosporin/azathioprine era of kidney transplantation and therefore conclusions cannot necessarily be extrapolated to patients treated with more contemporary immunosuppressive regimens which include tacrolimus/mycophenolate or sirolimus. However, many kidney transplant centres around the world continue to use older immunosuppressive regimes and the findings of this review remain strongly relevant to their clinical practice.Larger studies with standardised reproducible outcome criteria are needed to investigate the outcomes and risks of antibody treatments for acute rejection in kidney transplant recipients receiving contemporary immunosuppressive regimes.","container-title":"The Cochrane Database of Systematic Reviews","DOI":"10.1002/14651858.CD004756.pub4","ISSN":"1469-493X","issue":"7","journalAbbreviation":"Cochrane Database Syst Rev","language":"eng","note":"PMID: 28731207\nPMCID: PMC6483358","page":"CD004756","source":"PubMed","title":"Polyclonal and monoclonal antibodies for treating acute rejection episodes in kidney transplant recipients","volume":"7","author":[{"family":"Webster","given":"Angela C."},{"family":"Wu","given":"Sunny"},{"family":"Tallapragada","given":"Krishna"},{"family":"Park","given":"Min Young"},{"family":"Chapman","given":"Jeremy R."},{"family":"Carr","given":"Sue J."}],"issued":{"date-parts":[["2017",7,20]]}}}],"schema":"https://github.com/citation-style-language/schema/raw/master/csl-citation.json"} </w:instrText>
      </w:r>
      <w:r>
        <w:fldChar w:fldCharType="separate"/>
      </w:r>
      <w:r w:rsidR="00A04B9C" w:rsidRPr="00A04B9C">
        <w:rPr>
          <w:rFonts w:ascii="Calibri" w:hAnsi="Calibri" w:cs="Calibri"/>
          <w:vertAlign w:val="superscript"/>
        </w:rPr>
        <w:t>95</w:t>
      </w:r>
      <w:r>
        <w:fldChar w:fldCharType="end"/>
      </w:r>
      <w:r>
        <w:t xml:space="preserve">. TDAs </w:t>
      </w:r>
      <w:proofErr w:type="gramStart"/>
      <w:r>
        <w:t>increase</w:t>
      </w:r>
      <w:proofErr w:type="gramEnd"/>
      <w:r>
        <w:t xml:space="preserve"> risk of post treatment infections (including cytomegalovirus disease) and increase incidence of infusion reactions compared to corticosteroids. </w:t>
      </w:r>
    </w:p>
    <w:p w14:paraId="48F33790" w14:textId="77777777" w:rsidR="00076320" w:rsidRDefault="00076320" w:rsidP="00076320">
      <w:pPr>
        <w:jc w:val="both"/>
      </w:pPr>
      <w:r>
        <w:t>There are two thymoglobulin preparations available in the UK; rabbit-derived (</w:t>
      </w:r>
      <w:proofErr w:type="spellStart"/>
      <w:r>
        <w:t>rATG</w:t>
      </w:r>
      <w:proofErr w:type="spellEnd"/>
      <w:r>
        <w:t>; Thymoglobulin) and equine-derived (</w:t>
      </w:r>
      <w:proofErr w:type="spellStart"/>
      <w:r>
        <w:t>eATG</w:t>
      </w:r>
      <w:proofErr w:type="spellEnd"/>
      <w:r>
        <w:t xml:space="preserve">; ATGAM)  </w:t>
      </w:r>
    </w:p>
    <w:p w14:paraId="35A7621C" w14:textId="77777777" w:rsidR="00076320" w:rsidRDefault="00076320" w:rsidP="00076320">
      <w:pPr>
        <w:jc w:val="both"/>
      </w:pPr>
      <w:r>
        <w:lastRenderedPageBreak/>
        <w:t xml:space="preserve">Therapeutic dosing is usually guided by lymphocyte levels, aiming to maintain lymphocytes &lt;0.2 although peripheral CD3 counts can also be used to monitor response. Thrombocytopenia is a common adverse effect. </w:t>
      </w:r>
    </w:p>
    <w:p w14:paraId="716B9AFE" w14:textId="736408B2" w:rsidR="00076320" w:rsidRDefault="00076320" w:rsidP="00076320">
      <w:pPr>
        <w:jc w:val="both"/>
      </w:pPr>
      <w:r w:rsidRPr="00FF64CC">
        <w:rPr>
          <w:color w:val="000000" w:themeColor="text1"/>
        </w:rPr>
        <w:t xml:space="preserve">The optimal </w:t>
      </w:r>
      <w:r>
        <w:rPr>
          <w:color w:val="000000" w:themeColor="text1"/>
        </w:rPr>
        <w:t xml:space="preserve">ATG </w:t>
      </w:r>
      <w:r w:rsidRPr="00FF64CC">
        <w:rPr>
          <w:color w:val="000000" w:themeColor="text1"/>
        </w:rPr>
        <w:t>dosing schedule</w:t>
      </w:r>
      <w:r>
        <w:rPr>
          <w:color w:val="000000" w:themeColor="text1"/>
        </w:rPr>
        <w:t xml:space="preserve"> to achieve lymphocyte depletion in both peripheral blood and secondary lymphoid tissues (spleen and lymph nodes) </w:t>
      </w:r>
      <w:r w:rsidRPr="00FF64CC">
        <w:rPr>
          <w:color w:val="000000" w:themeColor="text1"/>
        </w:rPr>
        <w:t xml:space="preserve">has yet to be determined but </w:t>
      </w:r>
      <w:r>
        <w:t>thymoglobulin is typically dosed at 1-1.5mg/kg per dose for 7-14 doses</w:t>
      </w:r>
      <w:r>
        <w:rPr>
          <w:vertAlign w:val="superscript"/>
        </w:rPr>
        <w:t xml:space="preserve"> </w:t>
      </w:r>
      <w:r>
        <w:rPr>
          <w:vertAlign w:val="superscript"/>
        </w:rPr>
        <w:fldChar w:fldCharType="begin"/>
      </w:r>
      <w:r w:rsidR="006528EA">
        <w:rPr>
          <w:vertAlign w:val="superscript"/>
        </w:rPr>
        <w:instrText xml:space="preserve"> ADDIN ZOTERO_ITEM CSL_CITATION {"citationID":"R9oj3cUX","properties":{"formattedCitation":"\\super 20\\nosupersub{}","plainCitation":"20","noteIndex":0},"citationItems":[{"id":18949,"uris":["http://zotero.org/users/3444308/items/R57XARWN"],"itemData":{"id":18949,"type":"article-journal","abstract":"We previously reported a randomized controlled trial in which 227 de novo deceased-donor kidney transplant recipients were randomized to rabbit antithymocyte (rATG, Thymoglobulin) or daclizumab if they were considered to be at high immunological risk, defined as high panel reactive antibodies (PRA), loss of a first kidney graft through rejection within 2 years of transplantation, or third or fourth transplantation. Patients treated with rATG had lower incidences of biopsy-proven acute rejection (BPAR) and steroid-resistant rejection at 1 year. Patients were followed to 5 years posttransplant in an observational study; findings are described here. Treatment with rATG was associated with a lower rate of BPAR at 5 years (14.2% vs. 26.0% with daclizumab; p = 0.035). Only one rATG-treated patient (0.9%) and one daclizumab-treated patient (1.0%) developed BPAR after 1 year. Five-year graft and patient survival rates, and renal function, were similar between the two groups. Overall graft survival at 5 years was significantly higher in patients without BPAR (81.0% vs. 54.8%; p &lt; 0.001). In conclusion, rATG is superior to daclizumab for the prevention of BPAR among high-immunological-risk renal transplant recipients. Overall graft survival at 5 years was approximately 70% with either induction therapy, which compares favorably to low-risk cohorts.","container-title":"American Journal of Transplantation: Official Journal of the American Society of Transplantation and the American Society of Transplant Surgeons","DOI":"10.1111/ajt.13191","ISSN":"1600-6143","issue":"7","journalAbbreviation":"Am J Transplant","language":"eng","note":"PMID: 25707875","page":"1923-1932","source":"PubMed","title":"Daclizumab Versus Rabbit Antithymocyte Globulin in High-Risk Renal Transplants: Five-Year Follow-up of a Randomized Study","title-short":"Daclizumab Versus Rabbit Antithymocyte Globulin in High-Risk Renal Transplants","volume":"15","author":[{"family":"Hellemans","given":"R."},{"family":"Hazzan","given":"M."},{"family":"Durand","given":"D."},{"family":"Mourad","given":"G."},{"family":"Lang","given":"P."},{"family":"Kessler","given":"M."},{"family":"Charpentier","given":"B."},{"family":"Touchard","given":"G."},{"family":"Berthoux","given":"F."},{"family":"Merville","given":"P."},{"family":"Ouali","given":"N."},{"family":"Squifflet","given":"J.-P."},{"family":"Bayle","given":"F."},{"family":"Wissing","given":"K. M."},{"family":"Noël","given":"C."},{"family":"Abramowicz","given":"D."}],"issued":{"date-parts":[["2015",7]]}}}],"schema":"https://github.com/citation-style-language/schema/raw/master/csl-citation.json"}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20</w:t>
      </w:r>
      <w:r>
        <w:rPr>
          <w:vertAlign w:val="superscript"/>
        </w:rPr>
        <w:fldChar w:fldCharType="end"/>
      </w:r>
      <w:r>
        <w:rPr>
          <w:color w:val="000000" w:themeColor="text1"/>
        </w:rPr>
        <w:t xml:space="preserve"> and is associated with reversal of both TCMR and </w:t>
      </w:r>
      <w:proofErr w:type="spellStart"/>
      <w:r>
        <w:rPr>
          <w:color w:val="000000" w:themeColor="text1"/>
        </w:rPr>
        <w:t>aAMR</w:t>
      </w:r>
      <w:proofErr w:type="spellEnd"/>
      <w:r>
        <w:rPr>
          <w:color w:val="000000" w:themeColor="text1"/>
        </w:rPr>
        <w:t xml:space="preserve"> in 50-90% of patients</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{"citationID":"iOwurEih","properties":{"formattedCitation":"\\super 94\\nosupersub{}","plainCitation":"94","noteIndex":0},"citationItems":[{"id":18878,"uris":["http://zotero.org/users/3444308/items/5D5S5WUS"],"itemData":{"id":18878,"type":"article-journal","abstract":"Anti-thymocyte globulin (ATG) is a pivotal immunosuppressive therapy utilized in the management of T-cell-mediated rejection and steroid-resistant rejection among renal transplant recipients. Commercially available as Thymoglobulin (rabbit-derived, Sanofi, United States), ATG-Fresenius S (rabbit-derived), and ATGAM (equine-derived, Pfizer, United States), these formulations share a common mechanism of action centered on their interaction with cell surface markers of immune cells, imparting immunosuppressive effects. Although the prevailing mechanism predominantly involves T-cell depletion via the com plement-mediated pathway, alternate mechanisms have been elucidated. Optimal dosing and treatment duration of ATG have exhibited variance across ran domised trials and clinical reports, rendering the establishment of standardized guidelines a challenge. The spectrum of risks associated with ATG administration spans from transient adverse effects such as fever, chills, and skin rash in the acute phase to long-term concerns related to immunosuppression, including susceptibility to infections and malignancies. This comprehensive review aims to provide a thorough exploration of the current understanding of ATG, encom passing its mechanism of action, clinical utility in the treatment of acute renal graft rejections, specifically steroid-resistant cases, efficacy in rejection episode reversal, and a synthesis of findings from different eras of maintenance immunosuppression. Additionally, it delves into the adverse effects associated with ATG therapy and its impact on long-term graft function. Furthermore, the review underscores the existing gaps in evidence, particularly in the context of the Banff classification of rejections, and highlights the challenges faced by clinicians when navigating the available literature to strike the optimal balance between the risks and benefits of ATG utilization in renal transplantation.","container-title":"World Journal of Transplantation","DOI":"10.5500/wjt.v13.i6.299","ISSN":"2220-3230","issue":"6","journalAbbreviation":"World J Transplant","language":"eng","note":"PMID: 38174145\nPMCID: PMC10758678","page":"299-308","source":"PubMed","title":"Anti-thymocyte globulin for treatment of T-cell-mediated allograft rejection","volume":"13","author":[{"family":"Acharya","given":"Sumit"},{"family":"Lama","given":"Suraj"},{"family":"Kanigicherla","given":"Durga Anil"}],"issued":{"date-parts":[["2023",12,18]]}}}],"schema":"https://github.com/citation-style-language/schema/raw/master/csl-citation.json"}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94</w:t>
      </w:r>
      <w:r>
        <w:rPr>
          <w:color w:val="000000" w:themeColor="text1"/>
          <w:vertAlign w:val="superscript"/>
        </w:rPr>
        <w:fldChar w:fldCharType="end"/>
      </w:r>
      <w:r>
        <w:rPr>
          <w:color w:val="000000" w:themeColor="text1"/>
        </w:rPr>
        <w:t>.</w:t>
      </w:r>
      <w:r>
        <w:t xml:space="preserve"> </w:t>
      </w:r>
    </w:p>
    <w:p w14:paraId="482605C6" w14:textId="7A43A064" w:rsidR="00076320" w:rsidRPr="00201259" w:rsidRDefault="00076320" w:rsidP="00076320">
      <w:pPr>
        <w:jc w:val="both"/>
      </w:pPr>
      <w:r w:rsidRPr="002B6CCA">
        <w:t xml:space="preserve">There is a </w:t>
      </w:r>
      <w:r>
        <w:t xml:space="preserve">theoretical </w:t>
      </w:r>
      <w:r w:rsidRPr="002B6CCA">
        <w:t>risk of developing anti-ATG antibodies and subsequently reducing, or negating therapeutic potency, but impact</w:t>
      </w:r>
      <w:r>
        <w:t xml:space="preserve"> of this</w:t>
      </w:r>
      <w:r w:rsidRPr="002B6CCA">
        <w:t xml:space="preserve"> to clinical practise remains to be established</w:t>
      </w:r>
      <w:r>
        <w:rPr>
          <w:vertAlign w:val="superscript"/>
        </w:rPr>
        <w:t xml:space="preserve"> </w:t>
      </w:r>
      <w:r>
        <w:rPr>
          <w:vertAlign w:val="superscript"/>
        </w:rPr>
        <w:fldChar w:fldCharType="begin"/>
      </w:r>
      <w:r w:rsidR="006528EA">
        <w:rPr>
          <w:vertAlign w:val="superscript"/>
        </w:rPr>
        <w:instrText xml:space="preserve"> ADDIN ZOTERO_ITEM CSL_CITATION {"citationID":"ZsCKoKyO","properties":{"formattedCitation":"\\super 94\\nosupersub{}","plainCitation":"94","noteIndex":0},"citationItems":[{"id":18878,"uris":["http://zotero.org/users/3444308/items/5D5S5WUS"],"itemData":{"id":18878,"type":"article-journal","abstract":"Anti-thymocyte globulin (ATG) is a pivotal immunosuppressive therapy utilized in the management of T-cell-mediated rejection and steroid-resistant rejection among renal transplant recipients. Commercially available as Thymoglobulin (rabbit-derived, Sanofi, United States), ATG-Fresenius S (rabbit-derived), and ATGAM (equine-derived, Pfizer, United States), these formulations share a common mechanism of action centered on their interaction with cell surface markers of immune cells, imparting immunosuppressive effects. Although the prevailing mechanism predominantly involves T-cell depletion via the com plement-mediated pathway, alternate mechanisms have been elucidated. Optimal dosing and treatment duration of ATG have exhibited variance across ran domised trials and clinical reports, rendering the establishment of standardized guidelines a challenge. The spectrum of risks associated with ATG administration spans from transient adverse effects such as fever, chills, and skin rash in the acute phase to long-term concerns related to immunosuppression, including susceptibility to infections and malignancies. This comprehensive review aims to provide a thorough exploration of the current understanding of ATG, encom passing its mechanism of action, clinical utility in the treatment of acute renal graft rejections, specifically steroid-resistant cases, efficacy in rejection episode reversal, and a synthesis of findings from different eras of maintenance immunosuppression. Additionally, it delves into the adverse effects associated with ATG therapy and its impact on long-term graft function. Furthermore, the review underscores the existing gaps in evidence, particularly in the context of the Banff classification of rejections, and highlights the challenges faced by clinicians when navigating the available literature to strike the optimal balance between the risks and benefits of ATG utilization in renal transplantation.","container-title":"World Journal of Transplantation","DOI":"10.5500/wjt.v13.i6.299","ISSN":"2220-3230","issue":"6","journalAbbreviation":"World J Transplant","language":"eng","note":"PMID: 38174145\nPMCID: PMC10758678","page":"299-308","source":"PubMed","title":"Anti-thymocyte globulin for treatment of T-cell-mediated allograft rejection","volume":"13","author":[{"family":"Acharya","given":"Sumit"},{"family":"Lama","given":"Suraj"},{"family":"Kanigicherla","given":"Durga Anil"}],"issued":{"date-parts":[["2023",12,18]]}}}],"schema":"https://github.com/citation-style-language/schema/raw/master/csl-citation.json"}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94</w:t>
      </w:r>
      <w:r>
        <w:rPr>
          <w:vertAlign w:val="superscript"/>
        </w:rPr>
        <w:fldChar w:fldCharType="end"/>
      </w:r>
      <w:r>
        <w:t>.</w:t>
      </w:r>
    </w:p>
    <w:p w14:paraId="75B84E60" w14:textId="1B7920DB" w:rsidR="00076320" w:rsidRDefault="00076320" w:rsidP="00076320">
      <w:pPr>
        <w:jc w:val="both"/>
      </w:pPr>
      <w:r w:rsidRPr="088F9918">
        <w:t xml:space="preserve">In patients who develop </w:t>
      </w:r>
      <w:proofErr w:type="spellStart"/>
      <w:r>
        <w:t>rATG</w:t>
      </w:r>
      <w:proofErr w:type="spellEnd"/>
      <w:r>
        <w:t xml:space="preserve"> </w:t>
      </w:r>
      <w:r w:rsidRPr="088F9918">
        <w:t xml:space="preserve">thymoglobulin antibodies, </w:t>
      </w:r>
      <w:proofErr w:type="spellStart"/>
      <w:r>
        <w:t>eATG</w:t>
      </w:r>
      <w:proofErr w:type="spellEnd"/>
      <w:r>
        <w:t xml:space="preserve"> (</w:t>
      </w:r>
      <w:r w:rsidRPr="088F9918">
        <w:t>ATGAM</w:t>
      </w:r>
      <w:r>
        <w:t>)</w:t>
      </w:r>
      <w:r w:rsidRPr="088F9918">
        <w:t xml:space="preserve"> can be used at a dose of 10-15mg/kg/day (dependent on lymphocyte count) for 14 days</w:t>
      </w:r>
      <w:r>
        <w:t xml:space="preserve">. </w:t>
      </w:r>
      <w:r w:rsidRPr="00126358">
        <w:t xml:space="preserve">However, the use of ATGAM is associated with significant side effects, including serum sickness and cytokine release, and it is less well tolerated than </w:t>
      </w:r>
      <w:proofErr w:type="spellStart"/>
      <w:r>
        <w:t>rATG</w:t>
      </w:r>
      <w:proofErr w:type="spellEnd"/>
      <w:r>
        <w:t xml:space="preserve"> </w:t>
      </w:r>
      <w:r w:rsidRPr="00126358">
        <w:t>thymoglobulin</w:t>
      </w:r>
      <w:r>
        <w:rPr>
          <w:vertAlign w:val="superscript"/>
        </w:rPr>
        <w:t xml:space="preserve"> </w:t>
      </w:r>
      <w:r>
        <w:rPr>
          <w:vertAlign w:val="superscript"/>
        </w:rPr>
        <w:fldChar w:fldCharType="begin"/>
      </w:r>
      <w:r w:rsidR="006528EA">
        <w:rPr>
          <w:vertAlign w:val="superscript"/>
        </w:rPr>
        <w:instrText xml:space="preserve"> ADDIN ZOTERO_ITEM CSL_CITATION {"citationID":"xOHD7OLl","properties":{"formattedCitation":"\\super 94\\nosupersub{}","plainCitation":"94","noteIndex":0},"citationItems":[{"id":18878,"uris":["http://zotero.org/users/3444308/items/5D5S5WUS"],"itemData":{"id":18878,"type":"article-journal","abstract":"Anti-thymocyte globulin (ATG) is a pivotal immunosuppressive therapy utilized in the management of T-cell-mediated rejection and steroid-resistant rejection among renal transplant recipients. Commercially available as Thymoglobulin (rabbit-derived, Sanofi, United States), ATG-Fresenius S (rabbit-derived), and ATGAM (equine-derived, Pfizer, United States), these formulations share a common mechanism of action centered on their interaction with cell surface markers of immune cells, imparting immunosuppressive effects. Although the prevailing mechanism predominantly involves T-cell depletion via the com plement-mediated pathway, alternate mechanisms have been elucidated. Optimal dosing and treatment duration of ATG have exhibited variance across ran domised trials and clinical reports, rendering the establishment of standardized guidelines a challenge. The spectrum of risks associated with ATG administration spans from transient adverse effects such as fever, chills, and skin rash in the acute phase to long-term concerns related to immunosuppression, including susceptibility to infections and malignancies. This comprehensive review aims to provide a thorough exploration of the current understanding of ATG, encom passing its mechanism of action, clinical utility in the treatment of acute renal graft rejections, specifically steroid-resistant cases, efficacy in rejection episode reversal, and a synthesis of findings from different eras of maintenance immunosuppression. Additionally, it delves into the adverse effects associated with ATG therapy and its impact on long-term graft function. Furthermore, the review underscores the existing gaps in evidence, particularly in the context of the Banff classification of rejections, and highlights the challenges faced by clinicians when navigating the available literature to strike the optimal balance between the risks and benefits of ATG utilization in renal transplantation.","container-title":"World Journal of Transplantation","DOI":"10.5500/wjt.v13.i6.299","ISSN":"2220-3230","issue":"6","journalAbbreviation":"World J Transplant","language":"eng","note":"PMID: 38174145\nPMCID: PMC10758678","page":"299-308","source":"PubMed","title":"Anti-thymocyte globulin for treatment of T-cell-mediated allograft rejection","volume":"13","author":[{"family":"Acharya","given":"Sumit"},{"family":"Lama","given":"Suraj"},{"family":"Kanigicherla","given":"Durga Anil"}],"issued":{"date-parts":[["2023",12,18]]}}}],"schema":"https://github.com/citation-style-language/schema/raw/master/csl-citation.json"}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94</w:t>
      </w:r>
      <w:r>
        <w:rPr>
          <w:vertAlign w:val="superscript"/>
        </w:rPr>
        <w:fldChar w:fldCharType="end"/>
      </w:r>
      <w:r w:rsidRPr="00126358">
        <w:t>.</w:t>
      </w:r>
    </w:p>
    <w:p w14:paraId="3AA3A3B9" w14:textId="14A26318" w:rsidR="00076320" w:rsidRPr="004924CB" w:rsidRDefault="00076320" w:rsidP="00076320">
      <w:pPr>
        <w:jc w:val="both"/>
        <w:rPr>
          <w:color w:val="000000" w:themeColor="text1"/>
        </w:rPr>
      </w:pPr>
      <w:r>
        <w:rPr>
          <w:color w:val="000000" w:themeColor="text1"/>
        </w:rPr>
        <w:t>Reported incidence of CMV disease or reactivation varies but is similar in those treated with monoclonal (38%) and polyclonal (49%) TDAs</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{"citationID":"Hq5ZP1iJ","properties":{"formattedCitation":"\\super 94,96\\nosupersub{}","plainCitation":"94,96","noteIndex":0},"citationItems":[{"id":18878,"uris":["http://zotero.org/users/3444308/items/5D5S5WUS"],"itemData":{"id":18878,"type":"article-journal","abstract":"Anti-thymocyte globulin (ATG) is a pivotal immunosuppressive therapy utilized in the management of T-cell-mediated rejection and steroid-resistant rejection among renal transplant recipients. Commercially available as Thymoglobulin (rabbit-derived, Sanofi, United States), ATG-Fresenius S (rabbit-derived), and ATGAM (equine-derived, Pfizer, United States), these formulations share a common mechanism of action centered on their interaction with cell surface markers of immune cells, imparting immunosuppressive effects. Although the prevailing mechanism predominantly involves T-cell depletion via the com plement-mediated pathway, alternate mechanisms have been elucidated. Optimal dosing and treatment duration of ATG have exhibited variance across ran domised trials and clinical reports, rendering the establishment of standardized guidelines a challenge. The spectrum of risks associated with ATG administration spans from transient adverse effects such as fever, chills, and skin rash in the acute phase to long-term concerns related to immunosuppression, including susceptibility to infections and malignancies. This comprehensive review aims to provide a thorough exploration of the current understanding of ATG, encom passing its mechanism of action, clinical utility in the treatment of acute renal graft rejections, specifically steroid-resistant cases, efficacy in rejection episode reversal, and a synthesis of findings from different eras of maintenance immunosuppression. Additionally, it delves into the adverse effects associated with ATG therapy and its impact on long-term graft function. Furthermore, the review underscores the existing gaps in evidence, particularly in the context of the Banff classification of rejections, and highlights the challenges faced by clinicians when navigating the available literature to strike the optimal balance between the risks and benefits of ATG utilization in renal transplantation.","container-title":"World Journal of Transplantation","DOI":"10.5500/wjt.v13.i6.299","ISSN":"2220-3230","issue":"6","journalAbbreviation":"World J Transplant","language":"eng","note":"PMID: 38174145\nPMCID: PMC10758678","page":"299-308","source":"PubMed","title":"Anti-thymocyte globulin for treatment of T-cell-mediated allograft rejection","volume":"13","author":[{"family":"Acharya","given":"Sumit"},{"family":"Lama","given":"Suraj"},{"family":"Kanigicherla","given":"Durga Anil"}],"issued":{"date-parts":[["2023",12,18]]}}},{"id":19071,"uris":["http://zotero.org/users/3444308/items/Y9FW2QJ5"],"itemData":{"id":19071,"type":"article-journal","abstract":"Rabbit anti-thymocyte globulin (rATG) is currently the treatment of choice for glucocorticoid-resistant, recurrent, or severe acute allograft rejection (AR). However, rATG is associated with severe infusion-related side effects. Alemtuzumab is incidentally given to kidney transplant recipients as treatment for AR. In the current study, the outcomes of patients treated with alemtuzumab for AR were compared with that of patients treated with rATG for AR. The patient-, allograft-, and infection-free survival and adverse events of 116 alemtuzumab-treated patients were compared with those of 108 patients treated with rATG for AR. Propensity scores were used to control for differences between the two groups. Patient- and allograft survival of patients treated with either alemtuzumab or rATG were not different [hazard ratio (HR) 1.14, 95%-confidence interval (CI) 0.48-2.69, p = 0.77, and HR 0.82, 95%-CI 0.45-1.5, p = 0.52, respectively). Infection-free survival after alemtuzumab treatment was superior compared with that of rATG-treated patients (HR 0.41, 95%-CI 0.25-0.68, p &lt; 0.002). Infusion-related adverse events occurred less frequently after alemtuzumab treatment. Alemtuzumab therapy may therefore be an alternative therapy for glucocorticoid-resistant, recurrent, or severe acute kidney transplant rejection.","container-title":"Frontiers in Immunology","DOI":"10.3389/fimmu.2020.01332","ISSN":"1664-3224","journalAbbreviation":"Front Immunol","language":"eng","note":"PMID: 32719676\nPMCID: PMC7350932","page":"1332","source":"PubMed","title":"Comparison of Alemtuzumab and Anti-thymocyte Globulin Treatment for Acute Kidney Allograft Rejection","volume":"11","author":[{"family":"Zwan","given":"Marieke","non-dropping-particle":"van der"},{"family":"Clahsen-Van Groningen","given":"Marian C."},{"family":"Hoogen","given":"Martijn W. F.","non-dropping-particle":"van den"},{"family":"Kho","given":"Marcia M. L."},{"family":"Roodnat","given":"Joke I."},{"family":"Mauff","given":"Katya A. L."},{"family":"Roelen","given":"Dave L."},{"family":"Agteren","given":"Madelon","non-dropping-particle":"van"},{"family":"Baan","given":"Carla C."},{"family":"Hesselink","given":"Dennis A."}],"issued":{"date-parts":[["2020"]]}}}],"schema":"https://github.com/citation-style-language/schema/raw/master/csl-citation.json"}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94,96</w:t>
      </w:r>
      <w:r>
        <w:rPr>
          <w:color w:val="000000" w:themeColor="text1"/>
          <w:vertAlign w:val="superscript"/>
        </w:rPr>
        <w:fldChar w:fldCharType="end"/>
      </w:r>
      <w:r>
        <w:rPr>
          <w:color w:val="000000" w:themeColor="text1"/>
        </w:rPr>
        <w:t xml:space="preserve"> and we recommend patients receiving TDA’s receive prophylaxis with valganciclovir according to unit protocols.</w:t>
      </w:r>
    </w:p>
    <w:p w14:paraId="32CCCAF2" w14:textId="43857665" w:rsidR="00076320" w:rsidRDefault="00076320" w:rsidP="00F10BCF">
      <w:pPr>
        <w:pStyle w:val="GuidelineHeadings"/>
      </w:pPr>
      <w:r>
        <w:t xml:space="preserve">Guideline 3.2.7 </w:t>
      </w:r>
      <w:r w:rsidRPr="00D24B56">
        <w:t>KTR</w:t>
      </w:r>
      <w:r w:rsidR="00932D5D">
        <w:t xml:space="preserve"> –</w:t>
      </w:r>
      <w:r w:rsidRPr="00D24B56">
        <w:t xml:space="preserve"> </w:t>
      </w:r>
      <w:r>
        <w:t>Treatment</w:t>
      </w:r>
      <w:r w:rsidRPr="00D24B56">
        <w:t xml:space="preserve"> of acute rejection</w:t>
      </w:r>
      <w:r>
        <w:t xml:space="preserve"> - </w:t>
      </w:r>
      <w:r>
        <w:rPr>
          <w:u w:val="single"/>
        </w:rPr>
        <w:t xml:space="preserve">Acute </w:t>
      </w:r>
      <w:r w:rsidRPr="00FC2818">
        <w:rPr>
          <w:u w:val="single"/>
        </w:rPr>
        <w:t>Antibody Mediated Rejection</w:t>
      </w:r>
      <w:r>
        <w:t xml:space="preserve"> </w:t>
      </w:r>
    </w:p>
    <w:p w14:paraId="75927E7A" w14:textId="77777777" w:rsidR="00076320" w:rsidRDefault="00076320" w:rsidP="00076320">
      <w:pPr>
        <w:jc w:val="both"/>
      </w:pPr>
      <w:r>
        <w:t>There is limited high quality evidence for effective treatments for acute Antibody Mediated Rejection (</w:t>
      </w:r>
      <w:proofErr w:type="spellStart"/>
      <w:r>
        <w:t>aAMR</w:t>
      </w:r>
      <w:proofErr w:type="spellEnd"/>
      <w:r>
        <w:t xml:space="preserve">). </w:t>
      </w:r>
      <w:proofErr w:type="gramStart"/>
      <w:r>
        <w:t>Therefore</w:t>
      </w:r>
      <w:proofErr w:type="gramEnd"/>
      <w:r>
        <w:t xml:space="preserve"> practise varies between, and sometimes within, transplant units in the UK. </w:t>
      </w:r>
    </w:p>
    <w:p w14:paraId="100B02FD" w14:textId="3C612555" w:rsidR="00076320" w:rsidRDefault="00076320" w:rsidP="00076320">
      <w:pPr>
        <w:jc w:val="both"/>
      </w:pPr>
      <w:r>
        <w:t>Therapeutic options can be classified by mechanism of action and treatment typically involves a combination of therapies</w:t>
      </w:r>
      <w:r>
        <w:rPr>
          <w:vertAlign w:val="superscript"/>
        </w:rPr>
        <w:t xml:space="preserve"> </w:t>
      </w:r>
      <w:r>
        <w:rPr>
          <w:vertAlign w:val="superscript"/>
        </w:rPr>
        <w:fldChar w:fldCharType="begin"/>
      </w:r>
      <w:r w:rsidR="006528EA">
        <w:rPr>
          <w:vertAlign w:val="superscript"/>
        </w:rPr>
        <w:instrText xml:space="preserve"> ADDIN ZOTERO_ITEM CSL_CITATION {"citationID":"IKqPijgE","properties":{"formattedCitation":"\\super 90,98\\uc0\\u8211{}100\\nosupersub{}","plainCitation":"90,98–100","noteIndex":0},"citationItems":[{"id":18882,"uris":["http://zotero.org/users/3444308/items/6IMZDWMH"],"itemData":{"id":18882,"type":"article-journal","abstract":"Despite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A."}],"issued":{"date-parts":[["2023",7,27]]}}},{"id":19068,"uris":["http://zotero.org/users/3444308/items/ACGKKF24"],"itemData":{"id":19068,"type":"report","title":"Antibody Incompatible Transplantation Guideline","URL":"https://bts.org.uk/wp-content/uploads/2016/09/02_BTS_Antibody_Guidelines-1.pdf","author":[{"literal":"British Transplantation Society"}],"accessed":{"date-parts":[["2025",10,22]]},"issued":{"date-parts":[["2015"]]}}},{"id":19067,"uris":["http://zotero.org/users/3444308/items/INTNM73U"],"itemData":{"id":19067,"type":"article-journal","abstract":"With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90,98–100</w:t>
      </w:r>
      <w:r>
        <w:rPr>
          <w:vertAlign w:val="superscript"/>
        </w:rPr>
        <w:fldChar w:fldCharType="end"/>
      </w:r>
      <w:r>
        <w:t xml:space="preserve"> </w:t>
      </w:r>
    </w:p>
    <w:p w14:paraId="117E5059" w14:textId="77777777" w:rsidR="00076320" w:rsidRDefault="00076320" w:rsidP="00067A88">
      <w:pPr>
        <w:pStyle w:val="ListParagraph"/>
        <w:numPr>
          <w:ilvl w:val="0"/>
          <w:numId w:val="8"/>
        </w:numPr>
        <w:jc w:val="both"/>
      </w:pPr>
      <w:r>
        <w:t>Extracorporeal DSA removal (plasmapheresis/</w:t>
      </w:r>
      <w:proofErr w:type="spellStart"/>
      <w:r>
        <w:t>Immunoadsoprtion</w:t>
      </w:r>
      <w:proofErr w:type="spellEnd"/>
      <w:r>
        <w:t>)</w:t>
      </w:r>
    </w:p>
    <w:p w14:paraId="35DD0ECB" w14:textId="77777777" w:rsidR="00076320" w:rsidRDefault="00076320" w:rsidP="00067A88">
      <w:pPr>
        <w:pStyle w:val="ListParagraph"/>
        <w:numPr>
          <w:ilvl w:val="0"/>
          <w:numId w:val="8"/>
        </w:numPr>
        <w:jc w:val="both"/>
      </w:pPr>
      <w:r>
        <w:t>Reducing DSA production (anti-T cell/B cell apoptosis; ATG, anti-B cell; rituximab, anti-plasma cell; bortezomib, splenectomy)</w:t>
      </w:r>
    </w:p>
    <w:p w14:paraId="7C8D5EE1" w14:textId="77777777" w:rsidR="00076320" w:rsidRDefault="00076320" w:rsidP="00067A88">
      <w:pPr>
        <w:pStyle w:val="ListParagraph"/>
        <w:numPr>
          <w:ilvl w:val="0"/>
          <w:numId w:val="8"/>
        </w:numPr>
        <w:jc w:val="both"/>
      </w:pPr>
      <w:r>
        <w:t>Reducing DSA injury (blocking complement activation; eculizumab)</w:t>
      </w:r>
    </w:p>
    <w:p w14:paraId="567DD579" w14:textId="77777777" w:rsidR="00076320" w:rsidRDefault="00076320" w:rsidP="00067A88">
      <w:pPr>
        <w:pStyle w:val="ListParagraph"/>
        <w:numPr>
          <w:ilvl w:val="0"/>
          <w:numId w:val="8"/>
        </w:numPr>
        <w:jc w:val="both"/>
      </w:pPr>
      <w:r>
        <w:t>Or working at multiple levels (IVIg, anti-T cell/B cell apoptosis; ATG, corticosteroids)</w:t>
      </w:r>
    </w:p>
    <w:p w14:paraId="347366FD" w14:textId="52E0E180" w:rsidR="00076320" w:rsidRDefault="00076320" w:rsidP="00076320">
      <w:pPr>
        <w:jc w:val="both"/>
      </w:pPr>
      <w:r w:rsidRPr="009314E9">
        <w:t xml:space="preserve">Existing randomised controlled trials in </w:t>
      </w:r>
      <w:proofErr w:type="spellStart"/>
      <w:r w:rsidRPr="009314E9">
        <w:t>aAMR</w:t>
      </w:r>
      <w:proofErr w:type="spellEnd"/>
      <w:r w:rsidRPr="009314E9">
        <w:t xml:space="preserve"> have been undertaken in heterogenous populations, have been underpowered and of low quality. Despite limited high-quality evidence of effectiveness in clinical trials, plasmapheresis and IVIg have become the standard of</w:t>
      </w:r>
      <w:r>
        <w:t xml:space="preserve"> care for the treatment of </w:t>
      </w:r>
      <w:proofErr w:type="spellStart"/>
      <w:r w:rsidRPr="00201259">
        <w:t>aAMR</w:t>
      </w:r>
      <w:proofErr w:type="spellEnd"/>
      <w:r>
        <w:rPr>
          <w:vertAlign w:val="superscript"/>
        </w:rPr>
        <w:t xml:space="preserve"> </w:t>
      </w:r>
      <w:r>
        <w:rPr>
          <w:vertAlign w:val="superscript"/>
        </w:rPr>
        <w:fldChar w:fldCharType="begin"/>
      </w:r>
      <w:r w:rsidR="006528EA">
        <w:rPr>
          <w:vertAlign w:val="superscript"/>
        </w:rPr>
        <w:instrText xml:space="preserve"> ADDIN ZOTERO_ITEM CSL_CITATION {"citationID":"8mLnObCP","properties":{"formattedCitation":"\\super 90,99\\uc0\\u8211{}101\\nosupersub{}","plainCitation":"90,99–101","noteIndex":0},"citationItems":[{"id":18882,"uris":["http://zotero.org/users/3444308/items/6IMZDWMH"],"itemData":{"id":18882,"type":"article-journal","abstract":"Despite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C."}],"issued":{"date-parts":[["2023",2,1]]}}},{"id":19066,"uris":["http://zotero.org/users/3444308/items/38RB9VGH"],"itemData":{"id":19066,"type":"article-journal","abstract":"BACKGROUND: Current treatments for antibody-mediated rejection (AMR) in kidney transplantation are based on low-quality data from a small number of controlled trials. Novel agents targeting B cells, plasma cells, and the complement system have featured in recent studies of AMR.\nMETHODS: We conducted a systematic review and meta-analysis of controlled trials in kidney transplant recipients using Medline, EMBASE, and CENTRAL from inception to February 2017.\nRESULTS: Of 14 380 citations, we identified 21 studies, including 10 randomized controlled trials, involving 751 participants. Since the last systematic review conducted in 2011, we found nine additional studies evaluating plasmapheresis + intravenous immunoglobulin (IVIG) (two), rituximab (two), bortezomib (two), C1 inhibitor (two), and eculizumab (one). Risk of bias was serious or unclear overall and evidence quality was low for the majority of treatment strategies. Sufficient RCTs for pooled analysis were available only for antibody removal, and here there was no significant difference between groups for graft survival (HR 0.76; 95% CI 0.35-1.63; P = 0.475). Studies showed important heterogeneity in treatments, definition of AMR, quality, and follow-up. Plasmapheresis and IVIG were used as standard-of-care in recent studies, and to this combination, rituximab seemed to add little or no benefit. Insufficient data are available to assess the efficacy of bortezomib and complement inhibitors.\nCONCLUSION: Newer studies evaluating rituximab showed little or no difference to early graft survival, and the efficacy of bortezomib and complement inhibitors for the treatment of AMR remains unclear. Despite the evidence uncertainty, plasmapheresis and IVIG have become standard-of-care for the treatment of acute AMR.","container-title":"Transplantation","DOI":"10.1097/TP.0000000000002049","ISSN":"1534-6080","issue":"4","journalAbbreviation":"Transplantation","language":"eng","note":"PMID: 29315141","page":"557-568","source":"PubMed","title":"The Treatment of Antibody-Mediated Rejection in Kidney Transplantation: An Updated Systematic Review and Meta-Analysis","title-short":"The Treatment of Antibody-Mediated Rejection in Kidney Transplantation","volume":"102","author":[{"family":"Wan","given":"Susan S."},{"family":"Ying","given":"Tracey D."},{"family":"Wyburn","given":"Kate"},{"family":"Roberts","given":"Darren M."},{"family":"Wyld","given":"Melanie"},{"family":"Chadban","given":"Steven J."}],"issued":{"date-parts":[["2018",4]]}}}],"schema":"https://github.com/citation-style-language/schema/raw/master/csl-citation.json"}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90,99–101</w:t>
      </w:r>
      <w:r>
        <w:rPr>
          <w:vertAlign w:val="superscript"/>
        </w:rPr>
        <w:fldChar w:fldCharType="end"/>
      </w:r>
      <w:r>
        <w:t xml:space="preserve">. </w:t>
      </w:r>
    </w:p>
    <w:p w14:paraId="4A42BE31" w14:textId="77777777" w:rsidR="00076320" w:rsidRPr="00F641D9" w:rsidRDefault="00076320" w:rsidP="00952633">
      <w:proofErr w:type="gramStart"/>
      <w:r w:rsidRPr="00F0298C">
        <w:t>A large number of</w:t>
      </w:r>
      <w:proofErr w:type="gramEnd"/>
      <w:r w:rsidRPr="00F0298C">
        <w:t xml:space="preserve"> clinical trials are currently underway looking at emerging therapies for </w:t>
      </w:r>
      <w:proofErr w:type="spellStart"/>
      <w:r>
        <w:t>a</w:t>
      </w:r>
      <w:r w:rsidRPr="00F0298C">
        <w:t>AMR</w:t>
      </w:r>
      <w:proofErr w:type="spellEnd"/>
      <w:r w:rsidRPr="00F0298C">
        <w:t>. Existing cellular targets include IL-6 receptors (tocilizumab [</w:t>
      </w:r>
      <w:r w:rsidRPr="00F0298C">
        <w:rPr>
          <w:shd w:val="clear" w:color="auto" w:fill="FFFFFF"/>
        </w:rPr>
        <w:t>NCT04561986]</w:t>
      </w:r>
      <w:r w:rsidRPr="00F0298C">
        <w:t xml:space="preserve">, </w:t>
      </w:r>
      <w:proofErr w:type="spellStart"/>
      <w:r w:rsidRPr="00F0298C">
        <w:t>clazakizumab</w:t>
      </w:r>
      <w:proofErr w:type="spellEnd"/>
      <w:r w:rsidRPr="00F0298C">
        <w:t xml:space="preserve"> [</w:t>
      </w:r>
      <w:r w:rsidRPr="00F0298C">
        <w:rPr>
          <w:shd w:val="clear" w:color="auto" w:fill="FFFFFF"/>
        </w:rPr>
        <w:t>NCT03380377]</w:t>
      </w:r>
      <w:r w:rsidRPr="00F0298C">
        <w:t>), Anti-CD20 (</w:t>
      </w:r>
      <w:proofErr w:type="spellStart"/>
      <w:r w:rsidRPr="00F0298C">
        <w:t>obintuzumab</w:t>
      </w:r>
      <w:proofErr w:type="spellEnd"/>
      <w:r w:rsidRPr="00F0298C">
        <w:t xml:space="preserve"> [</w:t>
      </w:r>
      <w:r w:rsidRPr="00F0298C">
        <w:rPr>
          <w:color w:val="1B1B1B"/>
          <w:shd w:val="clear" w:color="auto" w:fill="FFFFFF"/>
        </w:rPr>
        <w:t>NCT02586051]</w:t>
      </w:r>
      <w:r>
        <w:rPr>
          <w:color w:val="1B1B1B"/>
          <w:shd w:val="clear" w:color="auto" w:fill="FFFFFF"/>
        </w:rPr>
        <w:t>)</w:t>
      </w:r>
      <w:r w:rsidRPr="00F0298C">
        <w:t xml:space="preserve">, proteosome </w:t>
      </w:r>
      <w:r w:rsidRPr="00F0298C">
        <w:lastRenderedPageBreak/>
        <w:t>inhibitors (bortezomib [</w:t>
      </w:r>
      <w:r w:rsidRPr="00F0298C">
        <w:rPr>
          <w:shd w:val="clear" w:color="auto" w:fill="FFFFFF"/>
        </w:rPr>
        <w:t>NCT01873157, NCT03737136, NCT02201576]</w:t>
      </w:r>
      <w:r w:rsidRPr="00F0298C">
        <w:t>, carfilzomib [</w:t>
      </w:r>
      <w:r w:rsidRPr="00F0298C">
        <w:rPr>
          <w:color w:val="505050"/>
          <w:shd w:val="clear" w:color="auto" w:fill="FFFFFF"/>
        </w:rPr>
        <w:t>NCT02442648]</w:t>
      </w:r>
      <w:r w:rsidRPr="00F0298C">
        <w:t>), anti-B lymphocyte simulators (belimumab [</w:t>
      </w:r>
      <w:r w:rsidRPr="00F0298C">
        <w:rPr>
          <w:shd w:val="clear" w:color="auto" w:fill="FFFFFF"/>
        </w:rPr>
        <w:t>NCT01536379]</w:t>
      </w:r>
      <w:r w:rsidRPr="00F0298C">
        <w:t>) and recombinant cysteine protease (</w:t>
      </w:r>
      <w:proofErr w:type="spellStart"/>
      <w:r w:rsidRPr="00F0298C">
        <w:t>imlifidase</w:t>
      </w:r>
      <w:proofErr w:type="spellEnd"/>
      <w:r w:rsidRPr="00F0298C">
        <w:t xml:space="preserve"> [</w:t>
      </w:r>
      <w:r w:rsidRPr="00F0298C">
        <w:rPr>
          <w:shd w:val="clear" w:color="auto" w:fill="FFFFFF"/>
        </w:rPr>
        <w:t>NCT03897205]</w:t>
      </w:r>
      <w:r w:rsidRPr="00F0298C">
        <w:t>), with further work looking at CD38 blockade (daratumumab [</w:t>
      </w:r>
      <w:r w:rsidRPr="00F0298C">
        <w:rPr>
          <w:shd w:val="clear" w:color="auto" w:fill="FFFFFF"/>
        </w:rPr>
        <w:t xml:space="preserve">NCT05913596, </w:t>
      </w:r>
      <w:r w:rsidRPr="00F0298C">
        <w:rPr>
          <w:color w:val="1B1B1B"/>
          <w:shd w:val="clear" w:color="auto" w:fill="FFFFFF"/>
        </w:rPr>
        <w:t>NCT04204980</w:t>
      </w:r>
      <w:r w:rsidRPr="00F0298C">
        <w:rPr>
          <w:shd w:val="clear" w:color="auto" w:fill="FFFFFF"/>
        </w:rPr>
        <w:t>]</w:t>
      </w:r>
      <w:r w:rsidRPr="00F0298C">
        <w:t>).</w:t>
      </w:r>
    </w:p>
    <w:p w14:paraId="7D87462C" w14:textId="77777777" w:rsidR="00076320" w:rsidRDefault="00076320" w:rsidP="00F10BCF">
      <w:pPr>
        <w:pStyle w:val="GuidelineSubheadings"/>
      </w:pPr>
      <w:r>
        <w:t xml:space="preserve">Guideline 3.2.7 </w:t>
      </w:r>
      <w:r w:rsidRPr="00D24B56">
        <w:t xml:space="preserve">KTR: </w:t>
      </w:r>
      <w:r>
        <w:t>Treatment</w:t>
      </w:r>
      <w:r w:rsidRPr="00D24B56">
        <w:t xml:space="preserve"> of acute </w:t>
      </w:r>
      <w:r>
        <w:t>antibody mediated rejection – Corticosteroids</w:t>
      </w:r>
    </w:p>
    <w:p w14:paraId="499C0729" w14:textId="77CEAC2A" w:rsidR="00076320" w:rsidRPr="001F1375" w:rsidRDefault="00076320" w:rsidP="00076320">
      <w:pPr>
        <w:jc w:val="both"/>
      </w:pPr>
      <w:r w:rsidRPr="00906C7F">
        <w:t xml:space="preserve">As for TCMR, </w:t>
      </w:r>
      <w:r>
        <w:t>corticosteroids should be standard of care for any rejection episode</w:t>
      </w:r>
      <w:r>
        <w:rPr>
          <w:vertAlign w:val="superscript"/>
        </w:rPr>
        <w:t xml:space="preserve"> </w:t>
      </w:r>
      <w:r>
        <w:rPr>
          <w:vertAlign w:val="superscript"/>
        </w:rPr>
        <w:fldChar w:fldCharType="begin"/>
      </w:r>
      <w:r w:rsidR="006528EA">
        <w:rPr>
          <w:vertAlign w:val="superscript"/>
        </w:rPr>
        <w:instrText xml:space="preserve"> ADDIN ZOTERO_ITEM CSL_CITATION {"citationID":"4IWiMfgn","properties":{"formattedCitation":"\\super 99\\nosupersub{}","plainCitation":"99","noteIndex":0},"citationItems":[{"id":19067,"uris":["http://zotero.org/users/3444308/items/INTNM73U"],"itemData":{"id":19067,"type":"article-journal","abstract":"With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99</w:t>
      </w:r>
      <w:r>
        <w:rPr>
          <w:vertAlign w:val="superscript"/>
        </w:rPr>
        <w:fldChar w:fldCharType="end"/>
      </w:r>
      <w:r>
        <w:t xml:space="preserve">, in part to mitigate inflammatory response, and in part to also treat any concomitant TCMR. Corticosteroids may allow initial optimisation of immunosuppression and are readily accessible, whilst diagnosis is confirmed. </w:t>
      </w:r>
    </w:p>
    <w:p w14:paraId="01CB8F6F" w14:textId="77777777" w:rsidR="00076320" w:rsidRPr="005A6E03" w:rsidRDefault="00076320" w:rsidP="00F10BCF">
      <w:pPr>
        <w:pStyle w:val="GuidelineSubheadings"/>
      </w:pPr>
      <w:r>
        <w:t xml:space="preserve">Guideline 3.2.8 </w:t>
      </w:r>
      <w:r w:rsidRPr="00D24B56">
        <w:t xml:space="preserve">KTR: </w:t>
      </w:r>
      <w:r>
        <w:t>Treatment</w:t>
      </w:r>
      <w:r w:rsidRPr="00D24B56">
        <w:t xml:space="preserve"> of acute </w:t>
      </w:r>
      <w:r>
        <w:t xml:space="preserve">antibody mediated rejection - </w:t>
      </w:r>
      <w:r w:rsidRPr="005A6E03">
        <w:t>Plasmapheresis</w:t>
      </w:r>
    </w:p>
    <w:p w14:paraId="794A3923" w14:textId="1C080E43" w:rsidR="00076320" w:rsidRPr="00B52FCB" w:rsidRDefault="00076320" w:rsidP="00076320">
      <w:pPr>
        <w:jc w:val="both"/>
      </w:pPr>
      <w:r w:rsidRPr="00B52FCB">
        <w:t xml:space="preserve">Plasmapheresis directly removes DSAs from the serum in a predictable manner. However, since DSAs are only removed from the vascular compartment, there is re-equilibration with the </w:t>
      </w:r>
      <w:proofErr w:type="spellStart"/>
      <w:r w:rsidRPr="00B52FCB">
        <w:t>interstitium</w:t>
      </w:r>
      <w:proofErr w:type="spellEnd"/>
      <w:r w:rsidRPr="00B52FCB">
        <w:t xml:space="preserve"> over time, increasing the DSA levels in the serum agai</w:t>
      </w:r>
      <w:r>
        <w:t>n</w:t>
      </w:r>
      <w:r w:rsidRPr="00B52FCB">
        <w:t>. This equilibrium process takes about 48 h</w:t>
      </w:r>
      <w:r>
        <w:t>ours</w:t>
      </w:r>
      <w:r w:rsidRPr="00B52FCB">
        <w:t>, therefore plasmapheresis is typically spaced every 48 h</w:t>
      </w:r>
      <w:r>
        <w:t xml:space="preserve">ours </w:t>
      </w:r>
      <w:r>
        <w:fldChar w:fldCharType="begin"/>
      </w:r>
      <w:r w:rsidR="006528EA">
        <w:instrText xml:space="preserve"> ADDIN ZOTERO_ITEM CSL_CITATION {"citationID":"03hoJw1h","properties":{"formattedCitation":"\\super 90\\nosupersub{}","plainCitation":"90","noteIndex":0},"citationItems":[{"id":18882,"uris":["http://zotero.org/users/3444308/items/6IMZDWMH"],"itemData":{"id":18882,"type":"article-journal","abstract":"Despite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A."}],"issued":{"date-parts":[["2023",7,27]]}}}],"schema":"https://github.com/citation-style-language/schema/raw/master/csl-citation.json"} </w:instrText>
      </w:r>
      <w:r>
        <w:fldChar w:fldCharType="separate"/>
      </w:r>
      <w:r w:rsidR="00A04B9C" w:rsidRPr="00A04B9C">
        <w:rPr>
          <w:rFonts w:ascii="Calibri" w:hAnsi="Calibri" w:cs="Calibri"/>
          <w:vertAlign w:val="superscript"/>
        </w:rPr>
        <w:t>90</w:t>
      </w:r>
      <w:r>
        <w:fldChar w:fldCharType="end"/>
      </w:r>
      <w:r w:rsidRPr="00B52FCB">
        <w:t>.</w:t>
      </w:r>
    </w:p>
    <w:p w14:paraId="2F7EED2D" w14:textId="41EAEA17" w:rsidR="00076320" w:rsidRPr="00B52FCB" w:rsidRDefault="00076320" w:rsidP="00076320">
      <w:pPr>
        <w:jc w:val="both"/>
      </w:pPr>
      <w:r w:rsidRPr="00B52FCB">
        <w:t>Consecutive plasmapheresis may rapidly remove existing antibodies and may be appropriate initially to rapidly remove existing antibodies</w:t>
      </w:r>
      <w:r>
        <w:rPr>
          <w:vertAlign w:val="superscript"/>
        </w:rPr>
        <w:t xml:space="preserve"> </w:t>
      </w:r>
      <w:r>
        <w:rPr>
          <w:vertAlign w:val="superscript"/>
        </w:rPr>
        <w:fldChar w:fldCharType="begin"/>
      </w:r>
      <w:r w:rsidR="006528EA">
        <w:rPr>
          <w:vertAlign w:val="superscript"/>
        </w:rPr>
        <w:instrText xml:space="preserve"> ADDIN ZOTERO_ITEM CSL_CITATION {"citationID":"Abw46D2k","properties":{"formattedCitation":"\\super 102\\nosupersub{}","plainCitation":"102","noteIndex":0},"citationItems":[{"id":19065,"uris":["http://zotero.org/users/3444308/items/9UGYFGSM"],"itemData":{"id":19065,"type":"article-journal","abstract":"A controlled trial was carried out to assess the value of intensive plasma exchange in 27 renal transplant recipients with clinical and histological evidence of acute vascular rejection. In addition to standard immunosuppression, 13 patients received plasma exchange on six consecutive days at a mean exchange volume of 40.6 ml/kg of body weight each day using an intermittent cell separator. A further 14 patients received standard immunosuppression only. In addition, 10 patients exchanged prior to the controlled trial have been studied. Analysis of short-term benefit, as evidenced by a reduction in serum creatinine, and by subsequent graft survival revealed no significant difference in these parameters between the two groups in the controlled trial. This regimen of plasma exchange has not, therefore, been shown to modify acute renal allograft rejection.","container-title":"Transplantation","DOI":"10.1097/00007890-198305000-00006","ISSN":"0041-1337","issue":"5","journalAbbreviation":"Transplantation","language":"eng","note":"PMID: 6342220","page":"425-428","source":"PubMed","title":"Plasma exchange in acute renal allograft rejection. A controlled trial","volume":"35","author":[{"family":"Allen","given":"N. H."},{"family":"Dyer","given":"P."},{"family":"Geoghegan","given":"T."},{"family":"Harris","given":"K."},{"family":"Lee","given":"H. A."},{"family":"Slapak","given":"M."}],"issued":{"date-parts":[["1983",5]]}}}],"schema":"https://github.com/citation-style-language/schema/raw/master/csl-citation.json"}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102</w:t>
      </w:r>
      <w:r>
        <w:rPr>
          <w:vertAlign w:val="superscript"/>
        </w:rPr>
        <w:fldChar w:fldCharType="end"/>
      </w:r>
      <w:r w:rsidRPr="00B52FCB">
        <w:t xml:space="preserve">. </w:t>
      </w:r>
    </w:p>
    <w:p w14:paraId="335DB2B0" w14:textId="6DA21F47" w:rsidR="00076320" w:rsidRDefault="00076320" w:rsidP="00076320">
      <w:pPr>
        <w:jc w:val="both"/>
        <w:rPr>
          <w:color w:val="000000" w:themeColor="text1"/>
        </w:rPr>
      </w:pPr>
      <w:r w:rsidRPr="000B45B2">
        <w:rPr>
          <w:color w:val="000000" w:themeColor="text1"/>
        </w:rPr>
        <w:t>It is worth noting that the inclusion criteria, primary endpoints, and duration of follow-up varies considerably among studies and the lack of success observed in some older trials may be attributed to what would now be considered less potent immunosuppressive strategies, rather than failure of plasmapheresis</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{"citationID":"78G11yOO","properties":{"formattedCitation":"\\super 90,101\\nosupersub{}","plainCitation":"90,101","noteIndex":0},"citationItems":[{"id":18882,"uris":["http://zotero.org/users/3444308/items/6IMZDWMH"],"itemData":{"id":18882,"type":"article-journal","abstract":"Despite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A."}],"issued":{"date-parts":[["2023",7,27]]}}},{"id":19066,"uris":["http://zotero.org/users/3444308/items/38RB9VGH"],"itemData":{"id":19066,"type":"article-journal","abstract":"BACKGROUND: Current treatments for antibody-mediated rejection (AMR) in kidney transplantation are based on low-quality data from a small number of controlled trials. Novel agents targeting B cells, plasma cells, and the complement system have featured in recent studies of AMR.\nMETHODS: We conducted a systematic review and meta-analysis of controlled trials in kidney transplant recipients using Medline, EMBASE, and CENTRAL from inception to February 2017.\nRESULTS: Of 14 380 citations, we identified 21 studies, including 10 randomized controlled trials, involving 751 participants. Since the last systematic review conducted in 2011, we found nine additional studies evaluating plasmapheresis + intravenous immunoglobulin (IVIG) (two), rituximab (two), bortezomib (two), C1 inhibitor (two), and eculizumab (one). Risk of bias was serious or unclear overall and evidence quality was low for the majority of treatment strategies. Sufficient RCTs for pooled analysis were available only for antibody removal, and here there was no significant difference between groups for graft survival (HR 0.76; 95% CI 0.35-1.63; P = 0.475). Studies showed important heterogeneity in treatments, definition of AMR, quality, and follow-up. Plasmapheresis and IVIG were used as standard-of-care in recent studies, and to this combination, rituximab seemed to add little or no benefit. Insufficient data are available to assess the efficacy of bortezomib and complement inhibitors.\nCONCLUSION: Newer studies evaluating rituximab showed little or no difference to early graft survival, and the efficacy of bortezomib and complement inhibitors for the treatment of AMR remains unclear. Despite the evidence uncertainty, plasmapheresis and IVIG have become standard-of-care for the treatment of acute AMR.","container-title":"Transplantation","DOI":"10.1097/TP.0000000000002049","ISSN":"1534-6080","issue":"4","journalAbbreviation":"Transplantation","language":"eng","note":"PMID: 29315141","page":"557-568","source":"PubMed","title":"The Treatment of Antibody-Mediated Rejection in Kidney Transplantation: An Updated Systematic Review and Meta-Analysis","title-short":"The Treatment of Antibody-Mediated Rejection in Kidney Transplantation","volume":"102","author":[{"family":"Wan","given":"Susan S."},{"family":"Ying","given":"Tracey D."},{"family":"Wyburn","given":"Kate"},{"family":"Roberts","given":"Darren M."},{"family":"Wyld","given":"Melanie"},{"family":"Chadban","given":"Steven J."}],"issued":{"date-parts":[["2018",4]]}}}],"schema":"https://github.com/citation-style-language/schema/raw/master/csl-citation.json"}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90,101</w:t>
      </w:r>
      <w:r>
        <w:rPr>
          <w:color w:val="000000" w:themeColor="text1"/>
          <w:vertAlign w:val="superscript"/>
        </w:rPr>
        <w:fldChar w:fldCharType="end"/>
      </w:r>
      <w:r w:rsidRPr="000B45B2">
        <w:rPr>
          <w:color w:val="000000" w:themeColor="text1"/>
        </w:rPr>
        <w:t>.</w:t>
      </w:r>
      <w:r>
        <w:rPr>
          <w:color w:val="000000" w:themeColor="text1"/>
        </w:rPr>
        <w:t xml:space="preserve"> </w:t>
      </w:r>
    </w:p>
    <w:p w14:paraId="2C9CCD86" w14:textId="684FC573" w:rsidR="00076320" w:rsidRDefault="00076320" w:rsidP="00076320">
      <w:pPr>
        <w:jc w:val="both"/>
        <w:rPr>
          <w:color w:val="000000" w:themeColor="text1"/>
        </w:rPr>
      </w:pPr>
      <w:r w:rsidRPr="0021298A">
        <w:rPr>
          <w:color w:val="000000" w:themeColor="text1"/>
        </w:rPr>
        <w:t>Although mainly based on small uncontrolled series, plasmapheresis, as part of combination therapy might be effective in reversing C4d-positive</w:t>
      </w:r>
      <w:r>
        <w:rPr>
          <w:color w:val="000000" w:themeColor="text1"/>
        </w:rPr>
        <w:t xml:space="preserve"> </w:t>
      </w:r>
      <w:proofErr w:type="spellStart"/>
      <w:r>
        <w:rPr>
          <w:color w:val="000000" w:themeColor="text1"/>
        </w:rPr>
        <w:t>a</w:t>
      </w:r>
      <w:r w:rsidRPr="0021298A">
        <w:rPr>
          <w:color w:val="000000" w:themeColor="text1"/>
        </w:rPr>
        <w:t>AMR</w:t>
      </w:r>
      <w:proofErr w:type="spellEnd"/>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{"citationID":"R3f9w7UH","properties":{"formattedCitation":"\\super 103\\nosupersub{}","plainCitation":"103","noteIndex":0},"citationItems":[{"id":19064,"uris":["http://zotero.org/users/3444308/items/YWGQJ7QX"],"itemData":{"id":19064,"type":"article-journal","abstract":"INTRODUCTION: We compared the outcomes associated with plasma exchange (PE), double filtration plasmapheresis (DFPP), or immunoadsorption (IA) in the treatment of late antibody mediated rejection (AMR).\nMETHODS: Sixty-nine kidney transplantation (KTx) recipients with late AMR were retrospectively categorized according to management with PE (n =</w:instrText>
      </w:r>
      <w:r w:rsidR="006528EA">
        <w:rPr>
          <w:rFonts w:ascii="Arial" w:hAnsi="Arial" w:cs="Arial"/>
          <w:color w:val="000000" w:themeColor="text1"/>
          <w:vertAlign w:val="superscript"/>
        </w:rPr>
        <w:instrText> </w:instrText>
      </w:r>
      <w:r w:rsidR="006528EA">
        <w:rPr>
          <w:color w:val="000000" w:themeColor="text1"/>
          <w:vertAlign w:val="superscript"/>
        </w:rPr>
        <w:instrText>30), DFPP (n</w:instrText>
      </w:r>
      <w:r w:rsidR="006528EA">
        <w:rPr>
          <w:rFonts w:ascii="Aptos" w:hAnsi="Aptos" w:cs="Aptos"/>
          <w:color w:val="000000" w:themeColor="text1"/>
          <w:vertAlign w:val="superscript"/>
        </w:rPr>
        <w:instrText> </w:instrText>
      </w:r>
      <w:r w:rsidR="006528EA">
        <w:rPr>
          <w:color w:val="000000" w:themeColor="text1"/>
          <w:vertAlign w:val="superscript"/>
        </w:rPr>
        <w:instrText>=</w:instrText>
      </w:r>
      <w:r w:rsidR="006528EA">
        <w:rPr>
          <w:rFonts w:ascii="Arial" w:hAnsi="Arial" w:cs="Arial"/>
          <w:color w:val="000000" w:themeColor="text1"/>
          <w:vertAlign w:val="superscript"/>
        </w:rPr>
        <w:instrText> </w:instrText>
      </w:r>
      <w:r w:rsidR="006528EA">
        <w:rPr>
          <w:color w:val="000000" w:themeColor="text1"/>
          <w:vertAlign w:val="superscript"/>
        </w:rPr>
        <w:instrText>22) or IA (n</w:instrText>
      </w:r>
      <w:r w:rsidR="006528EA">
        <w:rPr>
          <w:rFonts w:ascii="Aptos" w:hAnsi="Aptos" w:cs="Aptos"/>
          <w:color w:val="000000" w:themeColor="text1"/>
          <w:vertAlign w:val="superscript"/>
        </w:rPr>
        <w:instrText> </w:instrText>
      </w:r>
      <w:r w:rsidR="006528EA">
        <w:rPr>
          <w:color w:val="000000" w:themeColor="text1"/>
          <w:vertAlign w:val="superscript"/>
        </w:rPr>
        <w:instrText>=</w:instrText>
      </w:r>
      <w:r w:rsidR="006528EA">
        <w:rPr>
          <w:rFonts w:ascii="Arial" w:hAnsi="Arial" w:cs="Arial"/>
          <w:color w:val="000000" w:themeColor="text1"/>
          <w:vertAlign w:val="superscript"/>
        </w:rPr>
        <w:instrText> </w:instrText>
      </w:r>
      <w:r w:rsidR="006528EA">
        <w:rPr>
          <w:color w:val="000000" w:themeColor="text1"/>
          <w:vertAlign w:val="superscript"/>
        </w:rPr>
        <w:instrText>17). Allograft loss was compared across treatment groups by Kaplan-Meier analysis and Cox regression.\nRESULTS: Study groups were similar regarding age, sex, donor type, kidney function, donor specific antibodies, and post-KTx follow-up time. Five-year graft survival trended higher with IA (70.6%) compared to PE (36.7%) and DFPP (27.3%) (p</w:instrText>
      </w:r>
      <w:r w:rsidR="006528EA">
        <w:rPr>
          <w:rFonts w:ascii="Aptos" w:hAnsi="Aptos" w:cs="Aptos"/>
          <w:color w:val="000000" w:themeColor="text1"/>
          <w:vertAlign w:val="superscript"/>
        </w:rPr>
        <w:instrText> </w:instrText>
      </w:r>
      <w:r w:rsidR="006528EA">
        <w:rPr>
          <w:color w:val="000000" w:themeColor="text1"/>
          <w:vertAlign w:val="superscript"/>
        </w:rPr>
        <w:instrText>=</w:instrText>
      </w:r>
      <w:r w:rsidR="006528EA">
        <w:rPr>
          <w:rFonts w:ascii="Arial" w:hAnsi="Arial" w:cs="Arial"/>
          <w:color w:val="000000" w:themeColor="text1"/>
          <w:vertAlign w:val="superscript"/>
        </w:rPr>
        <w:instrText> </w:instrText>
      </w:r>
      <w:r w:rsidR="006528EA">
        <w:rPr>
          <w:color w:val="000000" w:themeColor="text1"/>
          <w:vertAlign w:val="superscript"/>
        </w:rPr>
        <w:instrText>0.06). In multivariate Cox regression, baseline eGFR (HR per ml/min/1.73</w:instrText>
      </w:r>
      <w:r w:rsidR="006528EA">
        <w:rPr>
          <w:rFonts w:ascii="Arial" w:hAnsi="Arial" w:cs="Arial"/>
          <w:color w:val="000000" w:themeColor="text1"/>
          <w:vertAlign w:val="superscript"/>
        </w:rPr>
        <w:instrText> </w:instrText>
      </w:r>
      <w:r w:rsidR="006528EA">
        <w:rPr>
          <w:color w:val="000000" w:themeColor="text1"/>
          <w:vertAlign w:val="superscript"/>
        </w:rPr>
        <w:instrText xml:space="preserve">m2 [95% CI]; 0.96 [0.94-0.99]), rituximab use (HR [95% CI]; 0.42 [0.21-0.84]), interstitial inflammation (i) (HR [95% CI]; 2.05 [1.13-3.69]), and transplant glomerulopathy (cg) (HR [95% CI]; 1.46 [1.13-1.87]) were associated with graft loss.\nCONCLUSION: These results motivate the need for continued assessment of rituximab and plasmapheresis in larger studies.","container-title":"Therapeutic Apheresis and Dialysis: Official Peer-Reviewed Journal of the International Society for Apheresis, the Japanese Society for Apheresis, the Japanese Society for Dialysis Therapy","DOI":"10.1111/1744-9987.13937","ISSN":"1744-9987","issue":"3","journalAbbreviation":"Ther Apher Dial","language":"eng","note":"PMID: 36201223","page":"428-434","source":"PubMed","title":"A comparison of methods of plasmapheresis for the treatment of late antibody mediated rejection in kidney transplant recipients","volume":"27","author":[{"family":"Caliskan","given":"Yasar"},{"family":"Mirioglu","given":"Safak"},{"family":"Dirim","given":"Ahmet Burak"},{"family":"Ozluk","given":"Yasemin"},{"family":"Yegit","given":"Ozan"},{"family":"Aksoy","given":"Elif"},{"family":"Safak","given":"Seda"},{"family":"Guller","given":"Nurana"},{"family":"Demir","given":"Erol"},{"family":"Artan","given":"Ayse Serra"},{"family":"Oto","given":"Ozgur Akin"},{"family":"Besisik","given":"Sevgi"},{"family":"Yazici","given":"Halil"},{"family":"Turkmen","given":"Aydin"},{"family":"Lentine","given":"Krista L."}],"issued":{"date-parts":[["2023",6]]}}}],"schema":"https://github.com/citation-style-language/schema/raw/master/csl-citation.json"}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103</w:t>
      </w:r>
      <w:r>
        <w:rPr>
          <w:color w:val="000000" w:themeColor="text1"/>
          <w:vertAlign w:val="superscript"/>
        </w:rPr>
        <w:fldChar w:fldCharType="end"/>
      </w:r>
      <w:r>
        <w:rPr>
          <w:color w:val="000000" w:themeColor="text1"/>
        </w:rPr>
        <w:t>.</w:t>
      </w:r>
      <w:r w:rsidRPr="0021298A">
        <w:rPr>
          <w:color w:val="000000" w:themeColor="text1"/>
        </w:rPr>
        <w:t xml:space="preserve"> </w:t>
      </w:r>
    </w:p>
    <w:p w14:paraId="16856161" w14:textId="77777777" w:rsidR="00076320" w:rsidRPr="005A6E03" w:rsidRDefault="00076320" w:rsidP="00F10BCF">
      <w:pPr>
        <w:pStyle w:val="GuidelineSubheadings"/>
      </w:pPr>
      <w:r w:rsidRPr="00D24B56">
        <w:t xml:space="preserve">KTR: </w:t>
      </w:r>
      <w:r>
        <w:t>Treatment</w:t>
      </w:r>
      <w:r w:rsidRPr="00D24B56">
        <w:t xml:space="preserve"> of acute </w:t>
      </w:r>
      <w:r>
        <w:t xml:space="preserve">antibody mediated rejection - </w:t>
      </w:r>
      <w:r w:rsidRPr="005A6E03">
        <w:t>Immunoadsorption</w:t>
      </w:r>
      <w:r>
        <w:t xml:space="preserve"> </w:t>
      </w:r>
    </w:p>
    <w:p w14:paraId="15F57599" w14:textId="3BA3F0F0" w:rsidR="00076320" w:rsidRPr="008A02EC" w:rsidRDefault="00076320" w:rsidP="00076320">
      <w:pPr>
        <w:jc w:val="both"/>
      </w:pPr>
      <w:r w:rsidRPr="44F4C14B">
        <w:t>Immunoadsorption (IA) is an alternative strategy to plasmapheresis for efficient and highly specific anti-body depletion</w:t>
      </w:r>
      <w:r>
        <w:rPr>
          <w:vertAlign w:val="superscript"/>
        </w:rPr>
        <w:t xml:space="preserve"> </w:t>
      </w:r>
      <w:r>
        <w:rPr>
          <w:vertAlign w:val="superscript"/>
        </w:rPr>
        <w:fldChar w:fldCharType="begin"/>
      </w:r>
      <w:r w:rsidR="006528EA">
        <w:rPr>
          <w:vertAlign w:val="superscript"/>
        </w:rPr>
        <w:instrText xml:space="preserve"> ADDIN ZOTERO_ITEM CSL_CITATION {"citationID":"bRuuYky9","properties":{"formattedCitation":"\\super 99\\nosupersub{}","plainCitation":"99","noteIndex":0},"citationItems":[{"id":19067,"uris":["http://zotero.org/users/3444308/items/INTNM73U"],"itemData":{"id":19067,"type":"article-journal","abstract":"With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99</w:t>
      </w:r>
      <w:r>
        <w:rPr>
          <w:vertAlign w:val="superscript"/>
        </w:rPr>
        <w:fldChar w:fldCharType="end"/>
      </w:r>
      <w:r w:rsidRPr="44F4C14B">
        <w:t xml:space="preserve">. Uncontrolled reports suggest potential efficacy of immunoadsorption in C4d-positive </w:t>
      </w:r>
      <w:proofErr w:type="spellStart"/>
      <w:r>
        <w:t>a</w:t>
      </w:r>
      <w:r w:rsidRPr="44F4C14B">
        <w:t>AMR</w:t>
      </w:r>
      <w:proofErr w:type="spellEnd"/>
      <w:r>
        <w:rPr>
          <w:vertAlign w:val="superscript"/>
        </w:rPr>
        <w:t xml:space="preserve"> </w:t>
      </w:r>
      <w:r>
        <w:rPr>
          <w:vertAlign w:val="superscript"/>
        </w:rPr>
        <w:fldChar w:fldCharType="begin"/>
      </w:r>
      <w:r w:rsidR="006528EA">
        <w:rPr>
          <w:vertAlign w:val="superscript"/>
        </w:rPr>
        <w:instrText xml:space="preserve"> ADDIN ZOTERO_ITEM CSL_CITATION {"citationID":"JrewUuQO","properties":{"formattedCitation":"\\super 103\\nosupersub{}","plainCitation":"103","noteIndex":0},"citationItems":[{"id":19064,"uris":["http://zotero.org/users/3444308/items/YWGQJ7QX"],"itemData":{"id":19064,"type":"article-journal","abstract":"INTRODUCTION: We compared the outcomes associated with plasma exchange (PE), double filtration plasmapheresis (DFPP), or immunoadsorption (IA) in the treatment of late antibody mediated rejection (AMR).\nMETHODS: Sixty-nine kidney transplantation (KTx) recipients with late AMR were retrospectively categorized according to management with PE (n =</w:instrText>
      </w:r>
      <w:r w:rsidR="006528EA">
        <w:rPr>
          <w:rFonts w:ascii="Arial" w:hAnsi="Arial" w:cs="Arial"/>
          <w:vertAlign w:val="superscript"/>
        </w:rPr>
        <w:instrText> </w:instrText>
      </w:r>
      <w:r w:rsidR="006528EA">
        <w:rPr>
          <w:vertAlign w:val="superscript"/>
        </w:rPr>
        <w:instrText>30), DFPP (n</w:instrText>
      </w:r>
      <w:r w:rsidR="006528EA">
        <w:rPr>
          <w:rFonts w:ascii="Aptos" w:hAnsi="Aptos" w:cs="Aptos"/>
          <w:vertAlign w:val="superscript"/>
        </w:rPr>
        <w:instrText> </w:instrText>
      </w:r>
      <w:r w:rsidR="006528EA">
        <w:rPr>
          <w:vertAlign w:val="superscript"/>
        </w:rPr>
        <w:instrText>=</w:instrText>
      </w:r>
      <w:r w:rsidR="006528EA">
        <w:rPr>
          <w:rFonts w:ascii="Arial" w:hAnsi="Arial" w:cs="Arial"/>
          <w:vertAlign w:val="superscript"/>
        </w:rPr>
        <w:instrText> </w:instrText>
      </w:r>
      <w:r w:rsidR="006528EA">
        <w:rPr>
          <w:vertAlign w:val="superscript"/>
        </w:rPr>
        <w:instrText>22) or IA (n</w:instrText>
      </w:r>
      <w:r w:rsidR="006528EA">
        <w:rPr>
          <w:rFonts w:ascii="Aptos" w:hAnsi="Aptos" w:cs="Aptos"/>
          <w:vertAlign w:val="superscript"/>
        </w:rPr>
        <w:instrText> </w:instrText>
      </w:r>
      <w:r w:rsidR="006528EA">
        <w:rPr>
          <w:vertAlign w:val="superscript"/>
        </w:rPr>
        <w:instrText>=</w:instrText>
      </w:r>
      <w:r w:rsidR="006528EA">
        <w:rPr>
          <w:rFonts w:ascii="Arial" w:hAnsi="Arial" w:cs="Arial"/>
          <w:vertAlign w:val="superscript"/>
        </w:rPr>
        <w:instrText> </w:instrText>
      </w:r>
      <w:r w:rsidR="006528EA">
        <w:rPr>
          <w:vertAlign w:val="superscript"/>
        </w:rPr>
        <w:instrText>17). Allograft loss was compared across treatment groups by Kaplan-Meier analysis and Cox regression.\nRESULTS: Study groups were similar regarding age, sex, donor type, kidney function, donor specific antibodies, and post-KTx follow-up time. Five-year graft survival trended higher with IA (70.6%) compared to PE (36.7%) and DFPP (27.3%) (p</w:instrText>
      </w:r>
      <w:r w:rsidR="006528EA">
        <w:rPr>
          <w:rFonts w:ascii="Aptos" w:hAnsi="Aptos" w:cs="Aptos"/>
          <w:vertAlign w:val="superscript"/>
        </w:rPr>
        <w:instrText> </w:instrText>
      </w:r>
      <w:r w:rsidR="006528EA">
        <w:rPr>
          <w:vertAlign w:val="superscript"/>
        </w:rPr>
        <w:instrText>=</w:instrText>
      </w:r>
      <w:r w:rsidR="006528EA">
        <w:rPr>
          <w:rFonts w:ascii="Arial" w:hAnsi="Arial" w:cs="Arial"/>
          <w:vertAlign w:val="superscript"/>
        </w:rPr>
        <w:instrText> </w:instrText>
      </w:r>
      <w:r w:rsidR="006528EA">
        <w:rPr>
          <w:vertAlign w:val="superscript"/>
        </w:rPr>
        <w:instrText>0.06). In multivariate Cox regression, baseline eGFR (HR per ml/min/1.73</w:instrText>
      </w:r>
      <w:r w:rsidR="006528EA">
        <w:rPr>
          <w:rFonts w:ascii="Arial" w:hAnsi="Arial" w:cs="Arial"/>
          <w:vertAlign w:val="superscript"/>
        </w:rPr>
        <w:instrText> </w:instrText>
      </w:r>
      <w:r w:rsidR="006528EA">
        <w:rPr>
          <w:vertAlign w:val="superscript"/>
        </w:rPr>
        <w:instrText xml:space="preserve">m2 [95% CI]; 0.96 [0.94-0.99]), rituximab use (HR [95% CI]; 0.42 [0.21-0.84]), interstitial inflammation (i) (HR [95% CI]; 2.05 [1.13-3.69]), and transplant glomerulopathy (cg) (HR [95% CI]; 1.46 [1.13-1.87]) were associated with graft loss.\nCONCLUSION: These results motivate the need for continued assessment of rituximab and plasmapheresis in larger studies.","container-title":"Therapeutic Apheresis and Dialysis: Official Peer-Reviewed Journal of the International Society for Apheresis, the Japanese Society for Apheresis, the Japanese Society for Dialysis Therapy","DOI":"10.1111/1744-9987.13937","ISSN":"1744-9987","issue":"3","journalAbbreviation":"Ther Apher Dial","language":"eng","note":"PMID: 36201223","page":"428-434","source":"PubMed","title":"A comparison of methods of plasmapheresis for the treatment of late antibody mediated rejection in kidney transplant recipients","volume":"27","author":[{"family":"Caliskan","given":"Yasar"},{"family":"Mirioglu","given":"Safak"},{"family":"Dirim","given":"Ahmet Burak"},{"family":"Ozluk","given":"Yasemin"},{"family":"Yegit","given":"Ozan"},{"family":"Aksoy","given":"Elif"},{"family":"Safak","given":"Seda"},{"family":"Guller","given":"Nurana"},{"family":"Demir","given":"Erol"},{"family":"Artan","given":"Ayse Serra"},{"family":"Oto","given":"Ozgur Akin"},{"family":"Besisik","given":"Sevgi"},{"family":"Yazici","given":"Halil"},{"family":"Turkmen","given":"Aydin"},{"family":"Lentine","given":"Krista L."}],"issued":{"date-parts":[["2023",6]]}}}],"schema":"https://github.com/citation-style-language/schema/raw/master/csl-citation.json"}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103</w:t>
      </w:r>
      <w:r>
        <w:rPr>
          <w:vertAlign w:val="superscript"/>
        </w:rPr>
        <w:fldChar w:fldCharType="end"/>
      </w:r>
      <w:r>
        <w:t>. At present there is no evidence that one particular method of extracorporeal antibody removal produces superior clinical outcomes</w:t>
      </w:r>
      <w:r>
        <w:rPr>
          <w:vertAlign w:val="superscript"/>
        </w:rPr>
        <w:t xml:space="preserve"> </w:t>
      </w:r>
      <w:r>
        <w:rPr>
          <w:vertAlign w:val="superscript"/>
        </w:rPr>
        <w:fldChar w:fldCharType="begin"/>
      </w:r>
      <w:r w:rsidR="006528EA">
        <w:rPr>
          <w:vertAlign w:val="superscript"/>
        </w:rPr>
        <w:instrText xml:space="preserve"> ADDIN ZOTERO_ITEM CSL_CITATION {"citationID":"VhcuBQAB","properties":{"formattedCitation":"\\super 98,99\\nosupersub{}","plainCitation":"98,99","noteIndex":0},"citationItems":[{"id":19068,"uris":["http://zotero.org/users/3444308/items/ACGKKF24"],"itemData":{"id":19068,"type":"report","title":"Antibody Incompatible Transplantation Guideline","URL":"https://bts.org.uk/wp-content/uploads/2016/09/02_BTS_Antibody_Guidelines-1.pdf","author":[{"literal":"British Transplantation Society"}],"accessed":{"date-parts":[["2025",10,22]]},"issued":{"date-parts":[["2015"]]}}},{"id":19067,"uris":["http://zotero.org/users/3444308/items/INTNM73U"],"itemData":{"id":19067,"type":"article-journal","abstract":"With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98,99</w:t>
      </w:r>
      <w:r>
        <w:rPr>
          <w:vertAlign w:val="superscript"/>
        </w:rPr>
        <w:fldChar w:fldCharType="end"/>
      </w:r>
      <w:r>
        <w:t>.</w:t>
      </w:r>
    </w:p>
    <w:p w14:paraId="04AD1A45" w14:textId="77777777" w:rsidR="00076320" w:rsidRDefault="00076320" w:rsidP="00F10BCF">
      <w:pPr>
        <w:pStyle w:val="GuidelineSubheadings"/>
      </w:pPr>
      <w:r w:rsidRPr="00D24B56">
        <w:t xml:space="preserve">KTR: </w:t>
      </w:r>
      <w:r>
        <w:t>Treatment</w:t>
      </w:r>
      <w:r w:rsidRPr="00D24B56">
        <w:t xml:space="preserve"> of acute </w:t>
      </w:r>
      <w:r>
        <w:t xml:space="preserve">antibody mediated rejection - </w:t>
      </w:r>
      <w:r w:rsidRPr="005A6E03">
        <w:t>I</w:t>
      </w:r>
      <w:r>
        <w:t>ntravenous Immunoglobulin (I</w:t>
      </w:r>
      <w:r w:rsidRPr="005A6E03">
        <w:t>VI</w:t>
      </w:r>
      <w:r>
        <w:t>g)</w:t>
      </w:r>
    </w:p>
    <w:p w14:paraId="7FD57891" w14:textId="539B8737" w:rsidR="00076320" w:rsidRPr="004F2E93" w:rsidRDefault="00076320" w:rsidP="00076320">
      <w:pPr>
        <w:jc w:val="both"/>
        <w:rPr>
          <w:color w:val="FF0000"/>
        </w:rPr>
      </w:pPr>
      <w:r>
        <w:t>IVIg has immunomodulatory properties by inhibiting B and T cell proliferation, suppressing the production of anti-HLA antibodies, modifying complement activation and enhancing clearance of pathogenic IgG</w:t>
      </w:r>
      <w:r>
        <w:rPr>
          <w:vertAlign w:val="superscript"/>
        </w:rPr>
        <w:t xml:space="preserve"> </w:t>
      </w:r>
      <w:r>
        <w:rPr>
          <w:vertAlign w:val="superscript"/>
        </w:rPr>
        <w:fldChar w:fldCharType="begin"/>
      </w:r>
      <w:r w:rsidR="006528EA">
        <w:rPr>
          <w:vertAlign w:val="superscript"/>
        </w:rPr>
        <w:instrText xml:space="preserve"> ADDIN ZOTERO_ITEM CSL_CITATION {"citationID":"SzMgOIbY","properties":{"formattedCitation":"\\super 100\\nosupersub{}","plainCitation":"100","noteIndex":0},"citationItems":[{"id":19069,"uris":["http://zotero.org/users/3444308/items/DXUB4TJI"],"itemData":{"id":19069,"type":"article-journal","abstract":"PURPOSE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100</w:t>
      </w:r>
      <w:r>
        <w:rPr>
          <w:vertAlign w:val="superscript"/>
        </w:rPr>
        <w:fldChar w:fldCharType="end"/>
      </w:r>
      <w:r>
        <w:t>. IVIg is considered standard of care, alongside plasmapheresis and corticosteroids</w:t>
      </w:r>
      <w:r>
        <w:rPr>
          <w:vertAlign w:val="superscript"/>
        </w:rPr>
        <w:t xml:space="preserve"> </w:t>
      </w:r>
      <w:r>
        <w:rPr>
          <w:vertAlign w:val="superscript"/>
        </w:rPr>
        <w:fldChar w:fldCharType="begin"/>
      </w:r>
      <w:r w:rsidR="006528EA">
        <w:rPr>
          <w:vertAlign w:val="superscript"/>
        </w:rPr>
        <w:instrText xml:space="preserve"> ADDIN ZOTERO_ITEM CSL_CITATION {"citationID":"VKB9LKb1","properties":{"formattedCitation":"\\super 99,104\\nosupersub{}","plainCitation":"99,104","noteIndex":0},"citationItems":[{"id":19063,"uris":["http://zotero.org/users/3444308/items/UBTDAFFN"],"itemData":{"id":19063,"type":"article-journal","abstract":"Intravenous immunoglobulin (IVIG) has been developed for over 40 years. The mechanisms of action of IVIG are complex and diverse, and there may be multiple mechanisms that combine to influence it. IVIG has been used in kidney transplantation for desensitization, treatment of antibody-mediated rejection, and ABO-incompatible transplantation. and treatment or prevention of some infectious diseases. Hyperimmune globulins such as cytomegalovirus hyperimmune globulin (CMV-IG) and hepatitis B hyperimmune globulin (HBIG) have also been used to protect against cytomegalovirus and hepatitis B virus, respectively. However, IVIG is also associated with some rare but serious adverse effects and some application risks, and clinicians need to weigh the pros and cons and develop individualized treatment programs to benefit more patients. This review will provide an overview of the multiple mechanisms of action, clinical applications, adverse effects, and prophylactic measures of IVIG, and hyperimmune globulin will also be introduced in it.","container-title":"Clinical Immunology (Orlando, Fla.)","DOI":"10.1016/j.clim.2023.109782","ISSN":"1521-7035","journalAbbreviation":"Clin Immunol","language":"eng","note":"PMID: 37742791","page":"109782","source":"PubMed","title":"Intravenous immunoglobulin in kidney transplantation: Mechanisms of action, clinical applications, adverse effects, and hyperimmune globulin","title-short":"Intravenous immunoglobulin in kidney transplantation","volume":"256","author":[{"family":"Hou","given":"Yi-Bo"},{"family":"Chang","given":"Sheng"},{"family":"Chen","given":"Song"},{"family":"Zhang","given":"Wei-Jie"}],"issued":{"date-parts":[["2023",11]]}}},{"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99,104</w:t>
      </w:r>
      <w:r>
        <w:rPr>
          <w:vertAlign w:val="superscript"/>
        </w:rPr>
        <w:fldChar w:fldCharType="end"/>
      </w:r>
      <w:r>
        <w:t xml:space="preserve">. </w:t>
      </w:r>
    </w:p>
    <w:p w14:paraId="3B7F5906" w14:textId="4960A65E" w:rsidR="00076320" w:rsidRDefault="00076320" w:rsidP="00076320">
      <w:pPr>
        <w:jc w:val="both"/>
      </w:pPr>
      <w:r>
        <w:t xml:space="preserve">Low dose IVIg is thought to inhibit endogenous antibody rebound after plasmapheresis removal and restores protective antimicrobial </w:t>
      </w:r>
      <w:proofErr w:type="spellStart"/>
      <w:r>
        <w:t>IgGs</w:t>
      </w:r>
      <w:proofErr w:type="spellEnd"/>
      <w:r>
        <w:rPr>
          <w:vertAlign w:val="superscript"/>
        </w:rPr>
        <w:t xml:space="preserve"> </w:t>
      </w:r>
      <w:r>
        <w:rPr>
          <w:vertAlign w:val="superscript"/>
        </w:rPr>
        <w:fldChar w:fldCharType="begin"/>
      </w:r>
      <w:r w:rsidR="006528EA">
        <w:rPr>
          <w:vertAlign w:val="superscript"/>
        </w:rPr>
        <w:instrText xml:space="preserve"> ADDIN ZOTERO_ITEM CSL_CITATION {"citationID":"1s3gWNGm","properties":{"formattedCitation":"\\super 90\\nosupersub{}","plainCitation":"90","noteIndex":0},"citationItems":[{"id":18882,"uris":["http://zotero.org/users/3444308/items/6IMZDWMH"],"itemData":{"id":18882,"type":"article-journal","abstract":"Despite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90</w:t>
      </w:r>
      <w:r>
        <w:rPr>
          <w:vertAlign w:val="superscript"/>
        </w:rPr>
        <w:fldChar w:fldCharType="end"/>
      </w:r>
      <w:r>
        <w:t xml:space="preserve">. </w:t>
      </w:r>
    </w:p>
    <w:p w14:paraId="1F8708E2" w14:textId="5E452A49" w:rsidR="00076320" w:rsidRDefault="00076320" w:rsidP="00076320">
      <w:pPr>
        <w:jc w:val="both"/>
      </w:pPr>
      <w:r>
        <w:t xml:space="preserve">A retrospective paired cohort study with mean </w:t>
      </w:r>
      <w:proofErr w:type="gramStart"/>
      <w:r>
        <w:t>follow</w:t>
      </w:r>
      <w:proofErr w:type="gramEnd"/>
      <w:r>
        <w:t xml:space="preserve"> up of 7 years found that patients who received IVIg had improved graft survival compared to those who did not. A further, smaller </w:t>
      </w:r>
      <w:r>
        <w:lastRenderedPageBreak/>
        <w:t>study compared high dose IVIg monotherapy to combination of low dose IVIg with plasmapheresis, and anti-CD20 therapy and found higher graft survival in the combination group</w:t>
      </w:r>
      <w:r w:rsidR="009225FA">
        <w:fldChar w:fldCharType="begin"/>
      </w:r>
      <w:r w:rsidR="006528EA">
        <w:instrText xml:space="preserve"> ADDIN ZOTERO_ITEM CSL_CITATION {"citationID":"RR8pciKb","properties":{"formattedCitation":"\\super 90\\nosupersub{}","plainCitation":"90","noteIndex":0},"citationItems":[{"id":18882,"uris":["http://zotero.org/users/3444308/items/6IMZDWMH"],"itemData":{"id":18882,"type":"article-journal","abstract":"Despite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A."}],"issued":{"date-parts":[["2023",7,27]]}}}],"schema":"https://github.com/citation-style-language/schema/raw/master/csl-citation.json"} </w:instrText>
      </w:r>
      <w:r w:rsidR="009225FA">
        <w:fldChar w:fldCharType="separate"/>
      </w:r>
      <w:r w:rsidR="009225FA" w:rsidRPr="009225FA">
        <w:rPr>
          <w:rFonts w:ascii="Aptos" w:hAnsi="Aptos" w:cs="Times New Roman"/>
          <w:vertAlign w:val="superscript"/>
        </w:rPr>
        <w:t>90</w:t>
      </w:r>
      <w:r w:rsidR="009225FA">
        <w:fldChar w:fldCharType="end"/>
      </w:r>
      <w:r>
        <w:t xml:space="preserve">. However, these studies are old, with significant variation in immunosuppressive practise from </w:t>
      </w:r>
      <w:r w:rsidRPr="00E04D17">
        <w:t>current theory</w:t>
      </w:r>
      <w:r>
        <w:t xml:space="preserve"> and containing small patient numbers in poor quality cohort studies</w:t>
      </w:r>
      <w:r w:rsidRPr="00E04D17">
        <w:rPr>
          <w:rStyle w:val="CommentReference"/>
        </w:rPr>
        <w:t>. T</w:t>
      </w:r>
      <w:r w:rsidRPr="00E04D17">
        <w:t>here are no</w:t>
      </w:r>
      <w:r>
        <w:t xml:space="preserve"> recent,</w:t>
      </w:r>
      <w:r w:rsidRPr="00E04D17">
        <w:t xml:space="preserve"> large</w:t>
      </w:r>
      <w:r>
        <w:t xml:space="preserve">, randomised controlled trials of IVIg in </w:t>
      </w:r>
      <w:proofErr w:type="spellStart"/>
      <w:r>
        <w:t>aAMR</w:t>
      </w:r>
      <w:proofErr w:type="spellEnd"/>
      <w:r>
        <w:t xml:space="preserve"> to inform practise.</w:t>
      </w:r>
    </w:p>
    <w:p w14:paraId="1A6C8771" w14:textId="77777777" w:rsidR="00076320" w:rsidRPr="005A6E03" w:rsidRDefault="00076320" w:rsidP="00F10BCF">
      <w:pPr>
        <w:pStyle w:val="GuidelineSubheadings"/>
      </w:pPr>
      <w:r w:rsidRPr="00D24B56">
        <w:t xml:space="preserve">KTR: </w:t>
      </w:r>
      <w:r>
        <w:t>Treatment</w:t>
      </w:r>
      <w:r w:rsidRPr="00D24B56">
        <w:t xml:space="preserve"> of acute </w:t>
      </w:r>
      <w:r>
        <w:t xml:space="preserve">antibody mediated rejection - </w:t>
      </w:r>
      <w:r w:rsidRPr="005A6E03">
        <w:t>Anti-CD20 Monoclonal antibod</w:t>
      </w:r>
      <w:r>
        <w:t>ies</w:t>
      </w:r>
    </w:p>
    <w:p w14:paraId="5094BC83" w14:textId="47A20641" w:rsidR="00076320" w:rsidRDefault="00076320" w:rsidP="00076320">
      <w:pPr>
        <w:jc w:val="both"/>
      </w:pPr>
      <w:r>
        <w:t>Rituximab is a monoclonal antibody directed against the CD20 antigen on the surface of B lymphocytes</w:t>
      </w:r>
      <w:r>
        <w:rPr>
          <w:vertAlign w:val="superscript"/>
        </w:rPr>
        <w:t xml:space="preserve"> </w:t>
      </w:r>
      <w:r>
        <w:rPr>
          <w:vertAlign w:val="superscript"/>
        </w:rPr>
        <w:fldChar w:fldCharType="begin"/>
      </w:r>
      <w:r w:rsidR="006528EA">
        <w:rPr>
          <w:vertAlign w:val="superscript"/>
        </w:rPr>
        <w:instrText xml:space="preserve"> ADDIN ZOTERO_ITEM CSL_CITATION {"citationID":"dUhSbyPW","properties":{"formattedCitation":"\\super 100\\nosupersub{}","plainCitation":"100","noteIndex":0},"citationItems":[{"id":19069,"uris":["http://zotero.org/users/3444308/items/DXUB4TJI"],"itemData":{"id":19069,"type":"article-journal","abstract":"PURPOSE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100</w:t>
      </w:r>
      <w:r>
        <w:rPr>
          <w:vertAlign w:val="superscript"/>
        </w:rPr>
        <w:fldChar w:fldCharType="end"/>
      </w:r>
      <w:r>
        <w:t xml:space="preserve">. Rituximab works by depleting B cells, which are precursors of plasma cells that produce DSA. </w:t>
      </w:r>
    </w:p>
    <w:p w14:paraId="7510CBD9" w14:textId="781B4AAC" w:rsidR="00076320" w:rsidRDefault="00076320" w:rsidP="00076320">
      <w:pPr>
        <w:jc w:val="both"/>
      </w:pPr>
      <w:r>
        <w:t>A systematic review and meta-analysis from 2018 found only two RCTs and a further 2 non-controlled studies (total study population 168) and failed to demonstrate any benefit from rituximab in addition to that seen with plasmapheresis and IVIg</w:t>
      </w:r>
      <w:r>
        <w:rPr>
          <w:vertAlign w:val="superscript"/>
        </w:rPr>
        <w:t xml:space="preserve"> </w:t>
      </w:r>
      <w:r>
        <w:rPr>
          <w:vertAlign w:val="superscript"/>
        </w:rPr>
        <w:fldChar w:fldCharType="begin"/>
      </w:r>
      <w:r w:rsidR="006528EA">
        <w:rPr>
          <w:vertAlign w:val="superscript"/>
        </w:rPr>
        <w:instrText xml:space="preserve"> ADDIN ZOTERO_ITEM CSL_CITATION {"citationID":"odbZTtBB","properties":{"formattedCitation":"\\super 101\\nosupersub{}","plainCitation":"101","noteIndex":0},"citationItems":[{"id":19066,"uris":["http://zotero.org/users/3444308/items/38RB9VGH"],"itemData":{"id":19066,"type":"article-journal","abstract":"BACKGROUND: Current treatments for antibody-mediated rejection (AMR) in kidney transplantation are based on low-quality data from a small number of controlled trials. Novel agents targeting B cells, plasma cells, and the complement system have featured in recent studies of AMR.\nMETHODS: We conducted a systematic review and meta-analysis of controlled trials in kidney transplant recipients using Medline, EMBASE, and CENTRAL from inception to February 2017.\nRESULTS: Of 14 380 citations, we identified 21 studies, including 10 randomized controlled trials, involving 751 participants. Since the last systematic review conducted in 2011, we found nine additional studies evaluating plasmapheresis + intravenous immunoglobulin (IVIG) (two), rituximab (two), bortezomib (two), C1 inhibitor (two), and eculizumab (one). Risk of bias was serious or unclear overall and evidence quality was low for the majority of treatment strategies. Sufficient RCTs for pooled analysis were available only for antibody removal, and here there was no significant difference between groups for graft survival (HR 0.76; 95% CI 0.35-1.63; P = 0.475). Studies showed important heterogeneity in treatments, definition of AMR, quality, and follow-up. Plasmapheresis and IVIG were used as standard-of-care in recent studies, and to this combination, rituximab seemed to add little or no benefit. Insufficient data are available to assess the efficacy of bortezomib and complement inhibitors.\nCONCLUSION: Newer studies evaluating rituximab showed little or no difference to early graft survival, and the efficacy of bortezomib and complement inhibitors for the treatment of AMR remains unclear. Despite the evidence uncertainty, plasmapheresis and IVIG have become standard-of-care for the treatment of acute AMR.","container-title":"Transplantation","DOI":"10.1097/TP.0000000000002049","ISSN":"1534-6080","issue":"4","journalAbbreviation":"Transplantation","language":"eng","note":"PMID: 29315141","page":"557-568","source":"PubMed","title":"The Treatment of Antibody-Mediated Rejection in Kidney Transplantation: An Updated Systematic Review and Meta-Analysis","title-short":"The Treatment of Antibody-Mediated Rejection in Kidney Transplantation","volume":"102","author":[{"family":"Wan","given":"Susan S."},{"family":"Ying","given":"Tracey D."},{"family":"Wyburn","given":"Kate"},{"family":"Roberts","given":"Darren M."},{"family":"Wyld","given":"Melanie"},{"family":"Chadban","given":"Steven J."}],"issued":{"date-parts":[["2018",4]]}}}],"schema":"https://github.com/citation-style-language/schema/raw/master/csl-citation.json"}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101</w:t>
      </w:r>
      <w:r>
        <w:rPr>
          <w:vertAlign w:val="superscript"/>
        </w:rPr>
        <w:fldChar w:fldCharType="end"/>
      </w:r>
      <w:r>
        <w:t xml:space="preserve">. </w:t>
      </w:r>
    </w:p>
    <w:p w14:paraId="20693101" w14:textId="48433429" w:rsidR="00076320" w:rsidRDefault="00076320" w:rsidP="00076320">
      <w:pPr>
        <w:jc w:val="both"/>
      </w:pPr>
      <w:r>
        <w:t xml:space="preserve">The RITUX-ERAH study, a French, multi-centre, double-blinded trial, evaluated both </w:t>
      </w:r>
      <w:proofErr w:type="gramStart"/>
      <w:r>
        <w:t>short and long term</w:t>
      </w:r>
      <w:proofErr w:type="gramEnd"/>
      <w:r>
        <w:t xml:space="preserve"> outcomes for rituximab in 2020. All 38 patients, with </w:t>
      </w:r>
      <w:proofErr w:type="spellStart"/>
      <w:r>
        <w:t>aABMR</w:t>
      </w:r>
      <w:proofErr w:type="spellEnd"/>
      <w:r>
        <w:t xml:space="preserve"> in the first year post-transplant received plasma exchange, IVIG and corticosteroids, and 27 were randomised to receive rituximab in addition This study also failed to demonstrate any statistical difference in either renal function or graft survival at 12 month or seven year follow up</w:t>
      </w:r>
      <w:r>
        <w:rPr>
          <w:vertAlign w:val="superscript"/>
        </w:rPr>
        <w:t xml:space="preserve"> </w:t>
      </w:r>
      <w:r>
        <w:rPr>
          <w:vertAlign w:val="superscript"/>
        </w:rPr>
        <w:fldChar w:fldCharType="begin"/>
      </w:r>
      <w:r w:rsidR="006528EA">
        <w:rPr>
          <w:vertAlign w:val="superscript"/>
        </w:rPr>
        <w:instrText xml:space="preserve"> ADDIN ZOTERO_ITEM CSL_CITATION {"citationID":"vuGC0fuA","properties":{"formattedCitation":"\\super 105\\nosupersub{}","plainCitation":"105","noteIndex":0},"citationItems":[{"id":19062,"uris":["http://zotero.org/users/3444308/items/HXMICNM3"],"itemData":{"id":19062,"type":"article-journal","abstract":"The treatment of active antibody-mediated rejection (ABMR) is still a matter of debate, the place of rituximab remaining controversial. The French multicenter double-blind RITUX-ERAH study included 38 patients with ABMR in the first year of renal transplantation. All patients received plasma exchanges, intravenous immunoglobulins, and corticosteroids and were randomly assigned rituximab or placebo infusion at day 5. Additional rituximab infusions were allowed. In the intention-to-treat analysis, 12-month graft survival and renal function were not different between the rituximab and placebo groups. Long-term data are needed to conclude. Evaluation of the 7-year outcomes of the RITUX-ERAH study patients according to the rituximab or placebo treatment received. Eleven patients received placebo and 27 at least one infusion of rituximab. Seven years after ABMR, death-censored kidney allograft survival and renal function were not different between the groups. The evolution of anti-HLA sensitization was similar. There was no statistically significant difference in the incidence of infectious or neoplastic complications, but to be noted, seven cancers developed in six patients treated with rituximab (mean period of 44 months post-ABMR). In this cohort, there was no benefit 7 years after ABMR of rituximab in addition to plasma exchanges, intravenous immunoglobulins, and steroids.","container-title":"Transplant International: Official Journal of the European Society for Organ Transplantation","DOI":"10.1111/tri.13613","ISSN":"1432-2277","issue":"7","journalAbbreviation":"Transpl Int","language":"eng","note":"PMID: 32279367","page":"786-795","source":"PubMed","title":"An extension of the RITUX-ERAH study, multicenter randomized clinical trial comparing rituximab to placebo in acute antibody-mediated rejection after renal transplantation","volume":"33","author":[{"family":"Bailly","given":"Elodie"},{"family":"Ville","given":"Simon"},{"family":"Blancho","given":"Gilles"},{"family":"Morelon","given":"Emmanuel"},{"family":"Bamoulid","given":"Jamal"},{"family":"Caillard","given":"Sophie"},{"family":"Chatelet","given":"Valérie"},{"family":"Malvezzi","given":"Paolo"},{"family":"Tourret","given":"Jérôme"},{"family":"Vuiblet","given":"Vincent"},{"family":"Anglicheau","given":"Dany"},{"family":"Bertrand","given":"Dominique"},{"family":"Grimbert","given":"Philippe"},{"family":"Haidar","given":"Fadi"},{"family":"Hazzan","given":"Marc"},{"family":"Kamar","given":"Nassim"},{"family":"Merville","given":"Pierre"},{"family":"Mousson","given":"Christiane"},{"family":"Pernin","given":"Vincent"},{"family":"Pouteil-Noble","given":"Claire"},{"family":"Purgus","given":"Raj"},{"family":"Sayegh","given":"Johnny"},{"family":"Westeel","given":"Pierre-François"},{"family":"Sautenet","given":"Bénédicte"},{"family":"Gatault","given":"Philippe"},{"family":"Büchler","given":"Matthias"}],"issued":{"date-parts":[["2020",7]]}}}],"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105</w:t>
      </w:r>
      <w:r>
        <w:rPr>
          <w:vertAlign w:val="superscript"/>
        </w:rPr>
        <w:fldChar w:fldCharType="end"/>
      </w:r>
      <w:r>
        <w:t>. Webster et al also found that rituximab plus steroids probably increases the risk of urinary tract infection/pyelonephritis (RR 5.73, 95% CI 1.80 to 18.21) compared to treatment without rituximab</w:t>
      </w:r>
      <w:r>
        <w:rPr>
          <w:vertAlign w:val="superscript"/>
        </w:rPr>
        <w:t xml:space="preserve"> </w:t>
      </w:r>
      <w:r>
        <w:rPr>
          <w:vertAlign w:val="superscript"/>
        </w:rPr>
        <w:fldChar w:fldCharType="begin"/>
      </w:r>
      <w:r w:rsidR="006528EA">
        <w:rPr>
          <w:vertAlign w:val="superscript"/>
        </w:rPr>
        <w:instrText xml:space="preserve"> ADDIN ZOTERO_ITEM CSL_CITATION {"citationID":"kqJYf7MD","properties":{"formattedCitation":"\\super 95\\nosupersub{}","plainCitation":"95","noteIndex":0},"citationItems":[{"id":18877,"uris":["http://zotero.org/users/3444308/items/7GRM4L63"],"itemData":{"id":18877,"type":"article-journal","abstract":"BACKGROUND: Registry data shows that the incidence of acute rejection has been steadily falling. Approximately 10% to 35% of kidney recipients will undergo treatment for at least one episode of acute rejection within the first post-transplant year. Treatment options include pulsed steroid therapy, the use of an antibody preparation, the alteration of background immunosuppression, or combinations of these options. Over recent years, new treatment strategies have evolved, and in many parts of the world there has been an increase in use of tacrolimus and mycophenolate and a reduction in the use of cyclosporin and azathioprine use as baseline immunosuppression to prevent acute rejection. There are also global variations in use of polyclonal and monoclonal antibodies to treat acute rejection. This is an update of a review published in 2006.\nOBJECTIVES: The aim of this systematic review was to: (1) to evaluate the relative and absolute effects of different classes of antibody preparation in preventing graft loss and resolving cellular or humoral rejection episodes when used as a treatment for first episode of rejection in kidney transplant recipients; (2) evaluate the relative and absolute effects of different classes of antibody preparation in preventing graft loss and resolving cellular or humoral rejection episodes when used as a treatment for steroid-resistant rejection in kidney transplant recipients; (3) determine how the benefits and adverse events vary for each type of antibody preparation; and (4) determine how the benefits and harms vary for different formulations of antibody within each type.\nSEARCH METHODS: We searched the Cochrane Kidney and Transplant Specialised Register to 18 April 2017 through contact with the Information Specialist using search terms relevant to this review.\nSELECTION CRITERIA: Randomised controlled trials (RCTs) in all languages comparing all mono- and polyclonal antibody preparations, given in combination with any other immunosuppressive agents, for the treatment of cellular or humoral graft rejection, when compared to any other treatment for acute rejection were eligible for inclusion.\nDATA COLLECTION AND ANALYSIS: Two authors independently assessed the risk of bias of the included studies and extracted data. Statistical analyses were performed using a random-effects model and results expressed as risk ratio (RR) or mean difference (MD) with 95% confidence intervals (CI).\nMAIN RESULTS: We included 11 new studies (18 reports, 346 participants) in this update, bring the total number of included studies to 31 (76 reports, 1680 participants). Studies were generally small, incompletely reported, especially for potential harms, and did not define outcome measures adequately. The risk of bias was inadequate or unclear risk for random sequence generation (81%), allocation concealment (87%) and other bias (87%). There were, however, a predominance of low risk of bias for blinding (75%) and incomplete outcome data (80%) across all the studies. Selective reporting had a mixture of low (58%), high (29%), and unclear (13%) risk of bias.Seventeen studies (1005 participants) compared therapies for first acute cellular rejection episodes. Antibody therapy was probably better than steroid in reversing acute cellular rejection (RR 0.50, 95% CI 0.30 to 0.82; moderate certainty) and preventing subsequent rejection (RR 0.70, 95% CI 0.50 to 0.99; moderate certainty), may be better for preventing graft loss (death censored: (RR 0.80, 95% CI 0.57 to 1.12; low certainty) but there was little or no difference in death at one year. Adverse effects of treatment (including fever, chills and malaise following drug administration) were probably reduced with steroid therapy (RR 23.88, 95% CI 5.10 to 111.86; I2 = 16%; moderate certainty).Twelve studies (576 patients) investigated antibody treatment for steroid-resistant rejection. There was little or no benefit of muromonab-CD3 over ATG or ALG in reversing rejection, preventing subsequent rejection, or preventing graft loss or death. Two studies compared the use of rituximab for treatment of acute humoral rejection (58 patients). Muromonab-CD3 treated patients suffered three times more than those receiving either ATG or T10B9, from a syndrome of fever, chills and malaise following drug administration (RR 3.12, 95% CI 1.87 to 5.21; I2 = 31%), and experienced more neurological side effects (RR 13.10 95% CI 1.43 to 120.05; I2 = 36%) (low certainty evidence).There was no evidence of additional benefit from rituximab in terms of either reversal of rejection (RR 0.94, 95% CI 0.54 to 1.64), or graft loss or death 12 months (RR 1.0, 95% CI 0.23 to 4.35). Rituximab plus steroids probably increases the risk of urinary tract infection/pyelonephritis (RR 5.73, 95% CI 1.80 to 18.21).\nAUTHORS' CONCLUSIONS: In reversing first acute cellular rejection and preventing graft loss, any antibody is probably better than steroid, but there is little or no difference in subsequent rejection and patient survival. In reversing steroid-resistant rejection there was little or no difference between different antibodies over a period of 12 months, with limited data beyond that time frame. In treating acute humoral rejection, there was no evidence that the use of antibody therapy conferred additional benefit in terms of reversal of rejection, or death or graft loss.Although this is an updated review, the majority of newer included studies provide additional evidence from the cyclosporin/azathioprine era of kidney transplantation and therefore conclusions cannot necessarily be extrapolated to patients treated with more contemporary immunosuppressive regimens which include tacrolimus/mycophenolate or sirolimus. However, many kidney transplant centres around the world continue to use older immunosuppressive regimes and the findings of this review remain strongly relevant to their clinical practice.Larger studies with standardised reproducible outcome criteria are needed to investigate the outcomes and risks of antibody treatments for acute rejection in kidney transplant recipients receiving contemporary immunosuppressive regimes.","container-title":"The Cochrane Database of Systematic Reviews","DOI":"10.1002/14651858.CD004756.pub4","ISSN":"1469-493X","issue":"7","journalAbbreviation":"Cochrane Database Syst Rev","language":"eng","note":"PMID: 28731207\nPMCID: PMC6483358","page":"CD004756","source":"PubMed","title":"Polyclonal and monoclonal antibodies for treating acute rejection episodes in kidney transplant recipients","volume":"7","author":[{"family":"Webster","given":"Angela C."},{"family":"Wu","given":"Sunny"},{"family":"Tallapragada","given":"Krishna"},{"family":"Park","given":"Min Young"},{"family":"Chapman","given":"Jeremy R."},{"family":"Carr","given":"Sue J."}],"issued":{"date-parts":[["2017",7,20]]}}}],"schema":"https://github.com/citation-style-language/schema/raw/master/csl-citation.json"}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95</w:t>
      </w:r>
      <w:r>
        <w:rPr>
          <w:vertAlign w:val="superscript"/>
        </w:rPr>
        <w:fldChar w:fldCharType="end"/>
      </w:r>
      <w:r>
        <w:t>.</w:t>
      </w:r>
    </w:p>
    <w:p w14:paraId="7E89BFDD" w14:textId="7FC4EA21" w:rsidR="00076320" w:rsidRPr="00EB5A9D" w:rsidRDefault="00076320" w:rsidP="00076320">
      <w:pPr>
        <w:jc w:val="both"/>
      </w:pPr>
      <w:r w:rsidRPr="00EB5A9D">
        <w:t>The 2019 expert consensus guidelines identified a further small scale randomised trial but also concluded that despite frequent use, prospective studies show evidence for use of rituximab is low and fails to demonstrate any clear benefit</w:t>
      </w:r>
      <w:r>
        <w:rPr>
          <w:vertAlign w:val="superscript"/>
        </w:rPr>
        <w:t xml:space="preserve"> </w:t>
      </w:r>
      <w:r>
        <w:rPr>
          <w:vertAlign w:val="superscript"/>
        </w:rPr>
        <w:fldChar w:fldCharType="begin"/>
      </w:r>
      <w:r w:rsidR="006528EA">
        <w:rPr>
          <w:vertAlign w:val="superscript"/>
        </w:rPr>
        <w:instrText xml:space="preserve"> ADDIN ZOTERO_ITEM CSL_CITATION {"citationID":"c78TCAif","properties":{"formattedCitation":"\\super 99\\nosupersub{}","plainCitation":"99","noteIndex":0},"citationItems":[{"id":19067,"uris":["http://zotero.org/users/3444308/items/INTNM73U"],"itemData":{"id":19067,"type":"article-journal","abstract":"With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99</w:t>
      </w:r>
      <w:r>
        <w:rPr>
          <w:vertAlign w:val="superscript"/>
        </w:rPr>
        <w:fldChar w:fldCharType="end"/>
      </w:r>
      <w:r w:rsidRPr="00EB5A9D">
        <w:t xml:space="preserve">. </w:t>
      </w:r>
    </w:p>
    <w:p w14:paraId="05926C96" w14:textId="77777777" w:rsidR="00076320" w:rsidRPr="00EB5A9D" w:rsidRDefault="00076320" w:rsidP="00076320">
      <w:pPr>
        <w:jc w:val="both"/>
      </w:pPr>
      <w:r w:rsidRPr="00EB5A9D">
        <w:t xml:space="preserve">Several retrospective analyses have suggested some positive effects of rituximab in multi-modal treatment regimens (together with steroids, plasmapheresis and IVIg), and a single centre </w:t>
      </w:r>
      <w:proofErr w:type="gramStart"/>
      <w:r w:rsidRPr="00EB5A9D">
        <w:t>non randomised</w:t>
      </w:r>
      <w:proofErr w:type="gramEnd"/>
      <w:r w:rsidRPr="00EB5A9D">
        <w:t xml:space="preserve"> study suggests rituximab may prevent DSA rebound as part of a desensitisation protocol. However, optimal doses, number of treatment cycles and effect on patients without vascular AMR remain unclear. </w:t>
      </w:r>
    </w:p>
    <w:p w14:paraId="5D5C6E2A" w14:textId="617A505E" w:rsidR="00076320" w:rsidRDefault="00076320" w:rsidP="00076320">
      <w:pPr>
        <w:jc w:val="both"/>
        <w:rPr>
          <w:color w:val="000000" w:themeColor="text1"/>
        </w:rPr>
      </w:pPr>
      <w:r w:rsidRPr="008406C8">
        <w:rPr>
          <w:color w:val="000000" w:themeColor="text1"/>
        </w:rPr>
        <w:t>Obin</w:t>
      </w:r>
      <w:r w:rsidR="00A4221A">
        <w:rPr>
          <w:color w:val="000000" w:themeColor="text1"/>
        </w:rPr>
        <w:t>u</w:t>
      </w:r>
      <w:r w:rsidRPr="008406C8">
        <w:rPr>
          <w:color w:val="000000" w:themeColor="text1"/>
        </w:rPr>
        <w:t xml:space="preserve">tuzumab is an experimental anti-CD20 monoclonal antibody which works by depleting B cells and promoting cell lysis by triggering the complement of both </w:t>
      </w:r>
      <w:r>
        <w:rPr>
          <w:color w:val="000000" w:themeColor="text1"/>
        </w:rPr>
        <w:t>complement dependent cytotoxicity (</w:t>
      </w:r>
      <w:r w:rsidRPr="008406C8">
        <w:rPr>
          <w:color w:val="000000" w:themeColor="text1"/>
        </w:rPr>
        <w:t>CDC</w:t>
      </w:r>
      <w:r>
        <w:rPr>
          <w:color w:val="000000" w:themeColor="text1"/>
        </w:rPr>
        <w:t>)</w:t>
      </w:r>
      <w:r w:rsidRPr="008406C8">
        <w:rPr>
          <w:color w:val="000000" w:themeColor="text1"/>
        </w:rPr>
        <w:t xml:space="preserve"> and </w:t>
      </w:r>
      <w:r>
        <w:rPr>
          <w:color w:val="000000" w:themeColor="text1"/>
        </w:rPr>
        <w:t>antibody-dependent cellular cytotoxicity (</w:t>
      </w:r>
      <w:r w:rsidRPr="008406C8">
        <w:rPr>
          <w:color w:val="000000" w:themeColor="text1"/>
        </w:rPr>
        <w:t>ADCC</w:t>
      </w:r>
      <w:r>
        <w:rPr>
          <w:color w:val="000000" w:themeColor="text1"/>
        </w:rPr>
        <w:t>)</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{"citationID":"8NSdmNBe","properties":{"formattedCitation":"\\super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106</w:t>
      </w:r>
      <w:r>
        <w:rPr>
          <w:color w:val="000000" w:themeColor="text1"/>
          <w:vertAlign w:val="superscript"/>
        </w:rPr>
        <w:fldChar w:fldCharType="end"/>
      </w:r>
      <w:r w:rsidRPr="008406C8">
        <w:rPr>
          <w:color w:val="000000" w:themeColor="text1"/>
        </w:rPr>
        <w:t>.</w:t>
      </w:r>
    </w:p>
    <w:p w14:paraId="3DFB1986" w14:textId="61E5E874" w:rsidR="00076320" w:rsidRDefault="00076320" w:rsidP="00076320">
      <w:pPr>
        <w:jc w:val="both"/>
      </w:pPr>
      <w:r>
        <w:t>When compared to rituximab, obinutuzumab appears to offer more profound B-cell depletion and shows promise in B-cell depletion for desensitisation in highly sensitized patients. However, it is associated with an inconsistent reduction in anti-HLA antibodies and evidence is limited to case series</w:t>
      </w:r>
      <w:r>
        <w:rPr>
          <w:vertAlign w:val="superscript"/>
        </w:rPr>
        <w:t xml:space="preserve"> </w:t>
      </w:r>
      <w:r>
        <w:rPr>
          <w:vertAlign w:val="superscript"/>
        </w:rPr>
        <w:fldChar w:fldCharType="begin"/>
      </w:r>
      <w:r w:rsidR="006528EA">
        <w:rPr>
          <w:vertAlign w:val="superscript"/>
        </w:rPr>
        <w:instrText xml:space="preserve"> ADDIN ZOTERO_ITEM CSL_CITATION {"citationID":"l6JpdYIt","properties":{"formattedCitation":"\\super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106</w:t>
      </w:r>
      <w:r>
        <w:rPr>
          <w:vertAlign w:val="superscript"/>
        </w:rPr>
        <w:fldChar w:fldCharType="end"/>
      </w:r>
      <w:r>
        <w:t>.</w:t>
      </w:r>
    </w:p>
    <w:p w14:paraId="650F0278" w14:textId="7911B11E" w:rsidR="00076320" w:rsidRDefault="00076320" w:rsidP="00076320">
      <w:pPr>
        <w:jc w:val="both"/>
      </w:pPr>
      <w:r>
        <w:lastRenderedPageBreak/>
        <w:t>Whilst B cell depleting therapies such as rituximab remain of interest, and KDIGO 2009 recommends rituximab should be considered as a treatment option, there is insufficient evidence to recommend in standard practise and its place in therapy remains to be established</w:t>
      </w:r>
      <w:r>
        <w:rPr>
          <w:vertAlign w:val="superscript"/>
        </w:rPr>
        <w:t xml:space="preserve"> </w:t>
      </w:r>
      <w:r>
        <w:rPr>
          <w:vertAlign w:val="superscript"/>
        </w:rPr>
        <w:fldChar w:fldCharType="begin"/>
      </w:r>
      <w:r w:rsidR="006528EA">
        <w:rPr>
          <w:vertAlign w:val="superscript"/>
        </w:rPr>
        <w:instrText xml:space="preserve"> ADDIN ZOTERO_ITEM CSL_CITATION {"citationID":"pBdKxWuB","properties":{"formattedCitation":"\\super 99\\nosupersub{}","plainCitation":"99","noteIndex":0},"citationItems":[{"id":19067,"uris":["http://zotero.org/users/3444308/items/INTNM73U"],"itemData":{"id":19067,"type":"article-journal","abstract":"With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99</w:t>
      </w:r>
      <w:r>
        <w:rPr>
          <w:vertAlign w:val="superscript"/>
        </w:rPr>
        <w:fldChar w:fldCharType="end"/>
      </w:r>
      <w:r>
        <w:t xml:space="preserve">. </w:t>
      </w:r>
    </w:p>
    <w:p w14:paraId="0BDE98CD" w14:textId="77777777" w:rsidR="00076320" w:rsidRPr="005A6E03" w:rsidRDefault="00076320" w:rsidP="00F10BCF">
      <w:pPr>
        <w:pStyle w:val="GuidelineSubheadings"/>
      </w:pPr>
      <w:r w:rsidRPr="00D24B56">
        <w:t xml:space="preserve">KTR: </w:t>
      </w:r>
      <w:r>
        <w:t>Treatment</w:t>
      </w:r>
      <w:r w:rsidRPr="00D24B56">
        <w:t xml:space="preserve"> of acute </w:t>
      </w:r>
      <w:r>
        <w:t xml:space="preserve">antibody mediated rejection - </w:t>
      </w:r>
      <w:r w:rsidRPr="005A6E03">
        <w:t>Complement Inhibitors</w:t>
      </w:r>
    </w:p>
    <w:p w14:paraId="7598B6D4" w14:textId="1280BDF7" w:rsidR="00076320" w:rsidRPr="00C870E8" w:rsidRDefault="00076320" w:rsidP="00076320">
      <w:pPr>
        <w:jc w:val="both"/>
        <w:rPr>
          <w:color w:val="000000" w:themeColor="text1"/>
        </w:rPr>
      </w:pPr>
      <w:r w:rsidRPr="000C46E8">
        <w:rPr>
          <w:color w:val="000000" w:themeColor="text1"/>
        </w:rPr>
        <w:t>Activation of the classical complement pathway is responsible for downstream effects of DSA and is</w:t>
      </w:r>
      <w:r>
        <w:rPr>
          <w:color w:val="000000" w:themeColor="text1"/>
        </w:rPr>
        <w:t xml:space="preserve"> thought to be</w:t>
      </w:r>
      <w:r w:rsidRPr="00C870E8">
        <w:rPr>
          <w:b/>
          <w:bCs/>
          <w:color w:val="000000" w:themeColor="text1"/>
        </w:rPr>
        <w:t xml:space="preserve"> </w:t>
      </w:r>
      <w:r w:rsidRPr="00C870E8">
        <w:rPr>
          <w:color w:val="000000" w:themeColor="text1"/>
        </w:rPr>
        <w:t xml:space="preserve">a significant factor in the manifestations of </w:t>
      </w:r>
      <w:proofErr w:type="spellStart"/>
      <w:r>
        <w:rPr>
          <w:color w:val="000000" w:themeColor="text1"/>
        </w:rPr>
        <w:t>a</w:t>
      </w:r>
      <w:r w:rsidRPr="00C870E8">
        <w:rPr>
          <w:color w:val="000000" w:themeColor="text1"/>
        </w:rPr>
        <w:t>AMR</w:t>
      </w:r>
      <w:proofErr w:type="spellEnd"/>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{"citationID":"hWAoepdI","properties":{"formattedCitation":"\\super 98\\uc0\\u8211{}100,106\\nosupersub{}","plainCitation":"98–100,106","noteIndex":0},"citationItems":[{"id":19061,"uris":["http://zotero.org/users/3444308/items/43F3Z7F7"],"itemData":{"id":19061,"type":"article-journal","abstract":"Despite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Alsabbagh","given":"Dema"},{"family":"Alomar","given":"Omar"},{"family":"Alhamad","given":"Tarek"}],"issued":{"date-parts":[["2023",7,26]]}}},{"id":19068,"uris":["http://zotero.org/users/3444308/items/ACGKKF24"],"itemData":{"id":19068,"type":"report","title":"Antibody Incompatible Transplantation Guideline","URL":"https://bts.org.uk/wp-content/uploads/2016/09/02_BTS_Antibody_Guidelines-1.pdf","author":[{"literal":"British Transplantation Society"}],"accessed":{"date-parts":[["2025",10,22]]},"issued":{"date-parts":[["2015"]]}}},{"id":19067,"uris":["http://zotero.org/users/3444308/items/INTNM73U"],"itemData":{"id":19067,"type":"article-journal","abstract":"With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98–100,106</w:t>
      </w:r>
      <w:r>
        <w:rPr>
          <w:color w:val="000000" w:themeColor="text1"/>
          <w:vertAlign w:val="superscript"/>
        </w:rPr>
        <w:fldChar w:fldCharType="end"/>
      </w:r>
      <w:r>
        <w:rPr>
          <w:color w:val="000000" w:themeColor="text1"/>
        </w:rPr>
        <w:t>.</w:t>
      </w:r>
    </w:p>
    <w:p w14:paraId="7EAAD25B" w14:textId="77777777" w:rsidR="00076320" w:rsidRPr="00C27346" w:rsidRDefault="00076320" w:rsidP="00076320">
      <w:pPr>
        <w:jc w:val="both"/>
        <w:rPr>
          <w:color w:val="000000" w:themeColor="text1"/>
        </w:rPr>
      </w:pPr>
      <w:r w:rsidRPr="00C27346">
        <w:rPr>
          <w:color w:val="000000" w:themeColor="text1"/>
        </w:rPr>
        <w:t xml:space="preserve">Eculizumab, a monoclonal antibody that targets complement 5, and </w:t>
      </w:r>
      <w:r>
        <w:rPr>
          <w:color w:val="000000" w:themeColor="text1"/>
        </w:rPr>
        <w:t>C</w:t>
      </w:r>
      <w:r w:rsidRPr="00C27346">
        <w:rPr>
          <w:color w:val="000000" w:themeColor="text1"/>
        </w:rPr>
        <w:t>omplement</w:t>
      </w:r>
      <w:r>
        <w:rPr>
          <w:color w:val="000000" w:themeColor="text1"/>
        </w:rPr>
        <w:t>-</w:t>
      </w:r>
      <w:r w:rsidRPr="00C27346">
        <w:rPr>
          <w:color w:val="000000" w:themeColor="text1"/>
        </w:rPr>
        <w:t xml:space="preserve">1 esterase inhibitors (C1 INHs) are proposed </w:t>
      </w:r>
      <w:r>
        <w:rPr>
          <w:color w:val="000000" w:themeColor="text1"/>
        </w:rPr>
        <w:t>to</w:t>
      </w:r>
      <w:r w:rsidRPr="00C27346">
        <w:rPr>
          <w:color w:val="000000" w:themeColor="text1"/>
        </w:rPr>
        <w:t xml:space="preserve"> prevent and/or treat </w:t>
      </w:r>
      <w:proofErr w:type="spellStart"/>
      <w:r>
        <w:rPr>
          <w:color w:val="000000" w:themeColor="text1"/>
        </w:rPr>
        <w:t>a</w:t>
      </w:r>
      <w:r w:rsidRPr="00C27346">
        <w:rPr>
          <w:color w:val="000000" w:themeColor="text1"/>
        </w:rPr>
        <w:t>AMR</w:t>
      </w:r>
      <w:proofErr w:type="spellEnd"/>
      <w:r w:rsidRPr="00C27346">
        <w:rPr>
          <w:color w:val="000000" w:themeColor="text1"/>
        </w:rPr>
        <w:t xml:space="preserve">, with varying degrees of effectiveness. </w:t>
      </w:r>
    </w:p>
    <w:p w14:paraId="7A54EA43" w14:textId="1F815123" w:rsidR="00076320" w:rsidRPr="000C46E8" w:rsidRDefault="00076320" w:rsidP="00076320">
      <w:pPr>
        <w:jc w:val="both"/>
      </w:pPr>
      <w:r w:rsidRPr="000C46E8">
        <w:t xml:space="preserve">Several case reports describe successful use of eculizumab in severe or refractory cases of </w:t>
      </w:r>
      <w:proofErr w:type="spellStart"/>
      <w:r>
        <w:t>a</w:t>
      </w:r>
      <w:r w:rsidRPr="000C46E8">
        <w:t>AMR</w:t>
      </w:r>
      <w:proofErr w:type="spellEnd"/>
      <w:r w:rsidRPr="000C46E8">
        <w:t xml:space="preserve"> in HLA- or ABO-incompatible kidney transplants</w:t>
      </w:r>
      <w:r>
        <w:rPr>
          <w:vertAlign w:val="superscript"/>
        </w:rPr>
        <w:t xml:space="preserve"> </w:t>
      </w:r>
      <w:r>
        <w:rPr>
          <w:vertAlign w:val="superscript"/>
        </w:rPr>
        <w:fldChar w:fldCharType="begin"/>
      </w:r>
      <w:r w:rsidR="006528EA">
        <w:rPr>
          <w:vertAlign w:val="superscript"/>
        </w:rPr>
        <w:instrText xml:space="preserve"> ADDIN ZOTERO_ITEM CSL_CITATION {"citationID":"Opnd6ehF","properties":{"formattedCitation":"\\super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106</w:t>
      </w:r>
      <w:r>
        <w:rPr>
          <w:vertAlign w:val="superscript"/>
        </w:rPr>
        <w:fldChar w:fldCharType="end"/>
      </w:r>
      <w:r w:rsidRPr="000C46E8">
        <w:t xml:space="preserve">, and </w:t>
      </w:r>
      <w:r>
        <w:t xml:space="preserve">it </w:t>
      </w:r>
      <w:r w:rsidRPr="000C46E8">
        <w:t xml:space="preserve">shows promise as an add on therapy to existing strategies.  </w:t>
      </w:r>
    </w:p>
    <w:p w14:paraId="26ABFA43" w14:textId="37C37A3C" w:rsidR="00076320" w:rsidRPr="007102AC" w:rsidRDefault="00076320" w:rsidP="00076320">
      <w:pPr>
        <w:jc w:val="both"/>
      </w:pPr>
      <w:r w:rsidRPr="007102AC">
        <w:t xml:space="preserve">C1 INH has been studied in the treatment of </w:t>
      </w:r>
      <w:proofErr w:type="spellStart"/>
      <w:r>
        <w:t>a</w:t>
      </w:r>
      <w:r w:rsidRPr="007102AC">
        <w:t>AMR</w:t>
      </w:r>
      <w:proofErr w:type="spellEnd"/>
      <w:r w:rsidRPr="007102AC">
        <w:t xml:space="preserve"> non-responsive to standard treatment</w:t>
      </w:r>
      <w:r>
        <w:rPr>
          <w:vertAlign w:val="superscript"/>
        </w:rPr>
        <w:t xml:space="preserve"> </w:t>
      </w:r>
      <w:r>
        <w:rPr>
          <w:vertAlign w:val="superscript"/>
        </w:rPr>
        <w:fldChar w:fldCharType="begin"/>
      </w:r>
      <w:r w:rsidR="006528EA">
        <w:rPr>
          <w:vertAlign w:val="superscript"/>
        </w:rPr>
        <w:instrText xml:space="preserve"> ADDIN ZOTERO_ITEM CSL_CITATION {"citationID":"KWh084AT","properties":{"formattedCitation":"\\super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106</w:t>
      </w:r>
      <w:r>
        <w:rPr>
          <w:vertAlign w:val="superscript"/>
        </w:rPr>
        <w:fldChar w:fldCharType="end"/>
      </w:r>
      <w:r>
        <w:rPr>
          <w:vertAlign w:val="superscript"/>
        </w:rPr>
        <w:t xml:space="preserve"> </w:t>
      </w:r>
      <w:r w:rsidRPr="007102AC">
        <w:t>with conflicting response. Studies are small, low quality and an early study in 2019</w:t>
      </w:r>
      <w:r>
        <w:t xml:space="preserve"> ended early due to futility</w:t>
      </w:r>
      <w:r w:rsidRPr="007102AC">
        <w:t xml:space="preserve">. </w:t>
      </w:r>
    </w:p>
    <w:p w14:paraId="2EACA1CD" w14:textId="77777777" w:rsidR="00076320" w:rsidRPr="00535237" w:rsidRDefault="00076320" w:rsidP="00076320">
      <w:pPr>
        <w:jc w:val="both"/>
      </w:pPr>
      <w:r w:rsidRPr="007102AC">
        <w:t xml:space="preserve">There is insufficient data to recommend either complement inhibitor as standard practise but eculizumab </w:t>
      </w:r>
      <w:r>
        <w:t xml:space="preserve">may </w:t>
      </w:r>
      <w:r w:rsidRPr="007102AC">
        <w:t>be considered as an</w:t>
      </w:r>
      <w:r>
        <w:t xml:space="preserve"> add on</w:t>
      </w:r>
      <w:r w:rsidRPr="007102AC">
        <w:t xml:space="preserve"> option to refractory AMR</w:t>
      </w:r>
      <w:r>
        <w:t>.</w:t>
      </w:r>
    </w:p>
    <w:p w14:paraId="2FC7F790" w14:textId="77777777" w:rsidR="00076320" w:rsidRPr="005A6E03" w:rsidRDefault="00076320" w:rsidP="00F10BCF">
      <w:pPr>
        <w:pStyle w:val="GuidelineSubheadings"/>
      </w:pPr>
      <w:r w:rsidRPr="00D24B56">
        <w:t xml:space="preserve">KTR: </w:t>
      </w:r>
      <w:r>
        <w:t>Treatment</w:t>
      </w:r>
      <w:r w:rsidRPr="00D24B56">
        <w:t xml:space="preserve"> of acute </w:t>
      </w:r>
      <w:r>
        <w:t xml:space="preserve">antibody mediated rejection - </w:t>
      </w:r>
      <w:r w:rsidRPr="005A6E03">
        <w:t>Proteosome Inhibitors</w:t>
      </w:r>
    </w:p>
    <w:p w14:paraId="25710ABC" w14:textId="61786F0D" w:rsidR="00076320" w:rsidRPr="007102AC" w:rsidRDefault="00076320" w:rsidP="00076320">
      <w:pPr>
        <w:jc w:val="both"/>
      </w:pPr>
      <w:r w:rsidRPr="007102AC">
        <w:t xml:space="preserve">Proteosome inhibitors such as bortezomib (first generation) and carfilzomib (second generation) are thought to decrease alloantibody-producing plasma cells and are of interest in the treatment of </w:t>
      </w:r>
      <w:proofErr w:type="spellStart"/>
      <w:r>
        <w:t>a</w:t>
      </w:r>
      <w:r w:rsidRPr="007102AC">
        <w:t>AMR</w:t>
      </w:r>
      <w:proofErr w:type="spellEnd"/>
      <w:r>
        <w:rPr>
          <w:vertAlign w:val="superscript"/>
        </w:rPr>
        <w:t xml:space="preserve"> </w:t>
      </w:r>
      <w:r>
        <w:rPr>
          <w:vertAlign w:val="superscript"/>
        </w:rPr>
        <w:fldChar w:fldCharType="begin"/>
      </w:r>
      <w:r w:rsidR="006528EA">
        <w:rPr>
          <w:vertAlign w:val="superscript"/>
        </w:rPr>
        <w:instrText xml:space="preserve"> ADDIN ZOTERO_ITEM CSL_CITATION {"citationID":"JQMQjB1y","properties":{"formattedCitation":"\\super 100,106\\nosupersub{}","plainCitation":"100,106","noteIndex":0},"citationItems":[{"id":19061,"uris":["http://zotero.org/users/3444308/items/43F3Z7F7"],"itemData":{"id":19061,"type":"article-journal","abstract":"Despite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100,106</w:t>
      </w:r>
      <w:r>
        <w:rPr>
          <w:vertAlign w:val="superscript"/>
        </w:rPr>
        <w:fldChar w:fldCharType="end"/>
      </w:r>
      <w:r w:rsidRPr="007102AC">
        <w:t xml:space="preserve">.  </w:t>
      </w:r>
    </w:p>
    <w:p w14:paraId="7CB58358" w14:textId="065B845D" w:rsidR="00076320" w:rsidRDefault="00076320" w:rsidP="00076320">
      <w:pPr>
        <w:jc w:val="both"/>
      </w:pPr>
      <w:r>
        <w:t>A placebo-controlled RCT (n=44)  showed that two cycles of bortezomib was no more efficacious than placebo at preventing a decline in GFR, improving histologic or molecular disease features, or at reducing DSAs in patients with  aAMR</w:t>
      </w:r>
      <w:r w:rsidR="003B1628">
        <w:fldChar w:fldCharType="begin"/>
      </w:r>
      <w:r w:rsidR="006528EA">
        <w:instrText xml:space="preserve"> ADDIN ZOTERO_ITEM CSL_CITATION {"citationID":"kUdP09E8","properties":{"formattedCitation":"\\super 107\\nosupersub{}","plainCitation":"107","noteIndex":0},"citationItems":[{"id":19986,"uris":["http://zotero.org/users/3444308/items/XEK3WDYV"],"itemData":{"id":19986,"type":"article-journal","abstract":"Late antibody-mediated rejection (ABMR) is a leading cause of kidney allograft failure. Uncontrolled studies have suggested efficacy of the proteasome inhibitor bortezomib, but no systematic trial has been undertaken to support its use in ABMR. In this randomized, placebo-controlled trial (the Bortezomib in Late Antibody-Mediated Kidney Transplant Rejection [BORTEJECT] Trial), we investigated whether two cycles of bortezomib (each cycle: 1.3 mg/m2 intravenously on days 1, 4, 8, and 11) prevent GFR decline by halting the progression of late donor-specific antibody (DSA)-positive ABMR. Forty-four DSA-positive kidney transplant recipients with characteristic ABMR morphology (median time after transplant, 5.0 years; pretransplant DSA documented in 19 recipients), who were identified on cross-sectional screening of 741 patients, were randomly assigned to receive bortezomib (n=21) or placebo (n=23). The 0.5-ml/min per 1.73 m2 per year (95% confidence interval, -4.8 to 5.8) difference detected between bortezomib and placebo in eGFR slope (primary end point) was not significant (P=0.86). We detected no significant differences between bortezomib- and placebo-treated groups in median measured GFR at 24 months (33 versus 42 ml/min per 1.73 m2; P=0.31), 2-year graft survival (81% versus 96%; P=0.12), urinary protein concentration, DSA levels, or morphologic or molecular rejection phenotypes in 24-month follow-up biopsy specimens. Bortezomib, however, associated with gastrointestinal and hematologic toxicity. In conclusion, our trial failed to show that bortezomib prevents GFR loss, improves histologic or molecular disease features, or reduces DSA, despite significant toxicity. Our results reinforce the need for systematic trials to dissect the efficiency and safety of new treatments for late ABMR.","container-title":"Journal of the American Society of Nephrology: JASN","DOI":"10.1681/ASN.2017070818","ISSN":"1533-3450","issue":"2","journalAbbreviation":"J Am Soc Nephrol","language":"eng","note":"PMID: 29242250\nPMCID: PMC5791086","page":"591-605","source":"PubMed","title":"A Randomized Trial of Bortezomib in Late Antibody-Mediated Kidney Transplant Rejection","volume":"29","author":[{"family":"Eskandary","given":"Farsad"},{"family":"Regele","given":"Heinz"},{"family":"Baumann","given":"Lukas"},{"family":"Bond","given":"Gregor"},{"family":"Kozakowski","given":"Nicolas"},{"family":"Wahrmann","given":"Markus"},{"family":"Hidalgo","given":"Luis G."},{"family":"Haslacher","given":"Helmuth"},{"family":"Kaltenecker","given":"Christopher C."},{"family":"Aretin","given":"Marie-Bernadette"},{"family":"Oberbauer","given":"Rainer"},{"family":"Posch","given":"Martin"},{"family":"Staudenherz","given":"Anton"},{"family":"Handisurya","given":"Ammon"},{"family":"Reeve","given":"Jeff"},{"family":"Halloran","given":"Philip F."},{"family":"Böhmig","given":"Georg A."}],"issued":{"date-parts":[["2018",2]]}}}],"schema":"https://github.com/citation-style-language/schema/raw/master/csl-citation.json"} </w:instrText>
      </w:r>
      <w:r w:rsidR="003B1628">
        <w:fldChar w:fldCharType="separate"/>
      </w:r>
      <w:r w:rsidR="003B1628" w:rsidRPr="003B1628">
        <w:rPr>
          <w:rFonts w:ascii="Aptos" w:hAnsi="Aptos" w:cs="Times New Roman"/>
          <w:vertAlign w:val="superscript"/>
        </w:rPr>
        <w:t>107</w:t>
      </w:r>
      <w:r w:rsidR="003B1628">
        <w:fldChar w:fldCharType="end"/>
      </w:r>
      <w:r>
        <w:t xml:space="preserve">. </w:t>
      </w:r>
    </w:p>
    <w:p w14:paraId="5A7CB7E2" w14:textId="109DB706" w:rsidR="00076320" w:rsidRPr="00296471" w:rsidRDefault="00076320" w:rsidP="00076320">
      <w:pPr>
        <w:jc w:val="both"/>
      </w:pPr>
      <w:r>
        <w:t xml:space="preserve">Combining proteosome inhibitors and co-stimulation blockers has shown encouraging results in the prevention of </w:t>
      </w:r>
      <w:proofErr w:type="spellStart"/>
      <w:r>
        <w:t>aAMR</w:t>
      </w:r>
      <w:proofErr w:type="spellEnd"/>
      <w:r>
        <w:t xml:space="preserve"> in animal models and is now being investigated in humans</w:t>
      </w:r>
      <w:r>
        <w:rPr>
          <w:vertAlign w:val="superscript"/>
        </w:rPr>
        <w:fldChar w:fldCharType="begin"/>
      </w:r>
      <w:r w:rsidR="006528EA">
        <w:rPr>
          <w:vertAlign w:val="superscript"/>
        </w:rPr>
        <w:instrText xml:space="preserve"> ADDIN ZOTERO_ITEM CSL_CITATION {"citationID":"5MoeQJkC","properties":{"formattedCitation":"\\super 100\\nosupersub{}","plainCitation":"100","noteIndex":0},"citationItems":[{"id":19069,"uris":["http://zotero.org/users/3444308/items/DXUB4TJI"],"itemData":{"id":19069,"type":"article-journal","abstract":"PURPOSE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100</w:t>
      </w:r>
      <w:r>
        <w:rPr>
          <w:vertAlign w:val="superscript"/>
        </w:rPr>
        <w:fldChar w:fldCharType="end"/>
      </w:r>
      <w:r>
        <w:t>.</w:t>
      </w:r>
    </w:p>
    <w:p w14:paraId="7DA74F1C" w14:textId="2A14383A" w:rsidR="00076320" w:rsidRPr="00535237" w:rsidRDefault="00076320" w:rsidP="00076320">
      <w:pPr>
        <w:jc w:val="both"/>
        <w:rPr>
          <w:b/>
          <w:color w:val="000000" w:themeColor="text1"/>
        </w:rPr>
      </w:pPr>
      <w:r>
        <w:t>The place of proteosome inhibitors in therapy remains to be established and there is currently insufficient evidence to recommend these agents. The risks and benefits, particularly of biologic therapies, must be considered on an individual basis</w:t>
      </w:r>
      <w:r>
        <w:rPr>
          <w:vertAlign w:val="superscript"/>
        </w:rPr>
        <w:t xml:space="preserve"> </w:t>
      </w:r>
      <w:r>
        <w:rPr>
          <w:vertAlign w:val="superscript"/>
        </w:rPr>
        <w:fldChar w:fldCharType="begin"/>
      </w:r>
      <w:r w:rsidR="006528EA">
        <w:rPr>
          <w:vertAlign w:val="superscript"/>
        </w:rPr>
        <w:instrText xml:space="preserve"> ADDIN ZOTERO_ITEM CSL_CITATION {"citationID":"wZRbGSX6","properties":{"formattedCitation":"\\super 98\\nosupersub{}","plainCitation":"98","noteIndex":0},"citationItems":[{"id":19068,"uris":["http://zotero.org/users/3444308/items/ACGKKF24"],"itemData":{"id":19068,"type":"report","title":"Antibody Incompatible Transplantation Guideline","URL":"https://bts.org.uk/wp-content/uploads/2016/09/02_BTS_Antibody_Guidelines-1.pdf","author":[{"literal":"British Transplantation Society"}],"accessed":{"date-parts":[["2025",10,22]]},"issued":{"date-parts":[["2015"]]}}}],"schema":"https://github.com/citation-style-language/schema/raw/master/csl-citation.json"}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98</w:t>
      </w:r>
      <w:r>
        <w:rPr>
          <w:vertAlign w:val="superscript"/>
        </w:rPr>
        <w:fldChar w:fldCharType="end"/>
      </w:r>
      <w:r>
        <w:t xml:space="preserve">. </w:t>
      </w:r>
    </w:p>
    <w:p w14:paraId="1692E899" w14:textId="77777777" w:rsidR="00076320" w:rsidRDefault="00076320" w:rsidP="00F10BCF">
      <w:pPr>
        <w:pStyle w:val="GuidelineSubheadings"/>
      </w:pPr>
      <w:r w:rsidRPr="00D24B56">
        <w:t xml:space="preserve">KTR: </w:t>
      </w:r>
      <w:r>
        <w:t>Treatment</w:t>
      </w:r>
      <w:r w:rsidRPr="00D24B56">
        <w:t xml:space="preserve"> of acute </w:t>
      </w:r>
      <w:r>
        <w:t>antibody mediated rejection - Splenectomy</w:t>
      </w:r>
    </w:p>
    <w:p w14:paraId="1CF20023" w14:textId="0F723430" w:rsidR="00076320" w:rsidRDefault="00076320" w:rsidP="00076320">
      <w:pPr>
        <w:jc w:val="both"/>
      </w:pPr>
      <w:r>
        <w:t xml:space="preserve">Surgical splenectomy is not routinely performed although some centres may consider it as a salvage procedure for </w:t>
      </w:r>
      <w:proofErr w:type="spellStart"/>
      <w:r>
        <w:t>aAMR</w:t>
      </w:r>
      <w:proofErr w:type="spellEnd"/>
      <w:r>
        <w:t xml:space="preserve"> refractory to IVIG and/or plasmapheresis. Small case series data shows reduction in serum creatinine and improving urine output within 48 hours of splenectomy </w:t>
      </w:r>
      <w:r>
        <w:lastRenderedPageBreak/>
        <w:fldChar w:fldCharType="begin"/>
      </w:r>
      <w:r w:rsidR="006528EA">
        <w:instrText xml:space="preserve"> ADDIN ZOTERO_ITEM CSL_CITATION {"citationID":"POEImRxn","properties":{"formattedCitation":"\\super 90\\nosupersub{}","plainCitation":"90","noteIndex":0},"citationItems":[{"id":18882,"uris":["http://zotero.org/users/3444308/items/6IMZDWMH"],"itemData":{"id":18882,"type":"article-journal","abstract":"Despite significant advancements in immunosuppressive therapies, kidney transplant rejection continues to pose a substantial challenge, impacting the long-term survival of grafts. This article provides an overview of the diagnosis, current therapies, and management strategies for acute T-cell-mediated rejection (TCMR) and antibody-mediated rejection (ABMR). TCMR is diagnosed through histological examination of kidney biopsy samples, which reveal the infiltration of mononuclear cells into the allograft tissue. Corticosteroids serve as the primary treatment for TCMR, while severe or steroid-resistant cases may require T-cell-depleting agents, like Thymoglobulin. ABMR occurs due to the binding of antibodies to graft endothelial cells. The most common treatment for ABMR is plasmapheresis, although its efficacy is still a subject of debate. Other current therapies, such as intravenous immunoglobulins, anti-CD20 antibodies, complement inhibitors, and proteasome inhibitors, are also utilized to varying degrees, but their efficacy remains questionable. Management decisions for ABMR depend on the timing of the rejection episode and the presence of chronic changes. In managing both TCMR and ABMR, it is crucial to optimize immunosuppression and address adherence. However, further research is needed to explore newer therapeutics and evaluate their efficacy.","container-title":"Journal of Clinical Medicine","DOI":"10.3390/jcm12154927","ISSN":"2077-0383","issue":"15","journalAbbreviation":"J Clin Med","language":"eng","note":"PMID: 37568328\nPMCID: PMC10419508","page":"4927","source":"PubMed","title":"Current Therapies in Kidney Transplant Rejection","volume":"12","author":[{"family":"Alasfar","given":"Sami"},{"family":"Kodali","given":"Lavanya"},{"family":"Schinstock","given":"Carrie A."}],"issued":{"date-parts":[["2023",7,27]]}}}],"schema":"https://github.com/citation-style-language/schema/raw/master/csl-citation.json"} </w:instrText>
      </w:r>
      <w:r>
        <w:fldChar w:fldCharType="separate"/>
      </w:r>
      <w:r w:rsidR="00A04B9C" w:rsidRPr="00A04B9C">
        <w:rPr>
          <w:rFonts w:ascii="Calibri" w:hAnsi="Calibri" w:cs="Calibri"/>
          <w:vertAlign w:val="superscript"/>
        </w:rPr>
        <w:t>90</w:t>
      </w:r>
      <w:r>
        <w:fldChar w:fldCharType="end"/>
      </w:r>
      <w:r>
        <w:t>. However, there is a lack of evidence supporting both safety and efficacy of splenectomy and therefore it is not routinely recommended.</w:t>
      </w:r>
    </w:p>
    <w:p w14:paraId="0AFC0E4B" w14:textId="77777777" w:rsidR="00076320" w:rsidRDefault="00076320" w:rsidP="00F10BCF">
      <w:pPr>
        <w:pStyle w:val="GuidelineSubheadings"/>
      </w:pPr>
      <w:r w:rsidRPr="00D24B56">
        <w:t xml:space="preserve">KTR: </w:t>
      </w:r>
      <w:r>
        <w:t>Treatment</w:t>
      </w:r>
      <w:r w:rsidRPr="00D24B56">
        <w:t xml:space="preserve"> of acute </w:t>
      </w:r>
      <w:r>
        <w:t>antibody mediated rejection - IL-6 receptor inhibitors</w:t>
      </w:r>
    </w:p>
    <w:p w14:paraId="02BD02FB" w14:textId="1F904804" w:rsidR="00076320" w:rsidRDefault="00076320" w:rsidP="00076320">
      <w:pPr>
        <w:jc w:val="both"/>
      </w:pPr>
      <w:r w:rsidRPr="00DA6A16">
        <w:t>IL-6 receptor inhibitors show promise</w:t>
      </w:r>
      <w:r>
        <w:t xml:space="preserve"> for treatment of </w:t>
      </w:r>
      <w:proofErr w:type="spellStart"/>
      <w:r>
        <w:t>aAMR</w:t>
      </w:r>
      <w:proofErr w:type="spellEnd"/>
      <w:r>
        <w:t>. They are shown to reduce the development, maturation, and activation of T cells, B cells and plasma cells</w:t>
      </w:r>
      <w:r>
        <w:rPr>
          <w:vertAlign w:val="superscript"/>
        </w:rPr>
        <w:t xml:space="preserve"> </w:t>
      </w:r>
      <w:r>
        <w:rPr>
          <w:vertAlign w:val="superscript"/>
        </w:rPr>
        <w:fldChar w:fldCharType="begin"/>
      </w:r>
      <w:r w:rsidR="006528EA">
        <w:rPr>
          <w:vertAlign w:val="superscript"/>
        </w:rPr>
        <w:instrText xml:space="preserve"> ADDIN ZOTERO_ITEM CSL_CITATION {"citationID":"0SRzGDKR","properties":{"formattedCitation":"\\super 100,106,108,109\\nosupersub{}","plainCitation":"100,106,108,109","noteIndex":0},"citationItems":[{"id":19069,"uris":["http://zotero.org/users/3444308/items/DXUB4TJI"],"itemData":{"id":19069,"type":"article-journal","abstract":"PURPOSE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id":19060,"uris":["http://zotero.org/users/3444308/items/TGL86N5Y"],"itemData":{"id":19060,"type":"article-journal","abstract":"INTRODUCTION: Chronic kidney disease (CKD) is a major public-health problem that increases the risk of end-stage kidney disease (ESKD), cardiovascular diseases, and other complications. Kidney transplantation is a renal-replacement therapy that offers better survival compared to dialysis. Antibody-mediated rejection (ABMR) is a significant complication following kidney transplantation: it contributes to both short- and long-term injury. The standard-of-care (SOC) therapy combines plasmapheresis and Intravenous Immunoglobulins (IVIg) with or without steroids, with or without rituximab: however, despite this combined treatment, ABMR remains the main cause of graft loss. IL-6 is a key cytokine: it regulates inflammation, and the development, maturation, and activation of T cells, B cells, and plasma cells. Tocilizumab (TCZ) is the main humanized monoclonal aimed at IL-6R and appears to be a safe and possible strategy to manage ABMR in sensitized recipients. We conducted a literature review to assess the place of the anti-IL-6R monoclonal antibody TCZ within ABMR protocols.\nMATERIALS AND METHODS: We systematically reviewed the PubMed literature and reviewed six studies that included 117 patients and collected data on the utilization of TCZ to treat ABMR.\nRESULTS: Most studies report a significant reduction in levels of Donor Specific Antibodies (DSAs) and reduced inflammation and microvascular lesions (as found in biopsies). Stabilization of the renal function was observed. Adverse events were light to moderate, and mortality was not linked with TCZ treatment. The main side effect noted was infection, but infections did not occur more frequently in patients receiving TCZ as compared to those receiving SOC therapy.\nCONCLUSION: TCZ may be an alternative to SOC for ABMR kidney-transplant patients, either as a first-line treatment or after failure of SOC. Further randomized and controlled studies are needed to support these results.","container-title":"Frontiers in Immunology","DOI":"10.3389/fimmu.2022.839380","ISSN":"1664-3224","journalAbbreviation":"Front Immunol","language":"eng","note":"PMID: 35493469\nPMCID: PMC9047937","page":"839380","source":"PubMed","title":"Tocilizumab and Active Antibody-Mediated Rejection in Kidney Transplantation: A Literature Review","title-short":"Tocilizumab and Active Antibody-Mediated Rejection in Kidney Transplantation","volume":"13","author":[{"family":"Cabezas","given":"Lara"},{"family":"Jouve","given":"Thomas"},{"family":"Malvezzi","given":"Paolo"},{"family":"Janbon","given":"Benedicte"},{"family":"Giovannini","given":"Diane"},{"family":"Rostaing","given":"Lionel"},{"family":"Noble","given":"Johan"}],"issued":{"date-parts":[["2022"]]}}},{"id":19059,"uris":["http://zotero.org/users/3444308/items/2WZJSG2L"],"itemData":{"id":19059,"type":"article-journal","abstract":"Antibody-mediated rejection (AMR) continues to have a deleterious impact on kidney allograft survival. Recent evidence supports use of tocilizumab for treatment of chronic active AMR, but it has not been assessed for treatment of acute active AMR.\nMETHODS: We performed a single-center, observational study of kidney transplant recipients who received at least 1 dose of tocilizumab in addition to conventional therapies for acute active AMR between October 2016 and October 2018 with follow-up through August 2019.\nRESULTS: Seven patients were included. All 7 patients received tocilizumab 8 mg/kg (max dose, 800 mg) monthly. We noted a 50% or greater reduction in immunodominant donor-specific antibodies in 4 of 6 patients. Renal function improved or stabilized in all patients throughout the duration of therapy. One patient developed cytomegalovirus esophagitis and 1 had a potential hypersensitivity reaction. In the extended follow-up, 1 patient had mixed rejection and 2 patients had T-cell-mediated rejection, which occurred 6 to 24 mo after completion of therapy.\nCONCLUSIONS: Tocilizumab may be considered as an addition to conventional therapies for treatment of acute active AMR. More studies are needed to determine which patients may benefit from therapy and to examine the appropriate duration of treatment.","container-title":"Transplantation Direct","DOI":"10.1097/TXD.0000000000000988","ISSN":"2373-8731","issue":"4","journalAbbreviation":"Transplant Direct","language":"eng","note":"PMID: 32309629\nPMCID: PMC7145000","page":"e543","source":"PubMed","title":"Efficacy and Safety of Tocilizumab in the Treatment of Acute Active Antibody-mediated Rejection in Kidney Transplant Recipients","volume":"6","author":[{"family":"Pottebaum","given":"April A."},{"family":"Venkatachalam","given":"Karthikeyan"},{"family":"Liu","given":"Chang"},{"family":"Brennan","given":"Daniel C."},{"family":"Murad","given":"Haris"},{"family":"Malone","given":"Andrew F."},{"family":"Alhamad","given":"Tarek"}],"issued":{"date-parts":[["2020",4]]}}}],"schema":"https://github.com/citation-style-language/schema/raw/master/csl-citation.json"} </w:instrText>
      </w:r>
      <w:r>
        <w:rPr>
          <w:vertAlign w:val="superscript"/>
        </w:rPr>
        <w:fldChar w:fldCharType="separate"/>
      </w:r>
      <w:r w:rsidR="00C21EF9" w:rsidRPr="00C21EF9">
        <w:rPr>
          <w:rFonts w:ascii="Calibri" w:hAnsi="Calibri" w:cs="Calibri"/>
          <w:vertAlign w:val="superscript"/>
        </w:rPr>
        <w:t>100,106,108,109</w:t>
      </w:r>
      <w:r>
        <w:rPr>
          <w:vertAlign w:val="superscript"/>
        </w:rPr>
        <w:fldChar w:fldCharType="end"/>
      </w:r>
      <w:r w:rsidRPr="00460F2F">
        <w:rPr>
          <w:vertAlign w:val="superscript"/>
        </w:rPr>
        <w:t xml:space="preserve"> </w:t>
      </w:r>
      <w:r>
        <w:t>which in small scale observational case series translates to a significant reduction in DSA levels.</w:t>
      </w:r>
    </w:p>
    <w:p w14:paraId="2827FF59" w14:textId="77777777" w:rsidR="00076320" w:rsidRDefault="00076320" w:rsidP="00076320">
      <w:pPr>
        <w:jc w:val="both"/>
      </w:pPr>
      <w:r>
        <w:t xml:space="preserve">Tocilizumab is the most widely studied, humanized monoclonal antibody targeting IL-6 and </w:t>
      </w:r>
      <w:proofErr w:type="spellStart"/>
      <w:r>
        <w:t>clazakizumab</w:t>
      </w:r>
      <w:proofErr w:type="spellEnd"/>
      <w:r>
        <w:t xml:space="preserve"> is genetically engineered. </w:t>
      </w:r>
    </w:p>
    <w:p w14:paraId="217BBA99" w14:textId="77777777" w:rsidR="00076320" w:rsidRDefault="00076320" w:rsidP="00076320">
      <w:pPr>
        <w:jc w:val="both"/>
      </w:pPr>
      <w:r>
        <w:t xml:space="preserve">There is, however, a lack of high quality, large scale randomised controlled trials comparing IL-6 receptor inhibitors to standard of care and most literature supports </w:t>
      </w:r>
      <w:r w:rsidRPr="00833B84">
        <w:t xml:space="preserve">evidence for </w:t>
      </w:r>
      <w:proofErr w:type="spellStart"/>
      <w:proofErr w:type="gramStart"/>
      <w:r w:rsidRPr="00833B84">
        <w:t>cAMR</w:t>
      </w:r>
      <w:proofErr w:type="spellEnd"/>
      <w:r w:rsidRPr="00833B84">
        <w:t xml:space="preserve"> ,</w:t>
      </w:r>
      <w:proofErr w:type="gramEnd"/>
      <w:r w:rsidRPr="00833B84">
        <w:t xml:space="preserve"> not </w:t>
      </w:r>
      <w:proofErr w:type="spellStart"/>
      <w:r w:rsidRPr="00833B84">
        <w:t>aAMR</w:t>
      </w:r>
      <w:proofErr w:type="spellEnd"/>
      <w:r w:rsidRPr="00833B84">
        <w:t>.</w:t>
      </w:r>
    </w:p>
    <w:p w14:paraId="22B25215" w14:textId="2034814A" w:rsidR="00076320" w:rsidRDefault="00076320" w:rsidP="00076320">
      <w:pPr>
        <w:jc w:val="both"/>
      </w:pPr>
      <w:r>
        <w:t xml:space="preserve">A literature review from 2022 found a total of 117 patients treated with tocilizumab for AMR, but of these only one study was specific to </w:t>
      </w:r>
      <w:proofErr w:type="spellStart"/>
      <w:r>
        <w:t>aAMR</w:t>
      </w:r>
      <w:proofErr w:type="spellEnd"/>
      <w:r>
        <w:t>, comprising 7 patients in a case report</w:t>
      </w:r>
      <w:r>
        <w:rPr>
          <w:vertAlign w:val="superscript"/>
        </w:rPr>
        <w:t>115</w:t>
      </w:r>
      <w:r>
        <w:t>.</w:t>
      </w:r>
    </w:p>
    <w:p w14:paraId="2E03A295" w14:textId="6D544D5B" w:rsidR="00076320" w:rsidRDefault="00076320" w:rsidP="00076320">
      <w:pPr>
        <w:jc w:val="both"/>
      </w:pPr>
      <w:r>
        <w:rPr>
          <w:color w:val="000000" w:themeColor="text1"/>
        </w:rPr>
        <w:t xml:space="preserve">This </w:t>
      </w:r>
      <w:r w:rsidRPr="004D7F6E">
        <w:rPr>
          <w:color w:val="000000" w:themeColor="text1"/>
        </w:rPr>
        <w:t xml:space="preserve">single centre observational study evaluated </w:t>
      </w:r>
      <w:r>
        <w:rPr>
          <w:color w:val="000000" w:themeColor="text1"/>
        </w:rPr>
        <w:t xml:space="preserve">renal function and DSA level reduction following tocilizumab treatment, showing improved, or stabilised, renal function in all 7 patients and </w:t>
      </w:r>
      <w:r w:rsidRPr="004D7F6E">
        <w:rPr>
          <w:color w:val="000000" w:themeColor="text1"/>
        </w:rPr>
        <w:t>≥50% reduction in DSA level was seen in 4 patients. However</w:t>
      </w:r>
      <w:r>
        <w:rPr>
          <w:color w:val="000000" w:themeColor="text1"/>
        </w:rPr>
        <w:t>,</w:t>
      </w:r>
      <w:r w:rsidRPr="004D7F6E">
        <w:rPr>
          <w:color w:val="000000" w:themeColor="text1"/>
        </w:rPr>
        <w:t xml:space="preserve"> these patients</w:t>
      </w:r>
      <w:r>
        <w:rPr>
          <w:color w:val="000000" w:themeColor="text1"/>
        </w:rPr>
        <w:t xml:space="preserve"> all</w:t>
      </w:r>
      <w:r w:rsidRPr="004D7F6E">
        <w:rPr>
          <w:color w:val="000000" w:themeColor="text1"/>
        </w:rPr>
        <w:t xml:space="preserve"> received various combinations of anti-CD20, TDA’s and corticosteroids</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{"citationID":"svOvJdDD","properties":{"formattedCitation":"\\super 109\\nosupersub{}","plainCitation":"109","noteIndex":0},"citationItems":[{"id":19059,"uris":["http://zotero.org/users/3444308/items/2WZJSG2L"],"itemData":{"id":19059,"type":"article-journal","abstract":"Antibody-mediated rejection (AMR) continues to have a deleterious impact on kidney allograft survival. Recent evidence supports use of tocilizumab for treatment of chronic active AMR, but it has not been assessed for treatment of acute active AMR.\nMETHODS: We performed a single-center, observational study of kidney transplant recipients who received at least 1 dose of tocilizumab in addition to conventional therapies for acute active AMR between October 2016 and October 2018 with follow-up through August 2019.\nRESULTS: Seven patients were included. All 7 patients received tocilizumab 8 mg/kg (max dose, 800 mg) monthly. We noted a 50% or greater reduction in immunodominant donor-specific antibodies in 4 of 6 patients. Renal function improved or stabilized in all patients throughout the duration of therapy. One patient developed cytomegalovirus esophagitis and 1 had a potential hypersensitivity reaction. In the extended follow-up, 1 patient had mixed rejection and 2 patients had T-cell-mediated rejection, which occurred 6 to 24 mo after completion of therapy.\nCONCLUSIONS: Tocilizumab may be considered as an addition to conventional therapies for treatment of acute active AMR. More studies are needed to determine which patients may benefit from therapy and to examine the appropriate duration of treatment.","container-title":"Transplantation Direct","DOI":"10.1097/TXD.0000000000000988","ISSN":"2373-8731","issue":"4","journalAbbreviation":"Transplant Direct","language":"eng","note":"PMID: 32309629\nPMCID: PMC7145000","page":"e543","source":"PubMed","title":"Efficacy and Safety of Tocilizumab in the Treatment of Acute Active Antibody-mediated Rejection in Kidney Transplant Recipients","volume":"6","author":[{"family":"Pottebaum","given":"April A."},{"family":"Venkatachalam","given":"Karthikeyan"},{"family":"Liu","given":"Chang"},{"family":"Brennan","given":"Daniel C."},{"family":"Murad","given":"Haris"},{"family":"Malone","given":"Andrew F."},{"family":"Alhamad","given":"Tarek"}],"issued":{"date-parts":[["2020",4]]}}}],"schema":"https://github.com/citation-style-language/schema/raw/master/csl-citation.json"} </w:instrText>
      </w:r>
      <w:r>
        <w:rPr>
          <w:color w:val="000000" w:themeColor="text1"/>
          <w:vertAlign w:val="superscript"/>
        </w:rPr>
        <w:fldChar w:fldCharType="separate"/>
      </w:r>
      <w:r w:rsidR="003B1628" w:rsidRPr="003B1628">
        <w:rPr>
          <w:rFonts w:ascii="Calibri" w:hAnsi="Calibri" w:cs="Calibri"/>
          <w:vertAlign w:val="superscript"/>
        </w:rPr>
        <w:t>109</w:t>
      </w:r>
      <w:r>
        <w:rPr>
          <w:color w:val="000000" w:themeColor="text1"/>
          <w:vertAlign w:val="superscript"/>
        </w:rPr>
        <w:fldChar w:fldCharType="end"/>
      </w:r>
      <w:r w:rsidRPr="004D7F6E">
        <w:rPr>
          <w:color w:val="000000" w:themeColor="text1"/>
        </w:rPr>
        <w:t xml:space="preserve"> which makes the results difficult to extrapolate to clinical practis</w:t>
      </w:r>
      <w:r w:rsidRPr="00931F06">
        <w:rPr>
          <w:color w:val="000000" w:themeColor="text1"/>
        </w:rPr>
        <w:t xml:space="preserve">e. </w:t>
      </w:r>
    </w:p>
    <w:p w14:paraId="5C80F562" w14:textId="77777777" w:rsidR="00076320" w:rsidRDefault="00076320" w:rsidP="00076320">
      <w:pPr>
        <w:jc w:val="both"/>
      </w:pPr>
      <w:r>
        <w:t xml:space="preserve">Recurrent rejection was noted in 3 patients who received less than 6 months therapy with tocilizumab suggesting a role in desensitisation or </w:t>
      </w:r>
      <w:proofErr w:type="spellStart"/>
      <w:r>
        <w:t>cAMR</w:t>
      </w:r>
      <w:proofErr w:type="spellEnd"/>
      <w:r>
        <w:t xml:space="preserve"> rather than </w:t>
      </w:r>
      <w:proofErr w:type="spellStart"/>
      <w:r>
        <w:t>aAMR</w:t>
      </w:r>
      <w:proofErr w:type="spellEnd"/>
      <w:r>
        <w:t xml:space="preserve">. </w:t>
      </w:r>
      <w:proofErr w:type="spellStart"/>
      <w:r>
        <w:t>Hypogammaglobulinaemia</w:t>
      </w:r>
      <w:proofErr w:type="spellEnd"/>
      <w:r>
        <w:t xml:space="preserve"> also frequently occurred (likely due to tocilizumab’s effect on B cells and plasma cells).</w:t>
      </w:r>
    </w:p>
    <w:p w14:paraId="5A52A6D6" w14:textId="06F4AA7A" w:rsidR="00076320" w:rsidRDefault="00076320" w:rsidP="00076320">
      <w:pPr>
        <w:jc w:val="both"/>
      </w:pPr>
      <w:proofErr w:type="spellStart"/>
      <w:r w:rsidRPr="00DA6A16">
        <w:t>Clazakizumab</w:t>
      </w:r>
      <w:proofErr w:type="spellEnd"/>
      <w:r>
        <w:t xml:space="preserve">, is currently strictly investigational although it </w:t>
      </w:r>
      <w:r w:rsidRPr="00DA6A16">
        <w:t xml:space="preserve">is proposed to reduce rebounding antibodies and rejection </w:t>
      </w:r>
      <w:r>
        <w:t xml:space="preserve">more effectively </w:t>
      </w:r>
      <w:r w:rsidRPr="00DA6A16">
        <w:t xml:space="preserve">than </w:t>
      </w:r>
      <w:r>
        <w:t>other</w:t>
      </w:r>
      <w:r w:rsidRPr="00DA6A16">
        <w:t xml:space="preserve"> IL-6 receptor antibodies</w:t>
      </w:r>
      <w:r>
        <w:t xml:space="preserve">, which may make it suitable for </w:t>
      </w:r>
      <w:proofErr w:type="spellStart"/>
      <w:r>
        <w:t>cAMR</w:t>
      </w:r>
      <w:proofErr w:type="spellEnd"/>
      <w:r>
        <w:rPr>
          <w:vertAlign w:val="superscript"/>
        </w:rPr>
        <w:t xml:space="preserve"> </w:t>
      </w:r>
      <w:r>
        <w:rPr>
          <w:vertAlign w:val="superscript"/>
        </w:rPr>
        <w:fldChar w:fldCharType="begin"/>
      </w:r>
      <w:r w:rsidR="006528EA">
        <w:rPr>
          <w:vertAlign w:val="superscript"/>
        </w:rPr>
        <w:instrText xml:space="preserve"> ADDIN ZOTERO_ITEM CSL_CITATION {"citationID":"LFfRgnJ2","properties":{"formattedCitation":"\\super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106</w:t>
      </w:r>
      <w:r>
        <w:rPr>
          <w:vertAlign w:val="superscript"/>
        </w:rPr>
        <w:fldChar w:fldCharType="end"/>
      </w:r>
      <w:r>
        <w:t>, but is lacking large scale clinical studies to determine a place in therapy</w:t>
      </w:r>
      <w:r w:rsidRPr="00DA6A16">
        <w:t>.</w:t>
      </w:r>
    </w:p>
    <w:p w14:paraId="2FD751B6" w14:textId="77777777" w:rsidR="00076320" w:rsidRDefault="00076320" w:rsidP="00076320">
      <w:pPr>
        <w:jc w:val="both"/>
      </w:pPr>
      <w:r>
        <w:t xml:space="preserve">The evidence for IL-6 receptors inhibitors is mostly small scale, non-randomised, retrospective studies and further </w:t>
      </w:r>
      <w:proofErr w:type="gramStart"/>
      <w:r>
        <w:t>large scale</w:t>
      </w:r>
      <w:proofErr w:type="gramEnd"/>
      <w:r>
        <w:t xml:space="preserve"> studies are required to establish routine place in treatment. But tocilizumab may be considered in refractory cases of </w:t>
      </w:r>
      <w:proofErr w:type="spellStart"/>
      <w:r>
        <w:t>aAMR</w:t>
      </w:r>
      <w:proofErr w:type="spellEnd"/>
      <w:r>
        <w:t xml:space="preserve">, where careful consideration to the infection risks is made but there is insufficient evidence to recommend its place in routine treatment. </w:t>
      </w:r>
    </w:p>
    <w:p w14:paraId="72667128" w14:textId="77777777" w:rsidR="00076320" w:rsidRDefault="00076320" w:rsidP="00F10BCF">
      <w:pPr>
        <w:pStyle w:val="GuidelineSubheadings"/>
      </w:pPr>
      <w:r w:rsidRPr="00D24B56">
        <w:t xml:space="preserve">KTR: </w:t>
      </w:r>
      <w:r>
        <w:t>Treatment</w:t>
      </w:r>
      <w:r w:rsidRPr="00D24B56">
        <w:t xml:space="preserve"> of acute </w:t>
      </w:r>
      <w:r>
        <w:t xml:space="preserve">antibody mediated rejection - </w:t>
      </w:r>
      <w:r w:rsidRPr="00715CE5">
        <w:t>Daratumumab</w:t>
      </w:r>
    </w:p>
    <w:p w14:paraId="5F0FF4A7" w14:textId="561DFA0D" w:rsidR="00076320" w:rsidRDefault="00076320" w:rsidP="00076320">
      <w:pPr>
        <w:jc w:val="both"/>
      </w:pPr>
      <w:r w:rsidRPr="088F9918">
        <w:t xml:space="preserve">Daratumumab is a </w:t>
      </w:r>
      <w:r>
        <w:t xml:space="preserve">first in class, </w:t>
      </w:r>
      <w:r w:rsidRPr="088F9918">
        <w:t xml:space="preserve">humanised monoclonal antibody targeting CD38 </w:t>
      </w:r>
      <w:r>
        <w:t>with several mechanisms, t</w:t>
      </w:r>
      <w:r w:rsidRPr="088F9918">
        <w:t xml:space="preserve">argeting </w:t>
      </w:r>
      <w:r>
        <w:t xml:space="preserve">regulatory T- and B-cells and </w:t>
      </w:r>
      <w:r w:rsidRPr="088F9918">
        <w:t>killer cells</w:t>
      </w:r>
      <w:r>
        <w:rPr>
          <w:vertAlign w:val="superscript"/>
        </w:rPr>
        <w:t xml:space="preserve"> </w:t>
      </w:r>
      <w:r>
        <w:rPr>
          <w:vertAlign w:val="superscript"/>
        </w:rPr>
        <w:fldChar w:fldCharType="begin"/>
      </w:r>
      <w:r w:rsidR="006528EA">
        <w:rPr>
          <w:vertAlign w:val="superscript"/>
        </w:rPr>
        <w:instrText xml:space="preserve"> ADDIN ZOTERO_ITEM CSL_CITATION {"citationID":"VNxTS27R","properties":{"formattedCitation":"\\super 100\\nosupersub{}","plainCitation":"100","noteIndex":0},"citationItems":[{"id":19069,"uris":["http://zotero.org/users/3444308/items/DXUB4TJI"],"itemData":{"id":19069,"type":"article-journal","abstract":"PURPOSE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100</w:t>
      </w:r>
      <w:r>
        <w:rPr>
          <w:vertAlign w:val="superscript"/>
        </w:rPr>
        <w:fldChar w:fldCharType="end"/>
      </w:r>
      <w:r w:rsidRPr="088F9918">
        <w:t>.</w:t>
      </w:r>
    </w:p>
    <w:p w14:paraId="0229A4E1" w14:textId="50D4427F" w:rsidR="00076320" w:rsidRDefault="00076320" w:rsidP="00076320">
      <w:pPr>
        <w:jc w:val="both"/>
      </w:pPr>
      <w:r>
        <w:t xml:space="preserve">Clinical trials show an adverse effect profile similar to IL-6 receptor blockers, including infusion related reactions, volume overload, </w:t>
      </w:r>
      <w:proofErr w:type="spellStart"/>
      <w:r>
        <w:t>hypogammaglobulinaemia</w:t>
      </w:r>
      <w:proofErr w:type="spellEnd"/>
      <w:r>
        <w:t xml:space="preserve">, myelosuppression, GI upset </w:t>
      </w:r>
      <w:r>
        <w:lastRenderedPageBreak/>
        <w:t>and infection</w:t>
      </w:r>
      <w:r>
        <w:rPr>
          <w:vertAlign w:val="superscript"/>
        </w:rPr>
        <w:t xml:space="preserve"> </w:t>
      </w:r>
      <w:r>
        <w:rPr>
          <w:vertAlign w:val="superscript"/>
        </w:rPr>
        <w:fldChar w:fldCharType="begin"/>
      </w:r>
      <w:r w:rsidR="006528EA">
        <w:rPr>
          <w:vertAlign w:val="superscript"/>
        </w:rPr>
        <w:instrText xml:space="preserve"> ADDIN ZOTERO_ITEM CSL_CITATION {"citationID":"Ni163jUK","properties":{"formattedCitation":"\\super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vertAlign w:val="superscript"/>
        </w:rPr>
        <w:fldChar w:fldCharType="separate"/>
      </w:r>
      <w:r w:rsidR="00A04B9C" w:rsidRPr="00A04B9C">
        <w:rPr>
          <w:rFonts w:ascii="Calibri" w:hAnsi="Calibri" w:cs="Calibri"/>
          <w:vertAlign w:val="superscript"/>
        </w:rPr>
        <w:t>106</w:t>
      </w:r>
      <w:r>
        <w:rPr>
          <w:vertAlign w:val="superscript"/>
        </w:rPr>
        <w:fldChar w:fldCharType="end"/>
      </w:r>
      <w:r>
        <w:t>. Studies also reveal a concern around resistance and the development of antidrug antibodies.</w:t>
      </w:r>
    </w:p>
    <w:p w14:paraId="12A70908" w14:textId="77777777" w:rsidR="00076320" w:rsidRPr="00C8718C" w:rsidRDefault="00076320" w:rsidP="00076320">
      <w:pPr>
        <w:jc w:val="both"/>
        <w:rPr>
          <w:b/>
          <w:color w:val="000000" w:themeColor="text1"/>
        </w:rPr>
      </w:pPr>
      <w:r>
        <w:t xml:space="preserve">Daratumumab case studies report benefits in both desensitisation programs and in the treatment of </w:t>
      </w:r>
      <w:proofErr w:type="spellStart"/>
      <w:r>
        <w:t>aAMR</w:t>
      </w:r>
      <w:proofErr w:type="spellEnd"/>
      <w:r>
        <w:t xml:space="preserve"> but there </w:t>
      </w:r>
      <w:r>
        <w:rPr>
          <w:color w:val="000000" w:themeColor="text1"/>
        </w:rPr>
        <w:t>is insufficient evidence to recommend in standard practise.</w:t>
      </w:r>
    </w:p>
    <w:p w14:paraId="2D1241B7" w14:textId="77777777" w:rsidR="00076320" w:rsidRDefault="00076320" w:rsidP="00F10BCF">
      <w:pPr>
        <w:pStyle w:val="GuidelineSubheadings"/>
      </w:pPr>
      <w:r w:rsidRPr="00D24B56">
        <w:t xml:space="preserve">KTR: </w:t>
      </w:r>
      <w:r>
        <w:t>Treatment</w:t>
      </w:r>
      <w:r w:rsidRPr="00D24B56">
        <w:t xml:space="preserve"> of acute </w:t>
      </w:r>
      <w:r>
        <w:t xml:space="preserve">antibody mediated rejection - </w:t>
      </w:r>
      <w:r w:rsidRPr="00043E64">
        <w:t>Belimumab</w:t>
      </w:r>
      <w:r>
        <w:t xml:space="preserve"> </w:t>
      </w:r>
    </w:p>
    <w:p w14:paraId="306FD0BD" w14:textId="2D9C84D1" w:rsidR="00076320" w:rsidRDefault="00076320" w:rsidP="00076320">
      <w:pPr>
        <w:jc w:val="both"/>
        <w:rPr>
          <w:color w:val="000000" w:themeColor="text1"/>
        </w:rPr>
      </w:pPr>
      <w:r w:rsidRPr="00A37913">
        <w:rPr>
          <w:color w:val="000000" w:themeColor="text1"/>
        </w:rPr>
        <w:t>Belimumab is a</w:t>
      </w:r>
      <w:r>
        <w:rPr>
          <w:color w:val="000000" w:themeColor="text1"/>
        </w:rPr>
        <w:t xml:space="preserve"> humanised</w:t>
      </w:r>
      <w:r w:rsidRPr="00A37913">
        <w:rPr>
          <w:color w:val="000000" w:themeColor="text1"/>
        </w:rPr>
        <w:t xml:space="preserve"> anti-B-lymphocyte stimulator (BlyS)</w:t>
      </w:r>
      <w:r>
        <w:rPr>
          <w:color w:val="000000" w:themeColor="text1"/>
        </w:rPr>
        <w:t xml:space="preserve"> IgG1</w:t>
      </w:r>
      <w:r w:rsidRPr="00A37913">
        <w:rPr>
          <w:color w:val="000000" w:themeColor="text1"/>
        </w:rPr>
        <w:t xml:space="preserve"> monoclonal antibody, </w:t>
      </w:r>
      <w:r>
        <w:rPr>
          <w:color w:val="000000" w:themeColor="text1"/>
        </w:rPr>
        <w:t xml:space="preserve">which </w:t>
      </w:r>
      <w:r w:rsidRPr="00A37913">
        <w:rPr>
          <w:color w:val="000000" w:themeColor="text1"/>
        </w:rPr>
        <w:t>inhibit</w:t>
      </w:r>
      <w:r>
        <w:rPr>
          <w:color w:val="000000" w:themeColor="text1"/>
        </w:rPr>
        <w:t>s</w:t>
      </w:r>
      <w:r w:rsidRPr="00A37913">
        <w:rPr>
          <w:color w:val="000000" w:themeColor="text1"/>
        </w:rPr>
        <w:t xml:space="preserve"> B-cells</w:t>
      </w:r>
      <w:r>
        <w:rPr>
          <w:color w:val="000000" w:themeColor="text1"/>
        </w:rPr>
        <w:t>, in turn reducing</w:t>
      </w:r>
      <w:r w:rsidRPr="00A37913">
        <w:rPr>
          <w:color w:val="000000" w:themeColor="text1"/>
        </w:rPr>
        <w:t xml:space="preserve"> chronic inflammation and tissue damage</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{"citationID":"ri4Uz5eT","properties":{"formattedCitation":"\\super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106</w:t>
      </w:r>
      <w:r>
        <w:rPr>
          <w:color w:val="000000" w:themeColor="text1"/>
          <w:vertAlign w:val="superscript"/>
        </w:rPr>
        <w:fldChar w:fldCharType="end"/>
      </w:r>
      <w:r>
        <w:rPr>
          <w:color w:val="000000" w:themeColor="text1"/>
        </w:rPr>
        <w:t xml:space="preserve">. </w:t>
      </w:r>
    </w:p>
    <w:p w14:paraId="4CA7B289" w14:textId="77777777" w:rsidR="00076320" w:rsidRPr="009E6D34" w:rsidRDefault="00076320" w:rsidP="00076320">
      <w:pPr>
        <w:jc w:val="both"/>
        <w:rPr>
          <w:color w:val="000000" w:themeColor="text1"/>
        </w:rPr>
      </w:pPr>
      <w:r>
        <w:rPr>
          <w:color w:val="000000" w:themeColor="text1"/>
        </w:rPr>
        <w:t xml:space="preserve">Overexpression of BLyS can lead to autoimmunity and in kidney transplant </w:t>
      </w:r>
      <w:proofErr w:type="gramStart"/>
      <w:r>
        <w:rPr>
          <w:color w:val="000000" w:themeColor="text1"/>
        </w:rPr>
        <w:t>recipients</w:t>
      </w:r>
      <w:proofErr w:type="gramEnd"/>
      <w:r>
        <w:rPr>
          <w:color w:val="000000" w:themeColor="text1"/>
        </w:rPr>
        <w:t xml:space="preserve"> high serum concentration of BLyS is shown to be associated with the development of de novo DSA and increased risk of </w:t>
      </w:r>
      <w:proofErr w:type="spellStart"/>
      <w:r>
        <w:rPr>
          <w:color w:val="000000" w:themeColor="text1"/>
        </w:rPr>
        <w:t>aAMR</w:t>
      </w:r>
      <w:proofErr w:type="spellEnd"/>
      <w:r>
        <w:rPr>
          <w:color w:val="000000" w:themeColor="text1"/>
        </w:rPr>
        <w:t xml:space="preserve">. Belimumab in active </w:t>
      </w:r>
      <w:proofErr w:type="spellStart"/>
      <w:r>
        <w:rPr>
          <w:color w:val="000000" w:themeColor="text1"/>
        </w:rPr>
        <w:t>aAMR</w:t>
      </w:r>
      <w:proofErr w:type="spellEnd"/>
      <w:r>
        <w:rPr>
          <w:color w:val="000000" w:themeColor="text1"/>
        </w:rPr>
        <w:t xml:space="preserve"> is </w:t>
      </w:r>
      <w:proofErr w:type="gramStart"/>
      <w:r>
        <w:rPr>
          <w:color w:val="000000" w:themeColor="text1"/>
        </w:rPr>
        <w:t>on the whole</w:t>
      </w:r>
      <w:proofErr w:type="gramEnd"/>
      <w:r>
        <w:rPr>
          <w:color w:val="000000" w:themeColor="text1"/>
        </w:rPr>
        <w:t xml:space="preserve"> not well studied and there is insufficient evidence to recommend in standard practise.</w:t>
      </w:r>
    </w:p>
    <w:p w14:paraId="5878FD5F" w14:textId="77777777" w:rsidR="00076320" w:rsidRDefault="00076320" w:rsidP="00F10BCF">
      <w:pPr>
        <w:pStyle w:val="GuidelineSubheadings"/>
      </w:pPr>
      <w:r w:rsidRPr="00D24B56">
        <w:t xml:space="preserve">KTR: </w:t>
      </w:r>
      <w:r>
        <w:t>Treatment</w:t>
      </w:r>
      <w:r w:rsidRPr="00D24B56">
        <w:t xml:space="preserve"> of acute </w:t>
      </w:r>
      <w:r>
        <w:t xml:space="preserve">antibody mediated rejection - </w:t>
      </w:r>
      <w:proofErr w:type="spellStart"/>
      <w:r w:rsidRPr="00AE246D">
        <w:t>Imlifidase</w:t>
      </w:r>
      <w:proofErr w:type="spellEnd"/>
      <w:r w:rsidRPr="00AE246D">
        <w:t xml:space="preserve"> </w:t>
      </w:r>
    </w:p>
    <w:p w14:paraId="349D09EB" w14:textId="30B53045" w:rsidR="00076320" w:rsidRDefault="00076320" w:rsidP="00076320">
      <w:pPr>
        <w:jc w:val="both"/>
        <w:rPr>
          <w:color w:val="000000" w:themeColor="text1"/>
        </w:rPr>
      </w:pPr>
      <w:proofErr w:type="spellStart"/>
      <w:r w:rsidRPr="00F42291">
        <w:rPr>
          <w:color w:val="000000" w:themeColor="text1"/>
        </w:rPr>
        <w:t>Imlifidase</w:t>
      </w:r>
      <w:proofErr w:type="spellEnd"/>
      <w:r w:rsidRPr="00F42291">
        <w:rPr>
          <w:color w:val="000000" w:themeColor="text1"/>
        </w:rPr>
        <w:t xml:space="preserve"> is an IgG-degrading endopeptidase that cleaves all 4 IgG antibodies</w:t>
      </w:r>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{"citationID":"c9xwTFFc","properties":{"formattedCitation":"\\super 100\\nosupersub{}","plainCitation":"100","noteIndex":0},"citationItems":[{"id":19069,"uris":["http://zotero.org/users/3444308/items/DXUB4TJI"],"itemData":{"id":19069,"type":"article-journal","abstract":"PURPOSE OF REVIEW: We aim to discuss current literature on novel therapies for antibody-mediated rejection (AMR) in kidney transplantation with a focus on chronic AMR.\nRECENT FINDINGS: IL-6/IL-6 receptor blockers appear promising in the treatment of chronic AMR. Blocking this pathway was shown to reduce human leucocyte antigen-antibodies, improve histologic inflammation and increase T-regulatory cells. Based on experience in desensitization, IgG degrading endopeptidase, imlifidase, could be effective in AMR. There have been case reports describing the successful use of plasma cell/natural killer-cell-directed anti-CD38 antibody in the treatment of AMR. Off-target effects have been noted and strategies to mitigate these will be needed when using these agents. Complement inhibitors could be an effective add-on strategy to antibody-depleting therapies but their role in AMR needs to be better defined. Combining proteasome inhibitors and costimulation blockers has shown encouraging results in the prevention of AMR in animal models and is now being investigated in humans. Other novel strategies such as Fc neonatal receptor blockers which inhibit the recycling of pathogenic IgG and bispecific antibodies against B-cell maturation antigen/CD3+ T cells warrant further investigation.\nSUMMARY: There are now a number of emerging therapies with varied targets and mechanism(s) of action that hold promise in the management of AMR and improving allograft survival.","container-title":"Current Opinion in Organ Transplantation","DOI":"10.1097/MOT.0000000000001037","ISSN":"1531-7013","issue":"1","journalAbbreviation":"Curr Opin Organ Transplant","language":"eng","note":"PMID: 36579683","page":"29-35","source":"PubMed","title":"Novel therapies for treatment of antibody-mediated rejection of the kidney","volume":"28","author":[{"family":"Sethi","given":"Supreet"},{"family":"Jordan","given":"Stanley C."}],"issued":{"date-parts":[["2023",2,1]]}}}],"schema":"https://github.com/citation-style-language/schema/raw/master/csl-citation.json"}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100</w:t>
      </w:r>
      <w:r>
        <w:rPr>
          <w:color w:val="000000" w:themeColor="text1"/>
          <w:vertAlign w:val="superscript"/>
        </w:rPr>
        <w:fldChar w:fldCharType="end"/>
      </w:r>
      <w:r>
        <w:rPr>
          <w:color w:val="000000" w:themeColor="text1"/>
          <w:vertAlign w:val="superscript"/>
        </w:rPr>
        <w:t xml:space="preserve"> </w:t>
      </w:r>
      <w:r w:rsidRPr="00F42291">
        <w:rPr>
          <w:color w:val="000000" w:themeColor="text1"/>
        </w:rPr>
        <w:t xml:space="preserve">thought to rapidly reduce or even eliminate anti-HLA DSA, and effectively blocks complement-dependant cytotoxicity (CDC). Recently established for </w:t>
      </w:r>
      <w:r>
        <w:rPr>
          <w:color w:val="000000" w:themeColor="text1"/>
        </w:rPr>
        <w:t xml:space="preserve">desensitisation </w:t>
      </w:r>
      <w:r w:rsidRPr="00F42291">
        <w:rPr>
          <w:color w:val="000000" w:themeColor="text1"/>
        </w:rPr>
        <w:t xml:space="preserve">in highly sensitised transplant recipients, it is currently undergoing clinical trials in </w:t>
      </w:r>
      <w:proofErr w:type="spellStart"/>
      <w:r>
        <w:rPr>
          <w:color w:val="000000" w:themeColor="text1"/>
        </w:rPr>
        <w:t>a</w:t>
      </w:r>
      <w:r w:rsidRPr="00F42291">
        <w:rPr>
          <w:color w:val="000000" w:themeColor="text1"/>
        </w:rPr>
        <w:t>AMR</w:t>
      </w:r>
      <w:proofErr w:type="spellEnd"/>
      <w:r>
        <w:rPr>
          <w:color w:val="000000" w:themeColor="text1"/>
          <w:vertAlign w:val="superscript"/>
        </w:rPr>
        <w:t xml:space="preserve"> </w:t>
      </w:r>
      <w:r>
        <w:rPr>
          <w:color w:val="000000" w:themeColor="text1"/>
          <w:vertAlign w:val="superscript"/>
        </w:rPr>
        <w:fldChar w:fldCharType="begin"/>
      </w:r>
      <w:r w:rsidR="006528EA">
        <w:rPr>
          <w:color w:val="000000" w:themeColor="text1"/>
          <w:vertAlign w:val="superscript"/>
        </w:rPr>
        <w:instrText xml:space="preserve"> ADDIN ZOTERO_ITEM CSL_CITATION {"citationID":"fHk3mpkt","properties":{"formattedCitation":"\\super 106\\nosupersub{}","plainCitation":"106","noteIndex":0},"citationItems":[{"id":19061,"uris":["http://zotero.org/users/3444308/items/43F3Z7F7"],"itemData":{"id":19061,"type":"article-journal","abstract":"Despite the advances in immunosuppressive medications, antibody-mediated rejection (AMR) continues to be a major cause of kidney allograft failure and remains a barrier to improving long-term allograft survival. Recently, there have been significant advances in the understanding of the pathophysiological process of AMR, along with the development of new therapeutic options. Additionally, surveillance protocols with donor-derived cell-free DNA and gene profile testing have been established, leading to the early detection of AMR. A multitude of clinical trials are ongoing, opening numerous opportunities for improving outcome in kidney transplant recipients. In this brief review, we discuss the emerging therapies for managing both active and chronic active AMR and highlight the ongoing clinical trials.","container-title":"Journal of Clinical Medicine","DOI":"10.3390/jcm12154916","ISSN":"2077-0383","issue":"15","journalAbbreviation":"J Clin Med","language":"eng","note":"PMID: 37568318\nPMCID: PMC10419906","page":"4916","source":"PubMed","title":"Emerging Therapies for Antibody-Mediated Rejection in Kidney Transplantation","volume":"12","author":[{"family":"Abuazzam","given":"Farah"},{"family":"Dubrawka","given":"Casey"},{"family":"Abdulhadi","given":"Tarek"},{"family":"Amurao","given":"Gwendolyn"},{"family":"Alrata","given":"Louai"},{"family":"Yaseen Alsabbagh","given":"Dema"},{"family":"Alomar","given":"Omar"},{"family":"Alhamad","given":"Tarek"}],"issued":{"date-parts":[["2023",7,26]]}}}],"schema":"https://github.com/citation-style-language/schema/raw/master/csl-citation.json"} </w:instrText>
      </w:r>
      <w:r>
        <w:rPr>
          <w:color w:val="000000" w:themeColor="text1"/>
          <w:vertAlign w:val="superscript"/>
        </w:rPr>
        <w:fldChar w:fldCharType="separate"/>
      </w:r>
      <w:r w:rsidR="00A04B9C" w:rsidRPr="00A04B9C">
        <w:rPr>
          <w:rFonts w:ascii="Calibri" w:hAnsi="Calibri" w:cs="Calibri"/>
          <w:vertAlign w:val="superscript"/>
        </w:rPr>
        <w:t>106</w:t>
      </w:r>
      <w:r>
        <w:rPr>
          <w:color w:val="000000" w:themeColor="text1"/>
          <w:vertAlign w:val="superscript"/>
        </w:rPr>
        <w:fldChar w:fldCharType="end"/>
      </w:r>
      <w:r>
        <w:rPr>
          <w:color w:val="000000" w:themeColor="text1"/>
        </w:rPr>
        <w:t xml:space="preserve">. </w:t>
      </w:r>
      <w:proofErr w:type="spellStart"/>
      <w:r>
        <w:rPr>
          <w:color w:val="000000" w:themeColor="text1"/>
        </w:rPr>
        <w:t>Imlifidase</w:t>
      </w:r>
      <w:proofErr w:type="spellEnd"/>
      <w:r>
        <w:rPr>
          <w:color w:val="000000" w:themeColor="text1"/>
        </w:rPr>
        <w:t xml:space="preserve"> may however be limited by risk of antibody rebound, including anti-</w:t>
      </w:r>
      <w:proofErr w:type="spellStart"/>
      <w:r>
        <w:rPr>
          <w:color w:val="000000" w:themeColor="text1"/>
        </w:rPr>
        <w:t>imlifidase</w:t>
      </w:r>
      <w:proofErr w:type="spellEnd"/>
      <w:r>
        <w:rPr>
          <w:color w:val="000000" w:themeColor="text1"/>
        </w:rPr>
        <w:t xml:space="preserve"> antibodies, DSA and total IgG, and significant drug-drug interaction because </w:t>
      </w:r>
      <w:proofErr w:type="spellStart"/>
      <w:r>
        <w:rPr>
          <w:color w:val="000000" w:themeColor="text1"/>
        </w:rPr>
        <w:t>imlifidase</w:t>
      </w:r>
      <w:proofErr w:type="spellEnd"/>
      <w:r>
        <w:rPr>
          <w:color w:val="000000" w:themeColor="text1"/>
        </w:rPr>
        <w:t xml:space="preserve"> also cleaves most induction therapies necessitating appropriate separation of the two. There is insufficient evidence to recommend in standard practise for </w:t>
      </w:r>
      <w:proofErr w:type="spellStart"/>
      <w:r>
        <w:rPr>
          <w:color w:val="000000" w:themeColor="text1"/>
        </w:rPr>
        <w:t>aAMR</w:t>
      </w:r>
      <w:proofErr w:type="spellEnd"/>
      <w:r>
        <w:rPr>
          <w:color w:val="000000" w:themeColor="text1"/>
        </w:rPr>
        <w:t>.</w:t>
      </w:r>
    </w:p>
    <w:p w14:paraId="1D8BC52D" w14:textId="0ED7163E" w:rsidR="00076320" w:rsidRDefault="009314E9" w:rsidP="009314E9">
      <w:pPr>
        <w:pStyle w:val="GuidelineUpperHeadings"/>
      </w:pPr>
      <w:bookmarkStart w:id="27" w:name="_Toc213749037"/>
      <w:r>
        <w:t xml:space="preserve">4. </w:t>
      </w:r>
      <w:r w:rsidR="009B0CA8" w:rsidRPr="00306FF4">
        <w:t xml:space="preserve">Kidney Transplant Recipient (KTR): </w:t>
      </w:r>
      <w:r>
        <w:t>Chronic Allograft Injury (Guidelines 4.1 – 4.4)</w:t>
      </w:r>
      <w:bookmarkEnd w:id="27"/>
    </w:p>
    <w:p w14:paraId="79CE55DF" w14:textId="77777777" w:rsidR="009314E9" w:rsidRDefault="009314E9" w:rsidP="009314E9">
      <w:pPr>
        <w:pStyle w:val="GuidelineHeadings"/>
      </w:pPr>
      <w:r>
        <w:t>Guideline 4.1 – Definition of Chronic Allograft Injury</w:t>
      </w:r>
    </w:p>
    <w:p w14:paraId="54032180" w14:textId="59FB4EEF" w:rsidR="00ED6CD4" w:rsidRPr="00524CA4" w:rsidRDefault="00ED6CD4" w:rsidP="0018491F">
      <w:pPr>
        <w:jc w:val="both"/>
      </w:pPr>
      <w:r w:rsidRPr="00524CA4">
        <w:t>Ten-year graft death-censored survival after deceased kidney donation is around 72-76% and 83% after living kidney donation</w:t>
      </w:r>
      <w:r>
        <w:t xml:space="preserve"> </w:t>
      </w:r>
      <w:r>
        <w:fldChar w:fldCharType="begin"/>
      </w:r>
      <w:r w:rsidR="006528EA">
        <w:instrText xml:space="preserve"> ADDIN ZOTERO_ITEM CSL_CITATION {"citationID":"TNUiSXCv","properties":{"formattedCitation":"\\super 110\\nosupersub{}","plainCitation":"110","noteIndex":0},"citationItems":[{"id":19054,"uris":["http://zotero.org/users/3444308/items/EWJIRGKI"],"itemData":{"id":19054,"type":"document","title":"Organ and Tissue Donation and Transplantation Activity Report 2022/2023","URL":"https://nhsbtdbe.blob.core.windows.net/umbraco-assets-corp/30188/activity-report-2022-2023-final.pdf","author":[{"literal":"NHS Blood and Transplant"}],"issued":{"date-parts":[["2023"]]}}}],"schema":"https://github.com/citation-style-language/schema/raw/master/csl-citation.json"} </w:instrText>
      </w:r>
      <w:r>
        <w:fldChar w:fldCharType="separate"/>
      </w:r>
      <w:r w:rsidR="003B1628" w:rsidRPr="003B1628">
        <w:rPr>
          <w:rFonts w:ascii="Calibri" w:hAnsi="Calibri" w:cs="Calibri"/>
          <w:vertAlign w:val="superscript"/>
        </w:rPr>
        <w:t>110</w:t>
      </w:r>
      <w:r>
        <w:fldChar w:fldCharType="end"/>
      </w:r>
      <w:r w:rsidRPr="00524CA4">
        <w:t>.</w:t>
      </w:r>
      <w:r>
        <w:rPr>
          <w:color w:val="000000"/>
        </w:rPr>
        <w:t xml:space="preserve"> </w:t>
      </w:r>
      <w:r w:rsidRPr="00524CA4">
        <w:t xml:space="preserve">The understanding of late allograft failure has evolved over recent decades. Historically, it has </w:t>
      </w:r>
      <w:r>
        <w:t xml:space="preserve">been </w:t>
      </w:r>
      <w:r w:rsidRPr="00524CA4">
        <w:t>attributed to chronic rejection. However, we now know that chronic allograft injury is multifactorial and can be due to various aetiologies that may require different interventions and have different prognoses</w:t>
      </w:r>
      <w:r>
        <w:t xml:space="preserve"> </w:t>
      </w:r>
      <w:r>
        <w:fldChar w:fldCharType="begin"/>
      </w:r>
      <w:r w:rsidR="006528EA">
        <w:instrText xml:space="preserve"> ADDIN ZOTERO_ITEM CSL_CITATION {"citationID":"KjCdqB4Y","properties":{"formattedCitation":"\\super 111\\nosupersub{}","plainCitation":"111","noteIndex":0},"citationItems":[{"id":19053,"uris":["http://zotero.org/users/3444308/items/LHSEHTNX"],"itemData":{"id":19053,"type":"article-journal","abstract":"With the incremental improvements in long-term kidney transplant survival, there is renewed focus on what causes failure of the transplanted allograft. Over the past decade, our understanding of the injuries that lead to loss of graft function over time has evolved. Chronic allograft injury includes both immune-mediated and nonimmune-mediated injuries, which may involve the organ donor, the recipient, or both. The targets of injury include the kidney tubular epithelium, the endothelium, and the glomerulus. As a response to injury, there are the expected tissue remodeling and repair processes. However, if inflammation persists, which is not uncommon in the transplant setting, the resulting maladaptive response is matrix deposition and/or fibrosis. This ultimately leads to declining graft function and, finally, failure. With our advancing knowledge of the multiple etiologies and mechanisms, enhanced by more recent cohort studies in humans, there is an opportunity to identify those at greater risk to initiate new strategies to ameliorate the process. Although the most recent studies focus on immune-mediated injuries, there is a critical need to identify both markers of injury and mechanisms of injury. In this review, we highlight the findings of recent studies, highlight the potential therapeutic targets, and identify the continued unmet need for understanding the mechanisms of late graft failure.","container-title":"Clinical journal of the American Society of Nephrology: CJASN","DOI":"10.2215/CJN.15590920","ISSN":"1555-905X","issue":"11","journalAbbreviation":"Clin J Am Soc Nephrol","language":"eng","note":"PMID: 33820759\nPMCID: PMC8729407","page":"1723-1729","source":"PubMed","title":"Chronic Allograft Injury","volume":"16","author":[{"family":"Langewisch","given":"Eric"},{"family":"Mannon","given":"Roslyn B."}],"issued":{"date-parts":[["2021",11]]}}}],"schema":"https://github.com/citation-style-language/schema/raw/master/csl-citation.json"} </w:instrText>
      </w:r>
      <w:r>
        <w:fldChar w:fldCharType="separate"/>
      </w:r>
      <w:r w:rsidR="003B1628" w:rsidRPr="003B1628">
        <w:rPr>
          <w:rFonts w:ascii="Calibri" w:hAnsi="Calibri" w:cs="Calibri"/>
          <w:vertAlign w:val="superscript"/>
        </w:rPr>
        <w:t>111</w:t>
      </w:r>
      <w:r>
        <w:fldChar w:fldCharType="end"/>
      </w:r>
      <w:r w:rsidRPr="00524CA4">
        <w:t>.</w:t>
      </w:r>
      <w:r w:rsidRPr="00524CA4">
        <w:rPr>
          <w:color w:val="000000"/>
        </w:rPr>
        <w:t xml:space="preserve"> It used to be called chronic allograft nephropathy (CAN) and chronic allograft</w:t>
      </w:r>
      <w:r w:rsidR="009314E9">
        <w:rPr>
          <w:color w:val="000000"/>
        </w:rPr>
        <w:t xml:space="preserve"> </w:t>
      </w:r>
      <w:r w:rsidRPr="00524CA4">
        <w:rPr>
          <w:color w:val="000000"/>
        </w:rPr>
        <w:t xml:space="preserve">damage. </w:t>
      </w:r>
    </w:p>
    <w:p w14:paraId="1D28DBFC" w14:textId="35512A30" w:rsidR="00ED6CD4" w:rsidRPr="00524CA4" w:rsidRDefault="00ED6CD4" w:rsidP="0018491F">
      <w:pPr>
        <w:jc w:val="both"/>
      </w:pPr>
      <w:r w:rsidRPr="00524CA4">
        <w:rPr>
          <w:color w:val="000000"/>
        </w:rPr>
        <w:t xml:space="preserve">Interstitial fibrosis (IF), tubular atrophy (TA) and glomerulosclerosis are the </w:t>
      </w:r>
      <w:r>
        <w:rPr>
          <w:color w:val="000000"/>
        </w:rPr>
        <w:t>hallmarks</w:t>
      </w:r>
      <w:r w:rsidRPr="00524CA4">
        <w:rPr>
          <w:color w:val="000000"/>
        </w:rPr>
        <w:t xml:space="preserve"> of chronic allograft injury</w:t>
      </w:r>
      <w:r>
        <w:rPr>
          <w:color w:val="000000"/>
        </w:rPr>
        <w:t>. Still, these</w:t>
      </w:r>
      <w:r w:rsidRPr="00524CA4">
        <w:rPr>
          <w:color w:val="000000"/>
        </w:rPr>
        <w:t xml:space="preserve"> are manifestations of chronic allograft insults leading to common mechanistic pathways rather than </w:t>
      </w:r>
      <w:r>
        <w:rPr>
          <w:color w:val="000000"/>
        </w:rPr>
        <w:t xml:space="preserve">being </w:t>
      </w:r>
      <w:r w:rsidRPr="00524CA4">
        <w:rPr>
          <w:color w:val="000000"/>
        </w:rPr>
        <w:t>pathognomonic of the underlying entity</w:t>
      </w:r>
      <w:r>
        <w:rPr>
          <w:color w:val="000000"/>
        </w:rPr>
        <w:t xml:space="preserve"> </w:t>
      </w:r>
      <w:r>
        <w:rPr>
          <w:color w:val="000000"/>
        </w:rPr>
        <w:fldChar w:fldCharType="begin"/>
      </w:r>
      <w:r w:rsidR="006528EA">
        <w:rPr>
          <w:color w:val="000000"/>
        </w:rPr>
        <w:instrText xml:space="preserve"> ADDIN ZOTERO_ITEM CSL_CITATION {"citationID":"xMJotLBW","properties":{"formattedCitation":"\\super 112\\nosupersub{}","plainCitation":"112","noteIndex":0},"citationItems":[{"id":19052,"uris":["http://zotero.org/users/3444308/items/6GT8E4GL"],"itemData":{"id":19052,"type":"article-journal","abstract":"All causes of renal allograft injury, when severe and/or sustained, can result in chronic histological damage of which interstitial fibrosis and tubular atrophy are dominant features. Unless a specific disease process can be identified, what drives interstitial fibrosis and tubular atrophy progression in individual patients is often unclear. In general, clinicopathological factors known to predict and drive allograft fibrosis include graft quality, inflammation (whether \"nonspecific\" or related to a specific diagnosis), infections, such as polyomavirus-associated nephropathy, calcineurin inhibitors (CNI), and genetic factors. The incidence and severity of chronic histological damage have decreased substantially over the last 3 decades, but it is difficult to disentangle what effects individual innovations (eg, better matching and preservation techniques, lower CNI dosing, BK viremia screening) may have had. There is little evidence that CNI-sparing/minimization strategies, steroid minimization or renin-angiotensin-aldosterone system blockade result in better preservation of intermediate-term histology. Treatment of subclinical rejections has only proven beneficial to histological and functional outcome in studies in which the rate of subclinical rejection in the first 3 months was greater than 10% to 15%. Potential novel antifibrotic strategies include antagonists of transforming growth factor-β, connective tissue growth factor, several tyrosine kinase ligands (epidermal growth factor, platelet-derived growth factor, vascular endothelial growth factor), endothelin and inhibitors of chemotaxis. Although many of these drugs are mainly being developed and marketed for oncological indications and diseases, such as idiopathic pulmonary fibrosis, a number may hold promise in the treatment of diabetic nephropathy, which could eventually lead to applications in renal transplantation.","container-title":"Transplantation","DOI":"10.1097/TP.0000000000001608","ISSN":"1534-6080","issue":"4","journalAbbreviation":"Transplantation","language":"eng","note":"PMID: 27941433\nPMCID: PMC7228593","page":"713-726","source":"PubMed","title":"Kidney Fibrosis: Origins and Interventions","title-short":"Kidney Fibrosis","volume":"101","author":[{"family":"Vanhove","given":"Thomas"},{"family":"Goldschmeding","given":"Roel"},{"family":"Kuypers","given":"Dirk"}],"issued":{"date-parts":[["2017",4]]}}}],"schema":"https://github.com/citation-style-language/schema/raw/master/csl-citation.json"} </w:instrText>
      </w:r>
      <w:r>
        <w:rPr>
          <w:color w:val="000000"/>
        </w:rPr>
        <w:fldChar w:fldCharType="separate"/>
      </w:r>
      <w:r w:rsidR="003B1628" w:rsidRPr="003B1628">
        <w:rPr>
          <w:rFonts w:ascii="Calibri" w:hAnsi="Calibri" w:cs="Calibri"/>
          <w:vertAlign w:val="superscript"/>
        </w:rPr>
        <w:t>112</w:t>
      </w:r>
      <w:r>
        <w:rPr>
          <w:color w:val="000000"/>
        </w:rPr>
        <w:fldChar w:fldCharType="end"/>
      </w:r>
      <w:r w:rsidRPr="00524CA4">
        <w:rPr>
          <w:color w:val="000000"/>
        </w:rPr>
        <w:t>. These include chronic alloimmune injury, infections (including BK nephropathy, recurrent urinary tract infections and obstruction), recurrent or de-novo glomerular disease</w:t>
      </w:r>
      <w:r>
        <w:rPr>
          <w:color w:val="000000"/>
        </w:rPr>
        <w:t>,</w:t>
      </w:r>
      <w:r w:rsidRPr="00524CA4">
        <w:rPr>
          <w:color w:val="000000"/>
        </w:rPr>
        <w:t xml:space="preserve"> as well as diabetes and hypertension. Donor vasculopathy, prolonged delayed graft function and reperfusion injuries at the time of transplantation also contribute to the overall picture of chronic allograft injury</w:t>
      </w:r>
      <w:r>
        <w:rPr>
          <w:color w:val="000000"/>
        </w:rPr>
        <w:t xml:space="preserve"> </w:t>
      </w:r>
      <w:r>
        <w:rPr>
          <w:color w:val="000000"/>
        </w:rPr>
        <w:fldChar w:fldCharType="begin"/>
      </w:r>
      <w:r w:rsidR="006528EA">
        <w:rPr>
          <w:color w:val="000000"/>
        </w:rPr>
        <w:instrText xml:space="preserve"> ADDIN ZOTERO_ITEM CSL_CITATION {"citationID":"f1LMauop","properties":{"formattedCitation":"\\super 111,113\\nosupersub{}","plainCitation":"111,113","noteIndex":0},"citationItems":[{"id":19053,"uris":["http://zotero.org/users/3444308/items/LHSEHTNX"],"itemData":{"id":19053,"type":"article-journal","abstract":"With the incremental improvements in long-term kidney transplant survival, there is renewed focus on what causes failure of the transplanted allograft. Over the past decade, our understanding of the injuries that lead to loss of graft function over time has evolved. Chronic allograft injury includes both immune-mediated and nonimmune-mediated injuries, which may involve the organ donor, the recipient, or both. The targets of injury include the kidney tubular epithelium, the endothelium, and the glomerulus. As a response to injury, there are the expected tissue remodeling and repair processes. However, if inflammation persists, which is not uncommon in the transplant setting, the resulting maladaptive response is matrix deposition and/or fibrosis. This ultimately leads to declining graft function and, finally, failure. With our advancing knowledge of the multiple etiologies and mechanisms, enhanced by more recent cohort studies in humans, there is an opportunity to identify those at greater risk to initiate new strategies to ameliorate the process. Although the most recent studies focus on immune-mediated injuries, there is a critical need to identify both markers of injury and mechanisms of injury. In this review, we highlight the findings of recent studies, highlight the potential therapeutic targets, and identify the continued unmet need for understanding the mechanisms of late graft failure.","container-title":"Clinical journal of the American Society of Nephrology: CJASN","DOI":"10.2215/CJN.15590920","ISSN":"1555-905X","issue":"11","journalAbbreviation":"Clin J Am Soc Nephrol","language":"eng","note":"PMID: 33820759\nPMCID: PMC8729407","page":"1723-1729","source":"PubMed","title":"Chronic Allograft Injury","volume":"16","author":[{"family":"Langewisch","given":"Eric"},{"family":"Mannon","given":"Roslyn B."}],"issued":{"date-parts":[["2021",11]]}}},{"id":19051,"uris":["http://zotero.org/users/3444308/items/IHK8QCFL"],"itemData":{"id":19051,"type":"article-journal","abstract":"We prospectively studied kidney transplants that progressed to failure after a biopsy for clinical indications, aiming to assign a cause to every failure. We followed 315 allograft recipients who underwent indication biopsies at 6 days to 32 years posttransplant. Sixty kidneys progressed to failure in the follow-up period (median 31.4 months). Failure was rare after T-cell-mediated rejection and acute kidney injury and common after antibody-mediated rejection or glomerulonephritis. We developed rules for using biopsy diagnoses, HLA antibody and clinical data to explain each failure. Excluding four with missing information, 56 failures were attributed to four causes: rejection 36 (64%), glomerulonephritis 10 (18%), polyoma virus nephropathy 4 (7%) and intercurrent events 6 (11%). Every rejection loss had evidence of antibody-mediated rejection by the time of failure. Among rejection losses, 17 of 36 (47%) had been independently identified as nonadherent by attending clinicians. Nonadherence was more frequent in patients who progressed to failure (32%) versus those who survived (3%). Pure T-cell-mediated rejection, acute kidney injury, drug toxicity and unexplained progressive fibrosis were not causes of loss. This prospective cohort indicates that many actual failures after indication biopsies manifest phenotypic features of antibody-mediated or mixed rejection and also underscores the major role of nonadherence.","container-title":"American Journal of Transplantation: Official Journal of the American Society of Transplantation and the American Society of Transplant Surgeons","DOI":"10.1111/j.1600-6143.2011.03840.x","ISSN":"1600-6143","issue":"2","journalAbbreviation":"Am J Transplant","language":"eng","note":"PMID: 22081892","page":"388-399","source":"PubMed","title":"Understanding the causes of kidney transplant failure: the dominant role of antibody-mediated rejection and nonadherence","title-short":"Understanding the causes of kidney transplant failure","volume":"12","author":[{"family":"Sellarés","given":"J."},{"family":"Freitas","given":"D. G.","non-dropping-particle":"de"},{"family":"Mengel","given":"M."},{"family":"Reeve","given":"J."},{"family":"Einecke","given":"G."},{"family":"Sis","given":"B."},{"family":"Hidalgo","given":"L. G."},{"family":"Famulski","given":"K."},{"family":"Matas","given":"A."},{"family":"Halloran","given":"P. F."}],"issued":{"date-parts":[["2012",2]]}}}],"schema":"https://github.com/citation-style-language/schema/raw/master/csl-citation.json"} </w:instrText>
      </w:r>
      <w:r>
        <w:rPr>
          <w:color w:val="000000"/>
        </w:rPr>
        <w:fldChar w:fldCharType="separate"/>
      </w:r>
      <w:r w:rsidR="003B1628" w:rsidRPr="003B1628">
        <w:rPr>
          <w:rFonts w:ascii="Calibri" w:hAnsi="Calibri" w:cs="Calibri"/>
          <w:vertAlign w:val="superscript"/>
        </w:rPr>
        <w:t>111,113</w:t>
      </w:r>
      <w:r>
        <w:rPr>
          <w:color w:val="000000"/>
        </w:rPr>
        <w:fldChar w:fldCharType="end"/>
      </w:r>
      <w:r w:rsidRPr="00524CA4">
        <w:rPr>
          <w:color w:val="000000"/>
        </w:rPr>
        <w:t>.</w:t>
      </w:r>
    </w:p>
    <w:p w14:paraId="4B81AC38" w14:textId="30A93F5E" w:rsidR="00ED6CD4" w:rsidRPr="00524CA4" w:rsidRDefault="00ED6CD4" w:rsidP="0018491F">
      <w:pPr>
        <w:jc w:val="both"/>
        <w:rPr>
          <w:color w:val="000000"/>
        </w:rPr>
      </w:pPr>
      <w:r w:rsidRPr="00524CA4">
        <w:rPr>
          <w:color w:val="000000"/>
        </w:rPr>
        <w:lastRenderedPageBreak/>
        <w:t>Chronic allograft injury can therefore be defined as a</w:t>
      </w:r>
      <w:r w:rsidRPr="00524CA4">
        <w:t xml:space="preserve"> slow</w:t>
      </w:r>
      <w:r>
        <w:t>,</w:t>
      </w:r>
      <w:r w:rsidRPr="00524CA4">
        <w:t xml:space="preserve"> progressive decline in graft function beyond the first year of transplantation, ultimately resulting in graft failure</w:t>
      </w:r>
      <w:r>
        <w:t xml:space="preserve"> </w:t>
      </w:r>
      <w:r>
        <w:fldChar w:fldCharType="begin"/>
      </w:r>
      <w:r w:rsidR="006528EA">
        <w:instrText xml:space="preserve"> ADDIN ZOTERO_ITEM CSL_CITATION {"citationID":"kyrv8qRu","properties":{"formattedCitation":"\\super 114\\nosupersub{}","plainCitation":"114","noteIndex":0},"citationItems":[{"id":19050,"uris":["http://zotero.org/users/3444308/items/DHSQ9A8W"],"itemData":{"id":19050,"type":"book","abstract":"Written for the busy nephrologist and internist who need easy to access information on the diagnosis, investigation, and treatment of patients with kidney disease, the Oxford Desk Reference Nephrology is presented in a way that is not only easy to read and digest but also is detailed enough to allow an in depth understanding of the complex mix of metabolic, immunological, and genetic causes of both acute and chronic kidney disease. The kidneys are rarely affected by disease in isolation; the book comprehensively covers the multisystem disorders that require a multidisciplinary approach, including the cardiological, rheumatological, haematological, infectious, oncological, and urological aspects of kidney disease. In parallel, it extensively describes the myriad multisystem complications of progressive chronic kidney disease with practical advice on how these should be investigated and managed. The importance of understanding the evolution of kidney disease in children and young adults is covered, as in many parts of the world there is no distinction between adult and paediatric nephrology. Therefore, it is important that nephrologists have a sound grasp of both paediatric and adult kidney diseases. The number of patients with advanced kidney disease treated with a kidney transplant or receiving dialysis is increasing in all parts of the world. All nephrologists will manage patients on dialysis or who have a kidney transplant and all internists will encounter these patients. Thus, it is imperative that they have an understanding of these treatments and the commonly encountered medical problems such patients experience.","ISBN":"978-0-19-877718-2","note":"DOI: 10.1093/med/9780198777182.001.0001","publisher":"Oxford University Press","source":"Silverchair","title":"Oxford Desk Reference Nephrology","URL":"https://doi.org/10.1093/med/9780198777182.001.0001","editor":[{"family":"Barratt","given":"Jonathan"},{"family":"Topham","given":"Peter"},{"family":"Carr","given":"Sue"},{"family":"Arici","given":"Mustafa"},{"family":"Liew","given":"Simon"}],"accessed":{"date-parts":[["2025",10,23]]},"issued":{"date-parts":[["2021",7,1]]}}}],"schema":"https://github.com/citation-style-language/schema/raw/master/csl-citation.json"} </w:instrText>
      </w:r>
      <w:r>
        <w:fldChar w:fldCharType="separate"/>
      </w:r>
      <w:r w:rsidR="003B1628" w:rsidRPr="003B1628">
        <w:rPr>
          <w:rFonts w:ascii="Calibri" w:hAnsi="Calibri" w:cs="Calibri"/>
          <w:vertAlign w:val="superscript"/>
        </w:rPr>
        <w:t>114</w:t>
      </w:r>
      <w:r>
        <w:fldChar w:fldCharType="end"/>
      </w:r>
      <w:r w:rsidRPr="00524CA4">
        <w:t>.</w:t>
      </w:r>
      <w:r w:rsidRPr="00524CA4">
        <w:rPr>
          <w:color w:val="000000"/>
        </w:rPr>
        <w:t xml:space="preserve"> There is no consensus on </w:t>
      </w:r>
      <w:r>
        <w:rPr>
          <w:color w:val="000000"/>
        </w:rPr>
        <w:t>defining</w:t>
      </w:r>
      <w:r w:rsidRPr="00524CA4">
        <w:rPr>
          <w:color w:val="000000"/>
        </w:rPr>
        <w:t xml:space="preserve"> a clinically significant decline in eGFR or graft failure. Indeed, different definitions have been used as endpoints in studies and trials</w:t>
      </w:r>
      <w:r>
        <w:rPr>
          <w:color w:val="000000"/>
        </w:rPr>
        <w:t xml:space="preserve"> </w:t>
      </w:r>
      <w:r>
        <w:rPr>
          <w:color w:val="000000"/>
        </w:rPr>
        <w:fldChar w:fldCharType="begin"/>
      </w:r>
      <w:r w:rsidR="006528EA">
        <w:rPr>
          <w:color w:val="000000"/>
        </w:rPr>
        <w:instrText xml:space="preserve"> ADDIN ZOTERO_ITEM CSL_CITATION {"citationID":"2QYl1jSF","properties":{"formattedCitation":"\\super 115,116\\nosupersub{}","plainCitation":"115,116","noteIndex":0},"citationItems":[{"id":19049,"uris":["http://zotero.org/users/3444308/items/KPKFQSN2"],"itemData":{"id":19049,"type":"article-journal","abstract":"The US Food and Drug Administration currently accepts halving of glomerular filtration rate (GFR), assessed as doubling of serum creatinine level, as a surrogate end point for the development of kidney failure in clinical trials of kidney disease progression. A doubling of serum creatinine level generally is a late event in chronic kidney disease (CKD); thus, there is great interest in considering alternative end points for clinical trials to shorten their duration, reduce sample size, and extend their conduct to patients with earlier stages of CKD. However, the relationship between lesser declines in GFR and the subsequent development of kidney failure has not been well characterized. The National Kidney Foundation and Food and Drug Administration sponsored a scientific workshop to critically examine available data to determine whether alternative GFR-based end points have sufficiently strong relationships with important clinical outcomes of CKD to be used in clinical trials. Based on a series of meta-analyses of cohorts and clinical trials and simulations of trial designs and analytic methods, the workshop concluded that a confirmed decline in estimated GFR of 30% over 2 to 3 years may be an acceptable surrogate end point in some circumstances, but the pattern of treatment effects on GFR must be examined, specifically acute effects on estimated GFR. An estimated GFR decline of 40% may be more broadly acceptable than a 30% decline across a wider range of baseline GFRs and patterns of treatment effects on GFR. However, there are other circumstances in which these end points could lead to a reduction in statistical power or erroneous conclusions regarding benefits or harms of interventions. We encourage careful consideration of these alternative end points in the design of future clinical trials.","container-title":"American Journal of Kidney Diseases: The Official Journal of the National Kidney Foundation","DOI":"10.1053/j.ajkd.2014.07.030","ISSN":"1523-6838","issue":"6","journalAbbreviation":"Am J Kidney Dis","language":"eng","note":"PMID: 25441437","page":"821-835","source":"PubMed","title":"GFR decline as an end point for clinical trials in CKD: a scientific workshop sponsored by the National Kidney Foundation and the US Food and Drug Administration","title-short":"GFR decline as an end point for clinical trials in CKD","volume":"64","author":[{"family":"Levey","given":"Andrew S."},{"family":"Inker","given":"Lesley A."},{"family":"Matsushita","given":"Kunihiro"},{"family":"Greene","given":"Tom"},{"family":"Willis","given":"Kerry"},{"family":"Lewis","given":"Edmund"},{"family":"Zeeuw","given":"Dick","non-dropping-particle":"de"},{"family":"Cheung","given":"Alfred K."},{"family":"Coresh","given":"Josef"}],"issued":{"date-parts":[["2014",12]]}}},{"id":19048,"uris":["http://zotero.org/users/3444308/items/LIWJSUX6"],"itemData":{"id":19048,"type":"article-journal","container-title":"American Journal of Kidney Diseases: The Official Journal of the National Kidney Foundation","DOI":"10.1053/j.ajkd.2014.09.006","ISSN":"1523-6838","issue":"6","journalAbbreviation":"Am J Kidney Dis","language":"eng","note":"PMID: 25446026","page":"836-837","source":"PubMed","title":"GFR decline as an end point in trials of CKD: a viewpoint from the FDA","title-short":"GFR decline as an end point in trials of CKD","volume":"64","author":[{"family":"Thompson","given":"Aliza"},{"family":"Lawrence","given":"John"},{"family":"Stockbridge","given":"Norman"}],"issued":{"date-parts":[["2014",12]]}}}],"schema":"https://github.com/citation-style-language/schema/raw/master/csl-citation.json"} </w:instrText>
      </w:r>
      <w:r>
        <w:rPr>
          <w:color w:val="000000"/>
        </w:rPr>
        <w:fldChar w:fldCharType="separate"/>
      </w:r>
      <w:r w:rsidR="003B1628" w:rsidRPr="003B1628">
        <w:rPr>
          <w:rFonts w:ascii="Calibri" w:hAnsi="Calibri" w:cs="Calibri"/>
          <w:vertAlign w:val="superscript"/>
        </w:rPr>
        <w:t>115,116</w:t>
      </w:r>
      <w:r>
        <w:rPr>
          <w:color w:val="000000"/>
        </w:rPr>
        <w:fldChar w:fldCharType="end"/>
      </w:r>
      <w:r w:rsidRPr="00524CA4">
        <w:rPr>
          <w:color w:val="000000"/>
        </w:rPr>
        <w:t>.</w:t>
      </w:r>
    </w:p>
    <w:p w14:paraId="009CF2F3" w14:textId="6E3308A8" w:rsidR="00ED6CD4" w:rsidRPr="00524CA4" w:rsidRDefault="00EF7E7C" w:rsidP="00EF7E7C">
      <w:pPr>
        <w:pStyle w:val="GuidelineHeadings"/>
      </w:pPr>
      <w:r w:rsidRPr="00EF7E7C">
        <w:t xml:space="preserve">Guideline 4.2 </w:t>
      </w:r>
      <w:r w:rsidR="00932D5D">
        <w:t>–</w:t>
      </w:r>
      <w:r w:rsidRPr="00EF7E7C">
        <w:t xml:space="preserve"> Detection of CAI</w:t>
      </w:r>
    </w:p>
    <w:p w14:paraId="68120803" w14:textId="59ACDEB6" w:rsidR="00ED6CD4" w:rsidRPr="00EF7E7C" w:rsidRDefault="00ED6CD4" w:rsidP="0018491F">
      <w:pPr>
        <w:jc w:val="both"/>
      </w:pPr>
      <w:r w:rsidRPr="00524CA4">
        <w:t xml:space="preserve">Creatinine and proteinuria are routinely used in clinics as readily available biomarkers to detect allograft dysfunction. KDIGO and BTS guidelines recommend </w:t>
      </w:r>
      <w:r>
        <w:t>monitoring renal function</w:t>
      </w:r>
      <w:r w:rsidRPr="00524CA4">
        <w:t xml:space="preserve"> every 3-6 months after the first 12 months </w:t>
      </w:r>
      <w:r>
        <w:t xml:space="preserve">post-transplantation </w:t>
      </w:r>
      <w:r>
        <w:fldChar w:fldCharType="begin"/>
      </w:r>
      <w:r w:rsidR="006528EA">
        <w:instrText xml:space="preserve"> ADDIN ZOTERO_ITEM CSL_CITATION {"citationID":"qAUXW9E0","properties":{"formattedCitation":"\\super 117\\nosupersub{}","plainCitation":"117","noteIndex":0},"citationItems":[{"id":19088,"uris":["http://zotero.org/users/3444308/items/86ET5ZDV","http://zotero.org/users/3444308/items/FWU5Z7XK"],"itemData":{"id":19088,"type":"article-journal","abstract":"The 2009 Kidney Disease: Improving Global Outcomes (KDIGO) clinical practice guideline on the monitoring, management, and treatment of kidney transplant recipients is intended to assist the practitioner caring for adults and children after kidney transplantation. The guideline development process followed an evidence-based approach, and management recommendations are based on systematic reviews of relevant treatment trials. Critical appraisal of the quality of the evidence and the strength of recommendations followed the Grades of Recommendation Assessment, Development, and Evaluation (GRADE) approach. The guideline makes recommendations for immunosuppression and graft monitoring, as well as prevention and treatment of infection, cardiovascular disease, malignancy, and other complications that are common in kidney transplant recipients, including hematological and bone disorders. Limitations of the evidence, especially the lack of definitive clinical outcome trials, are discussed and suggestions are provided for future research. This summary includes a brief description of methodology and the complete guideline recommendations but does not include the rationale and references for each recommendation, which are published elsewhere.","container-title":"Kidney International","DOI":"10.1038/ki.2009.377","ISSN":"1523-1755","issue":"4","journalAbbreviation":"Kidney Int","language":"eng","note":"PMID: 19847156","page":"299-311","source":"PubMed","title":"KDIGO clinical practice guideline for the care of kidney transplant recipients: a summary","title-short":"KDIGO clinical practice guideline for the care of kidney transplant recipients","volume":"77","author":[{"family":"Kasiske","given":"Bertram L."},{"family":"Zeier","given":"Martin G."},{"family":"Chapman","given":"Jeremy R."},{"family":"Craig","given":"Jonathan C."},{"family":"Ekberg","given":"Henrik"},{"family":"Garvey","given":"Catherine A."},{"family":"Green","given":"Michael D."},{"family":"Jha","given":"Vivekanand"},{"family":"Josephson","given":"Michelle A."},{"family":"Kiberd","given":"Bryce A."},{"family":"Kreis","given":"Henri A."},{"family":"McDonald","given":"Ruth A."},{"family":"Newmann","given":"John M."},{"family":"Obrador","given":"Gregorio T."},{"family":"Vincenti","given":"Flavio G."},{"family":"Cheung","given":"Michael"},{"family":"Earley","given":"Amy"},{"family":"Raman","given":"Gowri"},{"family":"Abariga","given":"Samuel"},{"family":"Wagner","given":"Martin"},{"family":"Balk","given":"Ethan M."},{"literal":"Kidney Disease: Improving Global Outcomes"}],"issued":{"date-parts":[["2010",2]]}}}],"schema":"https://github.com/citation-style-language/schema/raw/master/csl-citation.json"} </w:instrText>
      </w:r>
      <w:r>
        <w:fldChar w:fldCharType="separate"/>
      </w:r>
      <w:r w:rsidR="002119AF" w:rsidRPr="002119AF">
        <w:rPr>
          <w:rFonts w:ascii="Calibri" w:hAnsi="Calibri" w:cs="Calibri"/>
          <w:vertAlign w:val="superscript"/>
        </w:rPr>
        <w:t>117</w:t>
      </w:r>
      <w:r>
        <w:fldChar w:fldCharType="end"/>
      </w:r>
      <w:r w:rsidRPr="00524CA4">
        <w:t>. However</w:t>
      </w:r>
      <w:r>
        <w:t>,</w:t>
      </w:r>
      <w:r w:rsidRPr="00524CA4">
        <w:t xml:space="preserve"> monitoring creatinine and proteinuria has limited utility in predicting graft failure as these markers are </w:t>
      </w:r>
      <w:r>
        <w:t>nonspecific</w:t>
      </w:r>
      <w:r w:rsidRPr="00524CA4">
        <w:t xml:space="preserve"> and lack sensitivity for early graft injury</w:t>
      </w:r>
      <w:r>
        <w:t xml:space="preserve"> </w:t>
      </w:r>
      <w:r>
        <w:fldChar w:fldCharType="begin"/>
      </w:r>
      <w:r w:rsidR="006528EA">
        <w:instrText xml:space="preserve"> ADDIN ZOTERO_ITEM CSL_CITATION {"citationID":"6Rre1o5D","properties":{"formattedCitation":"\\super 118,119\\nosupersub{}","plainCitation":"118,119","noteIndex":0},"citationItems":[{"id":19046,"uris":["http://zotero.org/users/3444308/items/LLVURVRQ"],"itemData":{"id":19046,"type":"article-journal","abstract":"Both medical care and pharmaceutical development have led to an increase in expected graft and patient survival for patients who undergo renal transplantation. From a research perspective, it has become increasingly difficult to study the efficacy of new therapies using traditional 'hard' endpoints. In reaction to this dilemma, the transplant community has sought a surrogate endpoint. A natural candidate for a surrogate marker for graft loss that has been proposed is renal function (serum creatinine or calculated GFR levels). Using data from the USRDS, we conducted a retrospective evaluation of transplant data from 1988 to 1999 to quantify the predictive value of renal function for the outcomes of graft loss, death-censored graft loss, and patient death. Renal function along with the change in renal function demonstrated a high relative risk for ultimate graft survival and graft loss (odds ratio = 2.2 for an increase of 1 mg/dL). However, the predictive value as measured by the area under the receiver operating characteristic curve (AUC) for this criteria was poor (0.627). These findings held true for the slope of creatinine and formulations of GFR. While renal function is a strong risk factor and highly correlated with graft failure, the utility of renal function as a predictive tool for graft loss is limited.","container-title":"American Journal of Transplantation: Official Journal of the American Society of Transplantation and the American Society of Transplant Surgeons","DOI":"10.1046/j.1600-6135.2003.00275.x","ISSN":"1600-6135","issue":"12","journalAbbreviation":"Am J Transplant","language":"eng","note":"PMID: 14629286","page":"1560-1565","source":"PubMed","title":"Poor predictive value of serum creatinine for renal allograft loss","volume":"3","author":[{"family":"Kaplan","given":"Bruce"},{"family":"Schold","given":"Jesse"},{"family":"Meier-Kriesche","given":"Herwig-Ulf"}],"issued":{"date-parts":[["2003",12]]}}},{"id":19045,"uris":["http://zotero.org/users/3444308/items/6V5458DZ"],"itemData":{"id":19045,"type":"article-journal","abstract":"Proteinuria is routinely measured to assess renal allograft status, but the diagnostic and prognostic values of this measurement for renal transplant pathology and outcome remain unclear. We included 1518 renal allograft recipients in this prospective, observational cohort study. All renal allograft biopsy samples with concomitant data on 24-hour proteinuria were included in the analyses (n=2274). Patients were followed for ≥7 years post-transplantation. Compared with proteinuria &lt;0.3 g/24 h, the hazard ratios for graft failure were 1.14 (95% confidence interval [95% CI], 0.81 to 1.60; P=0.50), for proteinuria 0.3-1.0 g/24 h, 2.17 (95% CI, 1.49 to 3.18; P&lt;0.001), for proteinuria 1.0-3.0 g/24 h, and 3.01 (95% CI, 1.75 to 5.18; P&lt;0.001), for proteinuria &gt;3.0 g/24 h, independent of GFR and allograft histology. The predictive performance of proteinuria for graft failure was lower at 3 months after transplant (area under the receiver-operating characteristic curve [AUC] 0.64, P&lt;0.001) than at 1, 2, and 5 years after transplant (AUC 0.73, 0.71, and 0.77, respectively, all P&lt;0.001). Independent determinants of proteinuria were repeat transplantation, mean arterial pressure, transplant glomerulopathy, microcirculation inflammation, and de novo/recurrent glomerular disease. The discriminatory power of proteinuria for these intragraft injury processes was better in biopsy samples obtained &gt;3 months after transplant (AUC 0.73, P&lt;0.001) than in those obtained earlier (AUC 0.56, P&lt;0.01), with 85% specificity but lower sensitivity (47.8%) for proteinuria &gt;1.0 g/24 h. These data support current clinical guidelines to routinely measure proteinuria after transplant, but illustrate the need for more sensitive biomarkers of allograft injury and prognosis.","container-title":"Journal of the American Society of Nephrology: JASN","DOI":"10.1681/ASN.2015010062","ISSN":"1533-3450","issue":"1","journalAbbreviation":"J Am Soc Nephrol","language":"eng","note":"PMID: 26152270\nPMCID: PMC4696583","page":"281-292","source":"PubMed","title":"Proteinuria as a Noninvasive Marker for Renal Allograft Histology and Failure: An Observational Cohort Study","title-short":"Proteinuria as a Noninvasive Marker for Renal Allograft Histology and Failure","volume":"27","author":[{"family":"Naesens","given":"Maarten"},{"family":"Lerut","given":"Evelyne"},{"family":"Emonds","given":"Marie-Paule"},{"family":"Herelixka","given":"Albert"},{"family":"Evenepoel","given":"Pieter"},{"family":"Claes","given":"Kathleen"},{"family":"Bammens","given":"Bert"},{"family":"Sprangers","given":"Ben"},{"family":"Meijers","given":"Björn"},{"family":"Jochmans","given":"Ina"},{"family":"Monbaliu","given":"Diethard"},{"family":"Pirenne","given":"Jacques"},{"family":"Kuypers","given":"Dirk R. J."}],"issued":{"date-parts":[["2016",1]]}}}],"schema":"https://github.com/citation-style-language/schema/raw/master/csl-citation.json"} </w:instrText>
      </w:r>
      <w:r>
        <w:fldChar w:fldCharType="separate"/>
      </w:r>
      <w:r w:rsidR="002119AF" w:rsidRPr="002119AF">
        <w:rPr>
          <w:rFonts w:ascii="Calibri" w:hAnsi="Calibri" w:cs="Calibri"/>
          <w:vertAlign w:val="superscript"/>
        </w:rPr>
        <w:t>118,119</w:t>
      </w:r>
      <w:r>
        <w:fldChar w:fldCharType="end"/>
      </w:r>
      <w:r w:rsidRPr="00524CA4">
        <w:t xml:space="preserve">. </w:t>
      </w:r>
      <w:r>
        <w:t>There</w:t>
      </w:r>
      <w:r w:rsidRPr="00524CA4">
        <w:t xml:space="preserve"> may have already been substantial and irreversible damage accrued by the time there is a clinically evident decline in eGFR</w:t>
      </w:r>
      <w:r>
        <w:t xml:space="preserve"> </w:t>
      </w:r>
      <w:r>
        <w:fldChar w:fldCharType="begin"/>
      </w:r>
      <w:r w:rsidR="006528EA">
        <w:instrText xml:space="preserve"> ADDIN ZOTERO_ITEM CSL_CITATION {"citationID":"F2Vwtabw","properties":{"formattedCitation":"\\super 111,120\\nosupersub{}","plainCitation":"111,120","noteIndex":0},"citationItems":[{"id":19053,"uris":["http://zotero.org/users/3444308/items/LHSEHTNX"],"itemData":{"id":19053,"type":"article-journal","abstract":"With the incremental improvements in long-term kidney transplant survival, there is renewed focus on what causes failure of the transplanted allograft. Over the past decade, our understanding of the injuries that lead to loss of graft function over time has evolved. Chronic allograft injury includes both immune-mediated and nonimmune-mediated injuries, which may involve the organ donor, the recipient, or both. The targets of injury include the kidney tubular epithelium, the endothelium, and the glomerulus. As a response to injury, there are the expected tissue remodeling and repair processes. However, if inflammation persists, which is not uncommon in the transplant setting, the resulting maladaptive response is matrix deposition and/or fibrosis. This ultimately leads to declining graft function and, finally, failure. With our advancing knowledge of the multiple etiologies and mechanisms, enhanced by more recent cohort studies in humans, there is an opportunity to identify those at greater risk to initiate new strategies to ameliorate the process. Although the most recent studies focus on immune-mediated injuries, there is a critical need to identify both markers of injury and mechanisms of injury. In this review, we highlight the findings of recent studies, highlight the potential therapeutic targets, and identify the continued unmet need for understanding the mechanisms of late graft failure.","container-title":"Clinical journal of the American Society of Nephrology: CJASN","DOI":"10.2215/CJN.15590920","ISSN":"1555-905X","issue":"11","journalAbbreviation":"Clin J Am Soc Nephrol","language":"eng","note":"PMID: 33820759\nPMCID: PMC8729407","page":"1723-1729","source":"PubMed","title":"Chronic Allograft Injury","volume":"16","author":[{"family":"Langewisch","given":"Eric"},{"family":"Mannon","given":"Roslyn B."}],"issued":{"date-parts":[["2021",11]]}}},{"id":19044,"uris":["http://zotero.org/users/3444308/items/JVWMM278"],"itemData":{"id":19044,"type":"article-journal","abstract":"A common lament is that long-term kidney transplant outcomes remain the same despite improvements in early graft survival. To be fair, progress has been made-in both our understanding of chronic injury and modestly, graft survival. However, we are still a long way from actually solving this important and difficult problem. In this review, we outline recent data supporting the existence of several causes of renal allograft loss, the incidences of which peak at different time points after transplantation. On the basis of this broadened concept of chronic renal allograft injury, we examine the challenges of clinical trial design in long-term studies, including the use of surrogate end points and biomarkers. Finally, we suggest a path forward that, ultimately, may improve long-term renal allograft survival.","container-title":"Journal of the American Society of Nephrology: JASN","DOI":"10.1681/ASN.2014040378","ISSN":"1533-3450","issue":"1","journalAbbreviation":"J Am Soc Nephrol","language":"eng","note":"PMID: 25097209\nPMCID: PMC4279746","page":"20-29","source":"PubMed","title":"Through a glass darkly: seeking clarity in preventing late kidney transplant failure","title-short":"Through a glass darkly","volume":"26","author":[{"family":"Stegall","given":"Mark D."},{"family":"Gaston","given":"Robert S."},{"family":"Cosio","given":"Fernando G."},{"family":"Matas","given":"Arthur"}],"issued":{"date-parts":[["2015",1]]}}}],"schema":"https://github.com/citation-style-language/schema/raw/master/csl-citation.json"} </w:instrText>
      </w:r>
      <w:r>
        <w:fldChar w:fldCharType="separate"/>
      </w:r>
      <w:r w:rsidR="002119AF" w:rsidRPr="002119AF">
        <w:rPr>
          <w:rFonts w:ascii="Calibri" w:hAnsi="Calibri" w:cs="Calibri"/>
          <w:vertAlign w:val="superscript"/>
        </w:rPr>
        <w:t>111,120</w:t>
      </w:r>
      <w:r>
        <w:fldChar w:fldCharType="end"/>
      </w:r>
      <w:r w:rsidRPr="00524CA4">
        <w:t>. In one study, protocol biopsies performed at one year showed an elevated chronic allograft damage index in 60% of patients, while only 20% of patients had elevations in creatinine</w:t>
      </w:r>
      <w:r>
        <w:t xml:space="preserve"> </w:t>
      </w:r>
      <w:r>
        <w:fldChar w:fldCharType="begin"/>
      </w:r>
      <w:r w:rsidR="006528EA">
        <w:instrText xml:space="preserve"> ADDIN ZOTERO_ITEM CSL_CITATION {"citationID":"IN00uSSX","properties":{"formattedCitation":"\\super 121\\nosupersub{}","plainCitation":"121","noteIndex":0},"citationItems":[{"id":19043,"uris":["http://zotero.org/users/3444308/items/92MSVC5R"],"itemData":{"id":19043,"type":"article-journal","abstract":"This study is an investigation of whether a protocol biopsy may be used as surrogate to late graft survival in multicenter renal transplantation trials. During two mycophenolate mofetil trials, 621 representative protocol biopsies were obtained at baseline, 1 yr, and 3 yr. The samples were coded and evaluated blindly by two pathologists, and Chronic Allograft Damage Index (CADI) score was constructed. At 1 yr, only 20% of patients had elevated (&gt;l.5 mg/100 ml) serum creatinine, whereas 60% of the biopsies demonstrated an elevated (&gt;2.0) CADI score. The mean CADI score at baseline, 1.3 +/- 1.1, increased to 3.3 +/- 1.8 at 1 yr and to 4.1 +/- 2.2 at 3 yr. The patients at 1 yr were divided into three groups, those with CADI &lt;2, between 2 and 3.9, and &gt;4.0, the first two groups having normal (1.4 +/- 0.3 and 1.5 +/- 0.6 mg/dl) and the third group pathologic (1.9 +/- 0.8 mg/dl) serum creatinine. At 3 yr, there were no lost grafts in the low CADI group, six lost grafts (4.6%) in the in the elevated CADI group, and 17 lost grafts (16.7%) in the high CADI group (P &lt; 0.001). One-year histologic CADI score predicts graft survival even when the graft function is still normal. This observation makes it possible to use CADI as a surrogate end point in prevention trials and to identify the patients at risk for intervention trials.","container-title":"Journal of the American Society of Nephrology: JASN","DOI":"10.1097/01.asn.0000054496.68498.13","ISSN":"1046-6673","issue":"3","journalAbbreviation":"J Am Soc Nephrol","language":"eng","note":"PMID: 12595515","page":"773-779","source":"PubMed","title":"Protocol core needle biopsy and histologic Chronic Allograft Damage Index (CADI) as surrogate end point for long-term graft survival in multicenter studies","volume":"14","author":[{"family":"Yilmaz","given":"Serdar"},{"family":"Tomlanovich","given":"Steven"},{"family":"Mathew","given":"Timothy"},{"family":"Taskinen","given":"Eero"},{"family":"Paavonen","given":"Timo"},{"family":"Navarro","given":"Merci"},{"family":"Ramos","given":"Eleanor"},{"family":"Hooftman","given":"Leon"},{"family":"Häyry","given":"Pekka"}],"issued":{"date-parts":[["2003",3]]}}}],"schema":"https://github.com/citation-style-language/schema/raw/master/csl-citation.json"} </w:instrText>
      </w:r>
      <w:r>
        <w:fldChar w:fldCharType="separate"/>
      </w:r>
      <w:r w:rsidR="002119AF" w:rsidRPr="002119AF">
        <w:rPr>
          <w:rFonts w:ascii="Calibri" w:hAnsi="Calibri" w:cs="Calibri"/>
          <w:vertAlign w:val="superscript"/>
        </w:rPr>
        <w:t>121</w:t>
      </w:r>
      <w:r>
        <w:fldChar w:fldCharType="end"/>
      </w:r>
      <w:r w:rsidRPr="00524CA4">
        <w:t>. Several non-invasive urinary and circulating biomarkers</w:t>
      </w:r>
      <w:r>
        <w:t>,</w:t>
      </w:r>
      <w:r w:rsidRPr="00524CA4">
        <w:t xml:space="preserve"> including chemokines and microRNA</w:t>
      </w:r>
      <w:r>
        <w:t>,</w:t>
      </w:r>
      <w:r w:rsidRPr="00524CA4">
        <w:t xml:space="preserve"> have been associated with graft dysfunction</w:t>
      </w:r>
      <w:r>
        <w:t>;</w:t>
      </w:r>
      <w:r w:rsidRPr="00524CA4">
        <w:t xml:space="preserve"> however</w:t>
      </w:r>
      <w:r>
        <w:t>,</w:t>
      </w:r>
      <w:r w:rsidRPr="00524CA4">
        <w:t xml:space="preserve"> their validity in clinical practice is still being evaluated</w:t>
      </w:r>
      <w:r>
        <w:t xml:space="preserve"> </w:t>
      </w:r>
      <w:r>
        <w:fldChar w:fldCharType="begin"/>
      </w:r>
      <w:r w:rsidR="006528EA">
        <w:instrText xml:space="preserve"> ADDIN ZOTERO_ITEM CSL_CITATION {"citationID":"jMmbzwoC","properties":{"formattedCitation":"\\super 122,123\\nosupersub{}","plainCitation":"122,123","noteIndex":0},"citationItems":[{"id":19041,"uris":["http://zotero.org/users/3444308/items/98YM5NUX"],"itemData":{"id":19041,"type":"article-journal","abstract":"The current standard of serum creatinine and biopsy to monitor allograft health has many limitations. The most significant drawback of the current standard is the lack of sensitivity and specificity to allograft injuries, which are diagnosed only after significant damage to the allograft. Thus, it is of critical need to identify a biomarker that is sensitive and specific to the early detection of allograft injuries. Urine, as the direct renal ultrafiltrate that can be obtained noninvasively, directly reflects intrarenal processes in the allograft at greater accuracy than analysis of peripheral blood. We review transcriptomic, metabolomic, genomic, and proteomic discovery-based approaches to identifying urinary biomarkers for the noninvasive detection of allograft injuries, as well as the use of urine cell-free DNA in the QSant urine assay as a sensitive surrogate for the renal allograft biopsy for rejection diagnosis.","container-title":"Transplantation","DOI":"10.1097/TP.0000000000004017","ISSN":"1534-6080","issue":"7","journalAbbreviation":"Transplantation","language":"eng","note":"PMID: 34982754","page":"1330-1338","source":"PubMed","title":"Urinary Biomarkers for Kidney Allograft Injury","volume":"106","author":[{"family":"Jin","given":"Paul H."},{"family":"Sarwal","given":"Reuben D."},{"family":"Sarwal","given":"Minnie M."}],"issued":{"date-parts":[["2022",7,1]]}}},{"id":19042,"uris":["http://zotero.org/users/3444308/items/4UE6TPFK"],"itemData":{"id":19042,"type":"article-journal","abstract":"PURPOSE OF REVIEW: Improved long-term kidney allograft survival remains a critical goal in transplantation; the achievement of this, however, is highly dependent on the identification of biomarkers that can either predict or allow advance detection of patients at risk of allograft injury. The present review outlines the commonly used biomarkers in kidney transplantation, while also highlighting those currently under investigation, discussing their advantages and limitations.\nRECENT FINDINGS: Most of the approved biomarkers currently used in kidney transplantation capture antigen recognition or alloantibody production. However, tremendous progress has recently been made in the development of markers of other signaling pathways pertinent to the alloimmune response. Microarray gene sets that predict rejection or poor prognostic phenotypes have been identified in kidney biopsies (the 'molecular microscope diagnostic system' and the 'genomics of chronic allograft rejection' scores), peripheral blood (the 'kidney solid organ response test'), and urine (the '3-genes signature'). Strategies targeting serial measurements of urinary chemokines such as CXCL9 and CXCL10 also appear promising.\nSUMMARY: Although the range of biomarkers in current use is limited, there are many assays in the development and validation pipeline that appear promising but that have yet to reach mainstream clinical transplantation. The 'ideal biomarker' may eventually transpire to be the combination of several assays.","container-title":"Current Opinion in Nephrology and Hypertension","DOI":"10.1097/MNH.0000000000000361","ISSN":"1473-6543","issue":"6","journalAbbreviation":"Curr Opin Nephrol Hypertens","language":"eng","note":"PMID: 28857783","page":"509-515","source":"PubMed","title":"A critical review of biomarkers in kidney transplantation","volume":"26","author":[{"family":"Safa","given":"Kassem"},{"family":"Magee","given":"Ciara N."},{"family":"Azzi","given":"Jamil"}],"issued":{"date-parts":[["2017",11]]}}}],"schema":"https://github.com/citation-style-language/schema/raw/master/csl-citation.json"} </w:instrText>
      </w:r>
      <w:r>
        <w:fldChar w:fldCharType="separate"/>
      </w:r>
      <w:r w:rsidR="002119AF" w:rsidRPr="002119AF">
        <w:rPr>
          <w:rFonts w:ascii="Calibri" w:hAnsi="Calibri" w:cs="Calibri"/>
          <w:vertAlign w:val="superscript"/>
        </w:rPr>
        <w:t>122,123</w:t>
      </w:r>
      <w:r>
        <w:fldChar w:fldCharType="end"/>
      </w:r>
      <w:r w:rsidRPr="00524CA4">
        <w:t>.</w:t>
      </w:r>
    </w:p>
    <w:p w14:paraId="67A51163" w14:textId="61E7C517" w:rsidR="00ED6CD4" w:rsidRPr="00524CA4" w:rsidRDefault="00ED6CD4" w:rsidP="0018491F">
      <w:pPr>
        <w:jc w:val="both"/>
      </w:pPr>
      <w:r w:rsidRPr="00524CA4">
        <w:t xml:space="preserve">On the other hand, various predictors associated with poor graft outcomes have been identified, particularly </w:t>
      </w:r>
      <w:r>
        <w:t>regarding</w:t>
      </w:r>
      <w:r w:rsidRPr="00524CA4">
        <w:t xml:space="preserve"> alloimmune injury. The link between treatment non-compliance, donor-specific antibodies (DSA) and inferior graft survival has been established</w:t>
      </w:r>
      <w:r>
        <w:t xml:space="preserve"> </w:t>
      </w:r>
      <w:r>
        <w:fldChar w:fldCharType="begin"/>
      </w:r>
      <w:r w:rsidR="006528EA">
        <w:instrText xml:space="preserve"> ADDIN ZOTERO_ITEM CSL_CITATION {"citationID":"DJ6WGIsb","properties":{"formattedCitation":"\\super 124,125\\nosupersub{}","plainCitation":"124,125","noteIndex":0},"citationItems":[{"id":19040,"uris":["http://zotero.org/users/3444308/items/24URSVLA"],"itemData":{"id":19040,"type":"article-journal","abstract":"BACKGROUND: 3% of kidney transplant recipients return to dialysis annually upon allograft failure. Development of antibodies (Ab) against human leukocyte antigens (HLA) is a validated prognostic biomarker of allograft failure. We tested whether screening for HLA Ab, combined with an intervention to improve adherence and optimization of immunosuppression could prevent allograft failure.\nMETHODS: Prospective, open-labelled randomised biomarker-based strategy (hybrid) trial in 13 UK transplant centres [EudraCT (2012-004308-36) and ISRCTN (46157828)]. Patients were randomly allocated (1:1) to unblinded or double-blinded arms and screened every 8 months. Unblinded HLA Ab+ patients were interviewed to encourage medication adherence and had tailored optimisation of Tacrolimus, Mycophenolate mofetil and Prednisolone. The primary outcome was time to graft failure in an intention to treat analysis. The trial had 80% power to detect a hazard ratio of 0.49 in donor specific antibody (DSA)+ patients.\nFINDINGS: From 11/9/13 to 27/10/16, 5519 were screened for eligibility and 2037 randomised (1028 to unblinded care and 1009 to double blinded care). We identified 198 with DSA and 818 with non-DSA. Development of DSA, but not non-DSA was predictive of graft failure. HRs for graft failure in unblinded DSA+ and non-DSA+ groups were 1.54 (95% CI: 0.72 to 3.30) and 0.97 (0.54-1.74) respectively, providing no evidence of an intervention effect. Non-inferiority for the overall unblinded versus blinded comparison was not demonstrated as the upper confidence limit of the HR for graft failure exceeded 1.4 (1.02, 95% CI: 0.72 to 1.44). The only secondary endpoint reduced in the unblinded arm was biopsy-proven rejection.\nINTERPRETATION: Intervention to improve adherence and optimize immunosuppression does not delay failure of renal transplants after development of DSA. Whilst DSA predicts increased risk of allograft failure, novel interventions are needed before screening can be used to direct therapy.\nFUNDING: The National Institute for Health Research Efficacy and Mechanism Evaluation programme grant (ref 11/100/34).","container-title":"EClinicalMedicine","DOI":"10.1016/j.eclinm.2022.101819","ISSN":"2589-5370","journalAbbreviation":"EClinicalMedicine","language":"eng","note":"PMID: 36684392\nPMCID: PMC9852275","page":"101819","source":"PubMed","title":"Optimized immunosuppression to prevent graft failure in renal transplant recipients with HLA antibodies (OuTSMART): a randomised controlled trial","title-short":"Optimized immunosuppression to prevent graft failure in renal transplant recipients with HLA antibodies (OuTSMART)","volume":"56","author":[{"family":"Stringer","given":"Dominic"},{"family":"Gardner","given":"Leanne"},{"family":"Shaw","given":"Olivia"},{"family":"Clarke","given":"Brendan"},{"family":"Briggs","given":"David"},{"family":"Worthington","given":"Judith"},{"family":"Buckland","given":"Matthew"},{"family":"Danzi","given":"Guilherme"},{"family":"Hilton","given":"Rachel"},{"family":"Picton","given":"Michael"},{"family":"Thuraisingham","given":"Raj"},{"family":"Borrows","given":"Richard"},{"family":"Baker","given":"Richard"},{"family":"McCullough","given":"Keith"},{"family":"Stoves","given":"John"},{"family":"Phanish","given":"Mysore"},{"family":"Shah","given":"Sapna"},{"family":"Shiu","given":"Kin Yee"},{"family":"Walsh","given":"Stephen B."},{"family":"Ahmed","given":"Aimun"},{"family":"Ayub","given":"Waqar"},{"family":"Hegarty","given":"Janet"},{"family":"Tinch-Taylor","given":"Rose"},{"family":"Georgiou","given":"Evangelos"},{"family":"Bidad","given":"Natalie"},{"family":"Kılıç","given":"Ayşenur"},{"family":"Moon","given":"Zoe"},{"family":"Horne","given":"Robert"},{"family":"McCrone","given":"Paul"},{"family":"Kelly","given":"Joanna"},{"family":"Murphy","given":"Caroline"},{"family":"Peacock","given":"Janet"},{"family":"Dorling","given":"Anthony"}],"issued":{"date-parts":[["2023",2]]}}},{"id":19039,"uris":["http://zotero.org/users/3444308/items/2V33K3G7"],"itemData":{"id":19039,"type":"article-journal","abstract":"Understanding rates and determinants of clinical pathologic progression for recipients with de novo donor-specific antibody (dnDSA), especially subclinical dnDSA, may identify surrogate endpoints and inform clinical trial design. A consecutive cohort of 508 renal transplant recipients (n</w:instrText>
      </w:r>
      <w:r w:rsidR="006528EA">
        <w:rPr>
          <w:rFonts w:ascii="Arial" w:hAnsi="Arial" w:cs="Arial"/>
        </w:rPr>
        <w:instrText> </w:instrText>
      </w:r>
      <w:r w:rsidR="006528EA">
        <w:instrText>=</w:instrText>
      </w:r>
      <w:r w:rsidR="006528EA">
        <w:rPr>
          <w:rFonts w:ascii="Arial" w:hAnsi="Arial" w:cs="Arial"/>
        </w:rPr>
        <w:instrText> </w:instrText>
      </w:r>
      <w:r w:rsidR="006528EA">
        <w:instrText>64 with dnDSA) was studied. Recipients (n</w:instrText>
      </w:r>
      <w:r w:rsidR="006528EA">
        <w:rPr>
          <w:rFonts w:ascii="Arial" w:hAnsi="Arial" w:cs="Arial"/>
        </w:rPr>
        <w:instrText> </w:instrText>
      </w:r>
      <w:r w:rsidR="006528EA">
        <w:instrText>=</w:instrText>
      </w:r>
      <w:r w:rsidR="006528EA">
        <w:rPr>
          <w:rFonts w:ascii="Arial" w:hAnsi="Arial" w:cs="Arial"/>
        </w:rPr>
        <w:instrText> </w:instrText>
      </w:r>
      <w:r w:rsidR="006528EA">
        <w:instrText>388) without dnDSA or dysfunction had an eGFR decline of -0.65</w:instrText>
      </w:r>
      <w:r w:rsidR="006528EA">
        <w:rPr>
          <w:rFonts w:ascii="Arial" w:hAnsi="Arial" w:cs="Arial"/>
        </w:rPr>
        <w:instrText> </w:instrText>
      </w:r>
      <w:r w:rsidR="006528EA">
        <w:instrText>mL/min/1.73</w:instrText>
      </w:r>
      <w:r w:rsidR="006528EA">
        <w:rPr>
          <w:rFonts w:ascii="Arial" w:hAnsi="Arial" w:cs="Arial"/>
        </w:rPr>
        <w:instrText> </w:instrText>
      </w:r>
      <w:r w:rsidR="006528EA">
        <w:instrText>m(2) /year. In recipients with dnDSA, the rate eGFR decline was significantly increased prior to dnDSA onset (-2.89 vs. -0.65</w:instrText>
      </w:r>
      <w:r w:rsidR="006528EA">
        <w:rPr>
          <w:rFonts w:ascii="Arial" w:hAnsi="Arial" w:cs="Arial"/>
        </w:rPr>
        <w:instrText> </w:instrText>
      </w:r>
      <w:r w:rsidR="006528EA">
        <w:instrText>mL/min/1.73</w:instrText>
      </w:r>
      <w:r w:rsidR="006528EA">
        <w:rPr>
          <w:rFonts w:ascii="Arial" w:hAnsi="Arial" w:cs="Arial"/>
        </w:rPr>
        <w:instrText> </w:instrText>
      </w:r>
      <w:r w:rsidR="006528EA">
        <w:instrText>m(2) /year, p</w:instrText>
      </w:r>
      <w:r w:rsidR="006528EA">
        <w:rPr>
          <w:rFonts w:ascii="Arial" w:hAnsi="Arial" w:cs="Arial"/>
        </w:rPr>
        <w:instrText> </w:instrText>
      </w:r>
      <w:r w:rsidR="006528EA">
        <w:instrText>&lt;</w:instrText>
      </w:r>
      <w:r w:rsidR="006528EA">
        <w:rPr>
          <w:rFonts w:ascii="Arial" w:hAnsi="Arial" w:cs="Arial"/>
        </w:rPr>
        <w:instrText> </w:instrText>
      </w:r>
      <w:r w:rsidR="006528EA">
        <w:instrText>0.0001) and accelerated post-dnDSA (-3.63 vs. -2.89</w:instrText>
      </w:r>
      <w:r w:rsidR="006528EA">
        <w:rPr>
          <w:rFonts w:ascii="Arial" w:hAnsi="Arial" w:cs="Arial"/>
        </w:rPr>
        <w:instrText> </w:instrText>
      </w:r>
      <w:r w:rsidR="006528EA">
        <w:instrText>mL/min/1.73</w:instrText>
      </w:r>
      <w:r w:rsidR="006528EA">
        <w:rPr>
          <w:rFonts w:ascii="Arial" w:hAnsi="Arial" w:cs="Arial"/>
        </w:rPr>
        <w:instrText> </w:instrText>
      </w:r>
      <w:r w:rsidR="006528EA">
        <w:instrText>m(2) /year, p</w:instrText>
      </w:r>
      <w:r w:rsidR="006528EA">
        <w:rPr>
          <w:rFonts w:ascii="Arial" w:hAnsi="Arial" w:cs="Arial"/>
        </w:rPr>
        <w:instrText> </w:instrText>
      </w:r>
      <w:r w:rsidR="006528EA">
        <w:instrText>&lt;</w:instrText>
      </w:r>
      <w:r w:rsidR="006528EA">
        <w:rPr>
          <w:rFonts w:ascii="Arial" w:hAnsi="Arial" w:cs="Arial"/>
        </w:rPr>
        <w:instrText> </w:instrText>
      </w:r>
      <w:r w:rsidR="006528EA">
        <w:instrText>0.0001), suggesting that dnDSA is both a marker and contributor to ongoing alloimmunity. Time to 50% post-dnDSA graft loss was longer in recipients with subclinical versus a clinical dnDSA phenotype (8.3 vs. 3.3 years, p</w:instrText>
      </w:r>
      <w:r w:rsidR="006528EA">
        <w:rPr>
          <w:rFonts w:ascii="Arial" w:hAnsi="Arial" w:cs="Arial"/>
        </w:rPr>
        <w:instrText> </w:instrText>
      </w:r>
      <w:r w:rsidR="006528EA">
        <w:instrText>&lt;</w:instrText>
      </w:r>
      <w:r w:rsidR="006528EA">
        <w:rPr>
          <w:rFonts w:ascii="Arial" w:hAnsi="Arial" w:cs="Arial"/>
        </w:rPr>
        <w:instrText> </w:instrText>
      </w:r>
      <w:r w:rsidR="006528EA">
        <w:instrText xml:space="preserve">0.0001). Analysis of 1091 allograft biopsies found that dnDSA and time independently predicted chronic glomerulopathy (cg), but not interstitial fibrosis and tubular atrophy (IFTA). Early T cell-mediated rejection, nonadherence, and time were multivariate predictors of IFTA. Independent risk factors for post-dnDSA graft survival available prior to, or at the time of, dnDSA detection were delayed graft function, nonadherence, dnDSA mean fluorescence intensity sum score, tubulitis, and cg. Ultimately, dnDSA is part of a continuum of mixed alloimmune-mediated injury, which requires solutions targeting T and B cells.","container-title":"American Journal of Transplantation: Official Journal of the American Society of Transplantation and the American Society of Transplant Surgeons","DOI":"10.1111/ajt.13347","ISSN":"1600-6143","issue":"11","journalAbbreviation":"Am J Transplant","language":"eng","note":"PMID: 26096305","page":"2921-2930","source":"PubMed","title":"Rates and determinants of progression to graft failure in kidney allograft recipients with de novo donor-specific antibody","volume":"15","author":[{"family":"Wiebe","given":"C."},{"family":"Gibson","given":"I. W."},{"family":"Blydt-Hansen","given":"T. D."},{"family":"Pochinco","given":"D."},{"family":"Birk","given":"P. E."},{"family":"Ho","given":"J."},{"family":"Karpinski","given":"M."},{"family":"Goldberg","given":"A."},{"family":"Storsley","given":"L."},{"family":"Rush","given":"D. N."},{"family":"Nickerson","given":"P. W."}],"issued":{"date-parts":[["2015",11]]}}}],"schema":"https://github.com/citation-style-language/schema/raw/master/csl-citation.json"} </w:instrText>
      </w:r>
      <w:r>
        <w:fldChar w:fldCharType="separate"/>
      </w:r>
      <w:r w:rsidR="002119AF" w:rsidRPr="002119AF">
        <w:rPr>
          <w:rFonts w:ascii="Calibri" w:hAnsi="Calibri" w:cs="Calibri"/>
          <w:vertAlign w:val="superscript"/>
        </w:rPr>
        <w:t>124,125</w:t>
      </w:r>
      <w:r>
        <w:fldChar w:fldCharType="end"/>
      </w:r>
      <w:r w:rsidRPr="00524CA4">
        <w:t xml:space="preserve">. Higher HLA mismatches are also linked with </w:t>
      </w:r>
      <w:r>
        <w:t xml:space="preserve">a </w:t>
      </w:r>
      <w:r w:rsidRPr="00524CA4">
        <w:t>higher risk of graft loss</w:t>
      </w:r>
      <w:r>
        <w:t xml:space="preserve"> </w:t>
      </w:r>
      <w:r>
        <w:fldChar w:fldCharType="begin"/>
      </w:r>
      <w:r w:rsidR="006528EA">
        <w:instrText xml:space="preserve"> ADDIN ZOTERO_ITEM CSL_CITATION {"citationID":"eAlC0tqY","properties":{"formattedCitation":"\\super 126\\nosupersub{}","plainCitation":"126","noteIndex":0},"citationItems":[{"id":19038,"uris":["http://zotero.org/users/3444308/items/VI8AMGTN"],"itemData":{"id":19038,"type":"article-journal","abstract":"Human leukocyte antigen (HLA) mismatches have been shown to adversely affect renal allograft outcomes and remain an important component of the allocation of deceased donor (DD) kidneys. The ongoing importance of HLA mismatches on transplant outcomes in the era of more potent immunosuppression remains debatable. Using Australia and New Zealand Dialysis and Transplant Registry, live and DD renal transplant recipients between 1998 and 2009 were examined. The association between the number of HLA mismatches and HLA-loci mismatches and outcomes were examined. Of the 8036 renal transplant recipients, 59% had between 2 and 4 HLA mismatches. Compared with 0 HLA mismatch, increasing HLA mismatches were associated with a higher risk of graft failure and patient death in the adjusted models. HLA mismatches were associated with an incremental risk of rejection although the relative risk was higher for live donor kidney transplants. Increasing HLA-AB and HLA-DR mismatches were associated with a greater risk of acute rejection, graft failure, death-censored graft failure, and/or death. There was no consistent association between initial immunosuppressive regimen and outcomes. Our results corroborate and extend the previous registry analyses demonstrating that HLA mismatches are associated with poorer transplant outcomes independent of immunosuppression and transplant era.","container-title":"Clinical Transplantation","DOI":"10.1111/j.1399-0012.2012.01654.x","ISSN":"1399-0012","issue":"4","journalAbbreviation":"Clin Transplant","language":"eng","note":"PMID: 22672477","page":"E428-437","source":"PubMed","title":"Human leukocyte antigen mismatches associated with increased risk of rejection, graft failure, and death independent of initial immunosuppression in renal transplant recipients","volume":"26","author":[{"family":"Lim","given":"Wai H."},{"family":"Chadban","given":"Steve J."},{"family":"Clayton","given":"Philip"},{"family":"Budgeon","given":"Charley A."},{"family":"Murray","given":"Kevin"},{"family":"Campbell","given":"Scott B."},{"family":"Cohney","given":"Solomon"},{"family":"Russ","given":"Graeme R."},{"family":"McDonald","given":"Stephen P."}],"issued":{"date-parts":[["2012"]]}}}],"schema":"https://github.com/citation-style-language/schema/raw/master/csl-citation.json"} </w:instrText>
      </w:r>
      <w:r>
        <w:fldChar w:fldCharType="separate"/>
      </w:r>
      <w:r w:rsidR="002119AF" w:rsidRPr="002119AF">
        <w:rPr>
          <w:rFonts w:ascii="Calibri" w:hAnsi="Calibri" w:cs="Calibri"/>
          <w:vertAlign w:val="superscript"/>
        </w:rPr>
        <w:t>126</w:t>
      </w:r>
      <w:r>
        <w:fldChar w:fldCharType="end"/>
      </w:r>
      <w:r w:rsidRPr="00524CA4">
        <w:t xml:space="preserve">. The </w:t>
      </w:r>
      <w:proofErr w:type="spellStart"/>
      <w:r w:rsidRPr="00524CA4">
        <w:t>DeKAF</w:t>
      </w:r>
      <w:proofErr w:type="spellEnd"/>
      <w:r w:rsidRPr="00524CA4">
        <w:t xml:space="preserve"> study identified inflammation in areas of tubular atrophy on indication biopsies</w:t>
      </w:r>
      <w:r>
        <w:t xml:space="preserve"> and DSA+ C4D+ biopsies</w:t>
      </w:r>
      <w:r w:rsidRPr="00524CA4">
        <w:t xml:space="preserve"> to be associated with higher death-censored graft loss</w:t>
      </w:r>
      <w:r>
        <w:t xml:space="preserve"> </w:t>
      </w:r>
      <w:r>
        <w:fldChar w:fldCharType="begin"/>
      </w:r>
      <w:r w:rsidR="006528EA">
        <w:instrText xml:space="preserve"> ADDIN ZOTERO_ITEM CSL_CITATION {"citationID":"DEYn2TWX","properties":{"formattedCitation":"\\super 127\\nosupersub{}","plainCitation":"127","noteIndex":0},"citationItems":[{"id":19037,"uris":["http://zotero.org/users/3444308/items/GJ8I3FXF"],"itemData":{"id":19037,"type":"article-journal","abstract":"The DeKAF study was developed to better understand the causes of late allograft loss. Preliminary findings from the DeKAF cross-sectional cohort (with follow-up &lt; 20 months) have been published. Herein, we present long-term outcomes in those recipients (mean follow-up ± SD, 6.6 ± 0.7 years). Eligibility included being transplanted prior to October 1, 2005; serum creatinine ≤ 2.0 mg/dL on January 1, 2006; and subsequently developing new-onset graft dysfunction leading to a biopsy. Mean time from transplant to biopsy was 7.5 ± 6.1 years. Histologic findings and DSA were studied in relation to postbiopsy outcomes. Long-term follow-up confirms and expands the preliminary results of each of 3 studies: (1) increasing inflammation in area of atrophy (irrespective of inflammation in nonscarred areas [Banff i]) was associated with increasingly worse postbiopsy death-censored graft survival; (2) hierarchical analysis based on Banff scores defined clusters (entities) that differed in long-term death-censored graft survival; and (3) C4d-/DSA- recipients had significantly better (and C4d+/DSA+ worse) death-censored graft survival than other groups. C4d+/DSA- and C4d-/DSA+ had similar intermediate death-censored graft survival. Clinical and histologic findings at the time of new-onset graft dysfunction define high- vs low-risk groups for long-term death-censored graft survival, even years posttransplant. These findings can help differentiate groups for potential intervention studies.","container-title":"American Journal of Transplantation: Official Journal of the American Society of Transplantation and the American Society of Transplant Surgeons","DOI":"10.1111/ajt.15204","ISSN":"1600-6143","issue":"5","journalAbbreviation":"Am J Transplant","language":"eng","note":"PMID: 30506642\nPMCID: PMC7653899","page":"1432-1443","source":"PubMed","title":"Long-term follow-up of the DeKAF cross-sectional cohort study","volume":"19","author":[{"family":"Matas","given":"Arthur J."},{"family":"Fieberg","given":"Ann"},{"family":"Mannon","given":"Roslyn B."},{"family":"Leduc","given":"Robert"},{"family":"Grande","given":"Joe"},{"family":"Kasiske","given":"Bertram L."},{"family":"Cecka","given":"Michael"},{"family":"Gaston","given":"Robert"},{"family":"Hunsicker","given":"Lawrence"},{"family":"Connett","given":"John"},{"family":"Cosio","given":"Fernando"},{"family":"Gourishankar","given":"Sita"},{"family":"Rush","given":"David"}],"issued":{"date-parts":[["2019",5]]}}}],"schema":"https://github.com/citation-style-language/schema/raw/master/csl-citation.json"} </w:instrText>
      </w:r>
      <w:r>
        <w:fldChar w:fldCharType="separate"/>
      </w:r>
      <w:r w:rsidR="002119AF" w:rsidRPr="002119AF">
        <w:rPr>
          <w:rFonts w:ascii="Calibri" w:hAnsi="Calibri" w:cs="Calibri"/>
          <w:vertAlign w:val="superscript"/>
        </w:rPr>
        <w:t>127</w:t>
      </w:r>
      <w:r>
        <w:fldChar w:fldCharType="end"/>
      </w:r>
      <w:r w:rsidRPr="00524CA4">
        <w:t xml:space="preserve">. </w:t>
      </w:r>
    </w:p>
    <w:p w14:paraId="019FEB5E" w14:textId="7012EFF7" w:rsidR="00ED6CD4" w:rsidRPr="00524CA4" w:rsidRDefault="00ED6CD4" w:rsidP="0018491F">
      <w:pPr>
        <w:jc w:val="both"/>
      </w:pPr>
      <w:r w:rsidRPr="00524CA4">
        <w:t>The recently published integrated risk prediction score (</w:t>
      </w:r>
      <w:proofErr w:type="spellStart"/>
      <w:r w:rsidRPr="00524CA4">
        <w:t>iBox</w:t>
      </w:r>
      <w:proofErr w:type="spellEnd"/>
      <w:r w:rsidRPr="00524CA4">
        <w:t xml:space="preserve">) uses </w:t>
      </w:r>
      <w:r>
        <w:t>eight</w:t>
      </w:r>
      <w:r w:rsidRPr="00524CA4">
        <w:t xml:space="preserve"> prognostic factors (functional, histological, and immunological) to predict graft failure</w:t>
      </w:r>
      <w:r>
        <w:t xml:space="preserve"> </w:t>
      </w:r>
      <w:r>
        <w:fldChar w:fldCharType="begin"/>
      </w:r>
      <w:r w:rsidR="006528EA">
        <w:instrText xml:space="preserve"> ADDIN ZOTERO_ITEM CSL_CITATION {"citationID":"5CP3p6nq","properties":{"formattedCitation":"\\super 128\\nosupersub{}","plainCitation":"128","noteIndex":0},"citationItems":[{"id":19036,"uris":["http://zotero.org/users/3444308/items/KIABYGC2"],"itemData":{"id":19036,"type":"article-journal","abstract":"OBJECTIVE: To develop and validate an integrative system to predict long term kidney allograft failure.\nDESIGN: International cohort study.\nSETTING: Three cohorts including kidney transplant recipients from 10 academic medical centres from Europe and the United States.\nPARTICIPANTS: Derivation cohort: 4000 consecutive kidney recipients prospectively recruited in four French centres between 2005 and 2014. Validation cohorts: 2129 kidney recipients from three centres in Europe and 1428 from three centres in North America, recruited between 2002 and 2014. Additional validation in three randomised controlled trials (NCT01079143, EudraCT 2007-003213-13, and NCT01873157).\nMAIN OUTCOME MEASURE: Allograft failure (return to dialysis or pre-emptive retransplantation). 32 candidate prognostic factors for kidney allograft survival were assessed.\nRESULTS: Among the 7557 kidney transplant recipients included, 1067 (14.1%) allografts failed after a median post-transplant follow-up time of 7.12 (interquartile range 3.51-8.77) years. In the derivation cohort, eight functional, histological, and immunological prognostic factors were independently associated with allograft failure and were then combined into a risk prediction score (iBox). This score showed accurate calibration and discrimination (C index 0.81, 95% confidence interval 0.79 to 0.83). The performance of the iBox was also confirmed in the validation cohorts from Europe (C index 0.81, 0.78 to 0.84) and the US (0.80, 0.76 to 0.84). The iBox system showed accuracy when assessed at different times of evaluation post-transplant, was validated in different clinical scenarios including type of immunosuppressive regimen used and response to rejection therapy, and outperformed previous risk prediction scores as well as a risk score based solely on functional parameters including estimated glomerular filtration rate and proteinuria. Finally, the accuracy of the iBox risk score in predicting long term allograft loss was confirmed in the three randomised controlled trials.\nCONCLUSION: An integrative, accurate, and readily implementable risk prediction score for kidney allograft failure has been developed, which shows generalisability across centres worldwide and common clinical scenarios. The iBox risk prediction score may help to guide monitoring of patients and further improve the design and development of a valid and early surrogate endpoint for clinical trials.\nTRIAL REGISTRATION: Clinicaltrials.gov NCT03474003.","container-title":"BMJ (Clinical research ed.)","DOI":"10.1136/bmj.l4923","ISSN":"1756-1833","journalAbbreviation":"BMJ","language":"eng","note":"PMID: 31530561\nPMCID: PMC6746192","page":"l4923","source":"PubMed","title":"Prediction system for risk of allograft loss in patients receiving kidney transplants: international derivation and validation study","title-short":"Prediction system for risk of allograft loss in patients receiving kidney transplants","volume":"366","author":[{"family":"Loupy","given":"Alexandre"},{"family":"Aubert","given":"Olivier"},{"family":"Orandi","given":"Babak J."},{"family":"Naesens","given":"Maarten"},{"family":"Bouatou","given":"Yassine"},{"family":"Raynaud","given":"Marc"},{"family":"Divard","given":"Gillian"},{"family":"Jackson","given":"Annette M."},{"family":"Viglietti","given":"Denis"},{"family":"Giral","given":"Magali"},{"family":"Kamar","given":"Nassim"},{"family":"Thaunat","given":"Olivier"},{"family":"Morelon","given":"Emmanuel"},{"family":"Delahousse","given":"Michel"},{"family":"Kuypers","given":"Dirk"},{"family":"Hertig","given":"Alexandre"},{"family":"Rondeau","given":"Eric"},{"family":"Bailly","given":"Elodie"},{"family":"Eskandary","given":"Farsad"},{"family":"Böhmig","given":"Georg"},{"family":"Gupta","given":"Gaurav"},{"family":"Glotz","given":"Denis"},{"family":"Legendre","given":"Christophe"},{"family":"Montgomery","given":"Robert A."},{"family":"Stegall","given":"Mark D."},{"family":"Empana","given":"Jean-Philippe"},{"family":"Jouven","given":"Xavier"},{"family":"Segev","given":"Dorry L."},{"family":"Lefaucheur","given":"Carmen"}],"issued":{"date-parts":[["2019",9,17]]}}}],"schema":"https://github.com/citation-style-language/schema/raw/master/csl-citation.json"} </w:instrText>
      </w:r>
      <w:r>
        <w:fldChar w:fldCharType="separate"/>
      </w:r>
      <w:r w:rsidR="002119AF" w:rsidRPr="002119AF">
        <w:rPr>
          <w:rFonts w:ascii="Calibri" w:hAnsi="Calibri" w:cs="Calibri"/>
          <w:vertAlign w:val="superscript"/>
        </w:rPr>
        <w:t>128</w:t>
      </w:r>
      <w:r>
        <w:fldChar w:fldCharType="end"/>
      </w:r>
      <w:r w:rsidRPr="00524CA4">
        <w:t>. Such prediction tools may provide an opportunity to stratify patients into clinically meaningful risk groups and help guide surveillance. This may lead to early identification of graft injury and prompt intervention. These tools can also be particularly useful as surrogate endpoints of graft failure</w:t>
      </w:r>
      <w:r>
        <w:t>. They can</w:t>
      </w:r>
      <w:r w:rsidRPr="00524CA4">
        <w:t xml:space="preserve"> be used to objectively measure the effect of medical interventions in daily practice </w:t>
      </w:r>
      <w:r>
        <w:t>and</w:t>
      </w:r>
      <w:r w:rsidRPr="00524CA4">
        <w:t xml:space="preserve"> clinical trials. However, they are not yet universally available for clinical practice in most countries and trusts. </w:t>
      </w:r>
    </w:p>
    <w:p w14:paraId="277730A3" w14:textId="4934A33D" w:rsidR="00ED6CD4" w:rsidRPr="00EF7E7C" w:rsidRDefault="00EF7E7C" w:rsidP="0018491F">
      <w:pPr>
        <w:pStyle w:val="GuidelineHeadings"/>
        <w:jc w:val="both"/>
      </w:pPr>
      <w:r>
        <w:t xml:space="preserve">Guideline 4.3 </w:t>
      </w:r>
      <w:r w:rsidR="00932D5D">
        <w:t>–</w:t>
      </w:r>
      <w:r>
        <w:t xml:space="preserve"> </w:t>
      </w:r>
      <w:r w:rsidR="00ED6CD4" w:rsidRPr="00EF7E7C">
        <w:t>Investigation of CAI</w:t>
      </w:r>
    </w:p>
    <w:p w14:paraId="0639B238" w14:textId="2314443B" w:rsidR="00ED6CD4" w:rsidRPr="00EF7E7C" w:rsidRDefault="00ED6CD4" w:rsidP="0018491F">
      <w:pPr>
        <w:jc w:val="both"/>
        <w:rPr>
          <w:color w:val="000000"/>
        </w:rPr>
      </w:pPr>
      <w:r w:rsidRPr="00EF7E7C">
        <w:rPr>
          <w:color w:val="000000"/>
        </w:rPr>
        <w:t>Elevations in</w:t>
      </w:r>
      <w:r w:rsidRPr="00EF7E7C">
        <w:t xml:space="preserve"> creatinine and detection of proteinuria are the main biomarkers used in clinical practice that indicate graft dysfunction. However, they are non-specific. As a result, a kidney biopsy should be performed when there is an unexplained rise in creatinine and/or proteinuria to identify the underlying aetiology and any reversible causes </w:t>
      </w:r>
      <w:r w:rsidRPr="00EF7E7C">
        <w:fldChar w:fldCharType="begin"/>
      </w:r>
      <w:r w:rsidR="006528EA">
        <w:instrText xml:space="preserve"> ADDIN ZOTERO_ITEM CSL_CITATION {"citationID":"NMmOVcHq","properties":{"formattedCitation":"\\super 99\\nosupersub{}","plainCitation":"99","noteIndex":0},"citationItems":[{"id":19067,"uris":["http://zotero.org/users/3444308/items/INTNM73U"],"itemData":{"id":19067,"type":"article-journal","abstract":"With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sidRPr="00EF7E7C">
        <w:fldChar w:fldCharType="separate"/>
      </w:r>
      <w:r w:rsidR="00A04B9C" w:rsidRPr="00EF7E7C">
        <w:rPr>
          <w:rFonts w:cs="Calibri"/>
          <w:vertAlign w:val="superscript"/>
        </w:rPr>
        <w:t>99</w:t>
      </w:r>
      <w:r w:rsidRPr="00EF7E7C">
        <w:fldChar w:fldCharType="end"/>
      </w:r>
      <w:r w:rsidRPr="00EF7E7C">
        <w:t xml:space="preserve">. Kidney allograft biopsies should be interpreted in line with the </w:t>
      </w:r>
      <w:r w:rsidR="00F57FD7">
        <w:t xml:space="preserve">latest </w:t>
      </w:r>
      <w:r w:rsidRPr="00EF7E7C">
        <w:t>Banff criteria</w:t>
      </w:r>
      <w:r w:rsidR="00F57FD7">
        <w:t xml:space="preserve"> (currently the 2022 update)</w:t>
      </w:r>
      <w:r w:rsidRPr="00EF7E7C">
        <w:t xml:space="preserve">, and staining for C4d is an important contributor towards a histological diagnosis of antibody-mediated rejection (ABMR) </w:t>
      </w:r>
      <w:r w:rsidRPr="00EF7E7C">
        <w:fldChar w:fldCharType="begin"/>
      </w:r>
      <w:r w:rsidR="006528EA">
        <w:instrText xml:space="preserve"> ADDIN ZOTERO_ITEM CSL_CITATION {"citationID":"Z0l0TZ6J","properties":{"formattedCitation":"\\super 68\\nosupersub{}","plainCitation":"68","noteIndex":0},"citationItems":[{"id":18902,"uris":["http://zotero.org/users/3444308/items/S82X5GDH"],"itemData":{"id":18902,"type":"article-journal","abstract":"The XV. Banff conference for allograft pathology was held in conjunction with the annual meeting of the American Society for Histocompatibility and Immunogenetics in Pittsburgh, PA (USA) and focused on refining recent updates to the classification, advances from the Banff working groups, and standardization of molecular diagnostics. This report on kidney transplant pathology details clarifications and refinements to the criteria for chronic active (CA) T cell-mediated rejection (TCMR), borderline, and antibody-mediated rejection (ABMR). The main focus of kidney sessions was on how to address biopsies meeting criteria for CA TCMR plus borderline or acute TCMR. Recent studies on the clinical impact of borderline infiltrates were also presented to clarify whether the threshold for interstitial inflammation in diagnosis of borderline should be i0 or i1. Sessions on ABMR focused on biopsies showing microvascular inflammation in the absence of C4d staining or detectable donor-specific antibodies; the potential value of molecular diagnostics in such cases and recommendations for use of the latter in the setting of solid organ transplantation are presented in the accompanying meeting report. Finally, several speakers discussed the capabilities of artificial intelligence and the potential for use of machine learning algorithms in diagnosis and personalized therapeutics in solid organ transplantation.","container-title":"American Journal of Transplantation: Official Journal of the American Society of Transplantation and the American Society of Transplant Surgeons","DOI":"10.1111/ajt.15898","ISSN":"1600-6143","issue":"9","journalAbbreviation":"Am J Transplant","language":"eng","note":"PMID: 32463180\nPMCID: PMC7496245","page":"2318-2331","source":"PubMed","title":"The Banff 2019 Kidney Meeting Report (I): Updates on and clarification of criteria for T cell- and antibody-mediated rejection","title-short":"The Banff 2019 Kidney Meeting Report (I)","volume":"20","author":[{"family":"Loupy","given":"Alexandre"},{"family":"Haas","given":"Mark"},{"family":"Roufosse","given":"Candice"},{"family":"Naesens","given":"Maarten"},{"family":"Adam","given":"Benjamin"},{"family":"Afrouzian","given":"Marjan"},{"family":"Akalin","given":"Enver"},{"family":"Alachkar","given":"Nada"},{"family":"Bagnasco","given":"Serena"},{"family":"Becker","given":"Jan U."},{"family":"Cornell","given":"Lynn D."},{"family":"Clahsen-van Groningen","given":"Marian C."},{"family":"Demetris","given":"Anthony J."},{"family":"Dragun","given":"Duska"},{"family":"Duong van Huyen","given":"Jean-Paul"},{"family":"Farris","given":"Alton B."},{"family":"Fogo","given":"Agnes B."},{"family":"Gibson","given":"Ian W."},{"family":"Glotz","given":"Denis"},{"family":"Gueguen","given":"Juliette"},{"family":"Kikic","given":"Zeljko"},{"family":"Kozakowski","given":"Nicolas"},{"family":"Kraus","given":"Edward"},{"family":"Lefaucheur","given":"Carmen"},{"family":"Liapis","given":"Helen"},{"family":"Mannon","given":"Roslyn B."},{"family":"Montgomery","given":"Robert A."},{"family":"Nankivell","given":"Brian J."},{"family":"Nickeleit","given":"Volker"},{"family":"Nickerson","given":"Peter"},{"family":"Rabant","given":"Marion"},{"family":"Racusen","given":"Lorraine"},{"family":"Randhawa","given":"Parmjeet"},{"family":"Robin","given":"Blaise"},{"family":"Rosales","given":"Ivy A."},{"family":"Sapir-Pichhadze","given":"Ruth"},{"family":"Schinstock","given":"Carrie A."},{"family":"Seron","given":"Daniel"},{"family":"Singh","given":"Harsharan K."},{"family":"Smith","given":"Rex N."},{"family":"Stegall","given":"Mark D."},{"family":"Zeevi","given":"Adriana"},{"family":"Solez","given":"Kim"},{"family":"Colvin","given":"Robert B."},{"family":"Mengel","given":"Michael"}],"issued":{"date-parts":[["2020",9]]}}}],"schema":"https://github.com/citation-style-language/schema/raw/master/csl-citation.json"} </w:instrText>
      </w:r>
      <w:r w:rsidRPr="00EF7E7C">
        <w:fldChar w:fldCharType="separate"/>
      </w:r>
      <w:r w:rsidR="00A04B9C" w:rsidRPr="00EF7E7C">
        <w:rPr>
          <w:rFonts w:cs="Calibri"/>
          <w:vertAlign w:val="superscript"/>
        </w:rPr>
        <w:t>68</w:t>
      </w:r>
      <w:r w:rsidRPr="00EF7E7C">
        <w:fldChar w:fldCharType="end"/>
      </w:r>
      <w:r w:rsidRPr="00EF7E7C">
        <w:t>.</w:t>
      </w:r>
      <w:r w:rsidRPr="00EF7E7C">
        <w:rPr>
          <w:color w:val="000000"/>
        </w:rPr>
        <w:t xml:space="preserve"> Staining with SV40 is helpful towards the diagnosis of BK viral nephropathy and is </w:t>
      </w:r>
      <w:r w:rsidRPr="00EF7E7C">
        <w:rPr>
          <w:color w:val="000000"/>
        </w:rPr>
        <w:lastRenderedPageBreak/>
        <w:t xml:space="preserve">routinely done in clinical practice. However, the universal staining with SV40 may not be necessarily cost-effective, particularly in resource-limited scenarios </w:t>
      </w:r>
      <w:r w:rsidRPr="00EF7E7C">
        <w:rPr>
          <w:color w:val="000000"/>
        </w:rPr>
        <w:fldChar w:fldCharType="begin"/>
      </w:r>
      <w:r w:rsidR="006528EA">
        <w:rPr>
          <w:color w:val="000000"/>
        </w:rPr>
        <w:instrText xml:space="preserve"> ADDIN ZOTERO_ITEM CSL_CITATION {"citationID":"hZSTq5Oq","properties":{"formattedCitation":"\\super 129,130\\nosupersub{}","plainCitation":"129,130","noteIndex":0},"citationItems":[{"id":19034,"uris":["http://zotero.org/users/3444308/items/KX9HZFDD"],"itemData":{"id":19034,"type":"article-journal","abstract":"The present AST-IDCOP guidelines update information on BK polyomavirus (BKPyV) infection, replication, and disease, which impact kidney transplantation (KT), but rarely non-kidney solid organ transplantation (SOT). As pretransplant risk factors in KT donors and recipients presently do not translate into clinically validated measures regarding organ allocation, antiviral prophylaxis, or screening, all KT recipients should be screened for BKPyV-DNAemia monthly until month 9, and then every 3 months until 2 years posttransplant. Extended screening after 2 years may be considered in pediatric KT. Stepwise immunosuppression reduction is recommended for KT patients with plasma BKPyV-DNAemia of &gt;1000 copies/mL sustained for 3 weeks or increasing to &gt;10 000 copies/mL reflecting probable and presumptive BKPyV-associated nephropathy, respectively. Reducing immunosuppression is also the primary intervention for biopsy-proven BKPyV-associated nephropathy. Hence, allograft biopsy is not required for treating BKPyV-DNAemic patients with baseline renal function. Despite virological rationales, proper randomized clinical trials are lacking to generally recommend treatment by switching from tacrolimus to cyclosporine-A, from mycophenolate to mTOR inhibitors or leflunomide or by the adjunct use of intravenous immunoglobulins, leflunomide, or cidofovir. Fluoroquinolones are not recommended for prophylaxis or therapy. Retransplantation after allograft loss due to BKPyV nephropathy can be successful if BKPyV-DNAemia is definitively cleared, independent of failed allograft nephrectomy.","container-title":"Clinical Transplantation","DOI":"10.1111/ctr.13528","ISSN":"1399-0012","issue":"9","journalAbbreviation":"Clin Transplant","language":"eng","note":"PMID: 30859620","page":"e13528","source":"PubMed","title":"BK polyomavirus in solid organ transplantation-Guidelines from the American Society of Transplantation Infectious Diseases Community of Practice","volume":"33","author":[{"family":"Hirsch","given":"Hans H."},{"family":"Randhawa","given":"Parmjeet S."},{"literal":"AST Infectious Diseases Community of Practice"}],"issued":{"date-parts":[["2019",9]]}}},{"id":19035,"uris":["http://zotero.org/users/3444308/items/VU9BDR3Q"],"itemData":{"id":19035,"type":"article-journal","abstract":"OBJECTIVES: To determine the utility of immunohistochemistry (IHC) for the diagnosis of viral infections in surgical pathology specimens lacking characteristic viral cytopathic effects.\nMETHODS: Five years of cases at an academic medical center were reviewed for the use of IHC to detect cytomegalovirus (CMV), herpes simplex virus 1 and 2 (HSV-1 and HSV-2), varicella zoster virus (VZV), adenovirus, or polyomavirus (ie, BK or JC).\nRESULTS: In total, 1,636 viral IHC stains were ordered on 1,099 specimens from 957 cases. Altogether, 134 (8.2%) stains were positive, including 59 (7.9%) of 749 for CMV, 34 (8.9%) of 384 for HSV-1 and HSV-2, 16 (11.5%) of 139 for VZV, three (1.4%) of 210 for adenovirus, and 22 (14.3%) of 154 for polyomavirus. In 101 (75.4%) of 134 cases, viral cytopathic effect (VCPE) was readily identifiable on H&amp;E slides. No significant changes in clinical care occurred in any of the cases without definitive VCPE that had positive staining cells on IHC.\nCONCLUSIONS: These findings suggest that IHC for viral infections without a high degree of clinical or histologic suspicion is unnecessary in most cases.","container-title":"American Journal of Clinical Pathology","DOI":"10.1093/ajcp/aqw198","ISSN":"1943-7722","issue":"1","journalAbbreviation":"Am J Clin Pathol","language":"eng","note":"PMID: 28007703","page":"96-104","source":"PubMed","title":"Immunohistochemistry Is Rarely Justified for the Diagnosis of Viral Infections","volume":"147","author":[{"family":"Solomon","given":"Isaac H."},{"family":"Hornick","given":"Jason L."},{"family":"Laga","given":"Alvaro C."}],"issued":{"date-parts":[["2017",1,1]]}}}],"schema":"https://github.com/citation-style-language/schema/raw/master/csl-citation.json"} </w:instrText>
      </w:r>
      <w:r w:rsidRPr="00EF7E7C">
        <w:rPr>
          <w:color w:val="000000"/>
        </w:rPr>
        <w:fldChar w:fldCharType="separate"/>
      </w:r>
      <w:r w:rsidR="002119AF" w:rsidRPr="002119AF">
        <w:rPr>
          <w:rFonts w:ascii="Aptos" w:hAnsi="Aptos" w:cs="Times New Roman"/>
          <w:vertAlign w:val="superscript"/>
        </w:rPr>
        <w:t>129,130</w:t>
      </w:r>
      <w:r w:rsidRPr="00EF7E7C">
        <w:rPr>
          <w:color w:val="000000"/>
        </w:rPr>
        <w:fldChar w:fldCharType="end"/>
      </w:r>
      <w:r w:rsidRPr="00EF7E7C">
        <w:rPr>
          <w:color w:val="000000"/>
        </w:rPr>
        <w:t>.</w:t>
      </w:r>
    </w:p>
    <w:p w14:paraId="5C21B088" w14:textId="30AC1993" w:rsidR="00ED6CD4" w:rsidRPr="00EF7E7C" w:rsidRDefault="00ED6CD4" w:rsidP="0018491F">
      <w:pPr>
        <w:jc w:val="both"/>
        <w:rPr>
          <w:color w:val="000000"/>
        </w:rPr>
      </w:pPr>
      <w:r w:rsidRPr="00EF7E7C">
        <w:rPr>
          <w:color w:val="000000"/>
        </w:rPr>
        <w:t xml:space="preserve">The presence of donor-specific antibodies is also contributory to establishing a diagnosis of antibody-mediated rejection according to the Banff criteria, and therefore, it should be available at the time of biopsy. A BK viral load may guide management and indicate treatment response in the context of BK nephropathy </w:t>
      </w:r>
      <w:r w:rsidRPr="00EF7E7C">
        <w:rPr>
          <w:color w:val="000000"/>
        </w:rPr>
        <w:fldChar w:fldCharType="begin"/>
      </w:r>
      <w:r w:rsidR="006528EA">
        <w:rPr>
          <w:color w:val="000000"/>
        </w:rPr>
        <w:instrText xml:space="preserve"> ADDIN ZOTERO_ITEM CSL_CITATION {"citationID":"Zz40nybT","properties":{"formattedCitation":"\\super 129\\nosupersub{}","plainCitation":"129","noteIndex":0},"citationItems":[{"id":19034,"uris":["http://zotero.org/users/3444308/items/KX9HZFDD"],"itemData":{"id":19034,"type":"article-journal","abstract":"The present AST-IDCOP guidelines update information on BK polyomavirus (BKPyV) infection, replication, and disease, which impact kidney transplantation (KT), but rarely non-kidney solid organ transplantation (SOT). As pretransplant risk factors in KT donors and recipients presently do not translate into clinically validated measures regarding organ allocation, antiviral prophylaxis, or screening, all KT recipients should be screened for BKPyV-DNAemia monthly until month 9, and then every 3 months until 2 years posttransplant. Extended screening after 2 years may be considered in pediatric KT. Stepwise immunosuppression reduction is recommended for KT patients with plasma BKPyV-DNAemia of &gt;1000 copies/mL sustained for 3 weeks or increasing to &gt;10 000 copies/mL reflecting probable and presumptive BKPyV-associated nephropathy, respectively. Reducing immunosuppression is also the primary intervention for biopsy-proven BKPyV-associated nephropathy. Hence, allograft biopsy is not required for treating BKPyV-DNAemic patients with baseline renal function. Despite virological rationales, proper randomized clinical trials are lacking to generally recommend treatment by switching from tacrolimus to cyclosporine-A, from mycophenolate to mTOR inhibitors or leflunomide or by the adjunct use of intravenous immunoglobulins, leflunomide, or cidofovir. Fluoroquinolones are not recommended for prophylaxis or therapy. Retransplantation after allograft loss due to BKPyV nephropathy can be successful if BKPyV-DNAemia is definitively cleared, independent of failed allograft nephrectomy.","container-title":"Clinical Transplantation","DOI":"10.1111/ctr.13528","ISSN":"1399-0012","issue":"9","journalAbbreviation":"Clin Transplant","language":"eng","note":"PMID: 30859620","page":"e13528","source":"PubMed","title":"BK polyomavirus in solid organ transplantation-Guidelines from the American Society of Transplantation Infectious Diseases Community of Practice","volume":"33","author":[{"family":"Hirsch","given":"Hans H."},{"family":"Randhawa","given":"Parmjeet S."},{"literal":"AST Infectious Diseases Community of Practice"}],"issued":{"date-parts":[["2019",9]]}}}],"schema":"https://github.com/citation-style-language/schema/raw/master/csl-citation.json"} </w:instrText>
      </w:r>
      <w:r w:rsidRPr="00EF7E7C">
        <w:rPr>
          <w:color w:val="000000"/>
        </w:rPr>
        <w:fldChar w:fldCharType="separate"/>
      </w:r>
      <w:r w:rsidR="002119AF" w:rsidRPr="002119AF">
        <w:rPr>
          <w:rFonts w:ascii="Aptos" w:hAnsi="Aptos" w:cs="Times New Roman"/>
          <w:vertAlign w:val="superscript"/>
        </w:rPr>
        <w:t>129</w:t>
      </w:r>
      <w:r w:rsidRPr="00EF7E7C">
        <w:rPr>
          <w:color w:val="000000"/>
        </w:rPr>
        <w:fldChar w:fldCharType="end"/>
      </w:r>
      <w:r w:rsidRPr="00EF7E7C">
        <w:rPr>
          <w:color w:val="000000"/>
        </w:rPr>
        <w:t xml:space="preserve">. </w:t>
      </w:r>
      <w:r w:rsidRPr="00EF7E7C">
        <w:t xml:space="preserve">Serial CNI trough levels should also be analysed. This may act as a surrogate marker of non-adherence or may suggest CNI toxicity if levels are high and no other cause for graft dysfunction is identified. Intra-patient variability in tacrolimus levels has been associated with inferior graft outcomes </w:t>
      </w:r>
      <w:r w:rsidRPr="00EF7E7C">
        <w:fldChar w:fldCharType="begin"/>
      </w:r>
      <w:r w:rsidR="006528EA">
        <w:instrText xml:space="preserve"> ADDIN ZOTERO_ITEM CSL_CITATION {"citationID":"tjlBgnyX","properties":{"formattedCitation":"\\super 131\\nosupersub{}","plainCitation":"131","noteIndex":0},"citationItems":[{"id":19033,"uris":["http://zotero.org/users/3444308/items/YVFVSKTP"],"itemData":{"id":19033,"type":"article-journal","abstract":"Intra-patient variability (IPV) of tacrolimus trough level has been associated with poor outcome after kidney transplantation. These findings were derived from single-center analyses and restricted mainly to measurements early after transplantation. We analyzed in a multicenter effort whether high IPV of tacrolimus levels at posttransplant years 1, 2, and 3 was associated with impaired clinical outcome. More than 6600 patients who received a deceased donor kidney transplant during 2000-2014 and had a functioning graft for &gt;3 years were studied. Graft survival was significantly impaired with increasing IPV (P &lt; 0.001). As compared to patients with a low IPV of &lt;30%, the risk of graft loss during years 4-6 increased 32% in patients with an IPV of 30% to 44% and 66% in patients with an IPV of ≥45% (P = 0.002 and P &lt; 0.001). About one-third of patients showed an IPV of ≥30% with substantially impaired outcome. Even in patients with good outcome during the first 3 posttransplant years, a high IPV was associated with inferior graft survival. Our data indicate that a fluctuating tacrolimus trough level at years 1, 2, and 3 posttransplant is a major problem in kidney transplantation.","container-title":"American Journal of Transplantation: Official Journal of the American Society of Transplantation and the American Society of Transplant Surgeons","DOI":"10.1111/ajt.15346","ISSN":"1600-6143","issue":"10","journalAbbreviation":"Am J Transplant","language":"eng","note":"PMID: 30859672","page":"2805-2813","source":"PubMed","title":"Late intra-patient tacrolimus trough level variability as a major problem in kidney transplantation: A Collaborative Transplant Study Report","title-short":"Late intra-patient tacrolimus trough level variability as a major problem in kidney transplantation","volume":"19","author":[{"family":"Süsal","given":"Caner"},{"family":"Döhler","given":"Bernd"}],"issued":{"date-parts":[["2019",10]]}}}],"schema":"https://github.com/citation-style-language/schema/raw/master/csl-citation.json"} </w:instrText>
      </w:r>
      <w:r w:rsidRPr="00EF7E7C">
        <w:fldChar w:fldCharType="separate"/>
      </w:r>
      <w:r w:rsidR="002119AF" w:rsidRPr="002119AF">
        <w:rPr>
          <w:rFonts w:ascii="Aptos" w:hAnsi="Aptos" w:cs="Times New Roman"/>
          <w:vertAlign w:val="superscript"/>
        </w:rPr>
        <w:t>131</w:t>
      </w:r>
      <w:r w:rsidRPr="00EF7E7C">
        <w:fldChar w:fldCharType="end"/>
      </w:r>
      <w:r w:rsidRPr="00EF7E7C">
        <w:t>.</w:t>
      </w:r>
    </w:p>
    <w:p w14:paraId="137E28DA" w14:textId="0853E166" w:rsidR="00ED6CD4" w:rsidRPr="00EF7E7C" w:rsidRDefault="00ED6CD4" w:rsidP="0018491F">
      <w:pPr>
        <w:jc w:val="both"/>
      </w:pPr>
      <w:r w:rsidRPr="00EF7E7C">
        <w:t xml:space="preserve">Magnetic resonance imaging (MRI) has also been evaluated as a potential non-invasive modality to diagnose CAI and quantify IF. However, renal biopsy remains the gold standard to diagnose CAI and identify the underlying aetiology. There is currently insufficient evidence to recommend MRI in the diagnosis, surveillance and management of CAI in clinical practice </w:t>
      </w:r>
      <w:r w:rsidRPr="00EF7E7C">
        <w:fldChar w:fldCharType="begin"/>
      </w:r>
      <w:r w:rsidR="006528EA">
        <w:instrText xml:space="preserve"> ADDIN ZOTERO_ITEM CSL_CITATION {"citationID":"eTfTAVDI","properties":{"formattedCitation":"\\super 132,133\\nosupersub{}","plainCitation":"132,133","noteIndex":0},"citationItems":[{"id":19032,"uris":["http://zotero.org/users/3444308/items/5GE4AMXM"],"itemData":{"id":19032,"type":"article-journal","abstract":"Interstitial fibrosis (IF) is the common pathway of chronic kidney injury in various conditions. Magnetic resonance imaging (MRI) may be a promising tool for the noninvasive assessment of IF in renal allografts.\nMETHODS: This prospective trial was primarily designed to investigate whether the results of T1-weighted MRI associate with the degree of IF. Thirty-two kidney transplant recipients were subjected to 1.5-Tesla MRI scans shortly before or after routine allograft biopsies. MRI parameters [T1 and T2 relaxation times; apparent diffusion coefficient (ADC)] were assessed for cortical and medullary sections.\nRESULTS: Advanced IF (Banff ci score &gt;1) was associated with higher cortical T1 (but not T2) values [1451 (median; interquartile range: 1331-1506) versus 1306 (1197-1321) ms in subjects with ci scores ≤1; P = 0.011; receiver operating characteristic area under the curve for prediction of ci &gt; 1: 0.76]. In parallel, T1 values were associated with kidney function and proteinuria. There was also a relationship between IF and corticomedullary differences on ADC maps (receiver operating characteristic area under the curve for prediction of ci ≤ 1: 0.79).\nCONCLUSIONS: Our results support the use of MRI for noninvasive assessment of allograft scarring. Future studies will have to clarify the role of T1 (and ADC) mapping as a surrogate endpoint reflecting the progression of chronic graft damage.","container-title":"Transplantation Direct","DOI":"10.1097/TXD.0000000000001009","ISSN":"2373-8731","issue":"8","journalAbbreviation":"Transplant Direct","language":"eng","note":"PMID: 33134501\nPMCID: PMC7581173","page":"e577","source":"PubMed","title":"Magnetic Resonance Imaging for Evaluation of Interstitial Fibrosis in Kidney Allografts","volume":"6","author":[{"family":"Beck-Tölly","given":"Andrea"},{"family":"Eder","given":"Michael"},{"family":"Beitzke","given":"Dietrich"},{"family":"Eskandary","given":"Farsad"},{"family":"Agibetov","given":"Asan"},{"family":"Lampichler","given":"Katharina"},{"family":"Hamböck","given":"Martina"},{"family":"Regele","given":"Heinz"},{"family":"Kläger","given":"Johannes"},{"family":"Nackenhorst","given":"Maja"},{"family":"Böhmig","given":"Georg A."}],"issued":{"date-parts":[["2020",8]]}}},{"id":19031,"uris":["http://zotero.org/users/3444308/items/9V2TITHX"],"itemData":{"id":19031,"type":"article-journal","abstract":"Kidney transplantation is the treatment of choice for patients with end-stage renal disease, as it extends survival and increases quality of life in these patients. However, chronic allograft injury continues to be a major problem, and leads to eventual graft loss. Early detection of allograft injury is essential for guiding appropriate intervention to delay or prevent irreversible damage. Several advanced MRI techniques can offer some important information regarding functional changes such as perfusion, diffusion, structural complexity, as well as oxygenation and fibrosis. This review highlights the potential of multiparametric MRI for noninvasive and comprehensive assessment of renal allograft injury.","container-title":"Korean Journal of Radiology","DOI":"10.3348/kjr.2018.0540","ISSN":"2005-8330","issue":"6","journalAbbreviation":"Korean J Radiol","language":"eng","note":"PMID: 31132815\nPMCID: PMC6536799","page":"894-908","source":"PubMed","title":"Multiparametric Functional Magnetic Resonance Imaging for Evaluating Renal Allograft Injury","volume":"20","author":[{"family":"Yu","given":"Yuan Meng"},{"family":"Ni","given":"Qian Qian"},{"family":"Wang","given":"Zhen Jane"},{"family":"Chen","given":"Meng Lin"},{"family":"Zhang","given":"Long Jiang"}],"issued":{"date-parts":[["2019",6]]}}}],"schema":"https://github.com/citation-style-language/schema/raw/master/csl-citation.json"} </w:instrText>
      </w:r>
      <w:r w:rsidRPr="00EF7E7C">
        <w:fldChar w:fldCharType="separate"/>
      </w:r>
      <w:r w:rsidR="002119AF" w:rsidRPr="002119AF">
        <w:rPr>
          <w:rFonts w:ascii="Aptos" w:hAnsi="Aptos" w:cs="Times New Roman"/>
          <w:vertAlign w:val="superscript"/>
        </w:rPr>
        <w:t>132,133</w:t>
      </w:r>
      <w:r w:rsidRPr="00EF7E7C">
        <w:fldChar w:fldCharType="end"/>
      </w:r>
      <w:r w:rsidRPr="00EF7E7C">
        <w:t>.</w:t>
      </w:r>
    </w:p>
    <w:p w14:paraId="67F5F32F" w14:textId="23A9A96E" w:rsidR="00ED6CD4" w:rsidRPr="00EF7E7C" w:rsidRDefault="00EF7E7C" w:rsidP="00EF7E7C">
      <w:pPr>
        <w:pStyle w:val="GuidelineHeadings"/>
      </w:pPr>
      <w:r>
        <w:t xml:space="preserve">Guideline 4.4 </w:t>
      </w:r>
      <w:r w:rsidR="00932D5D">
        <w:t>–</w:t>
      </w:r>
      <w:r>
        <w:t xml:space="preserve"> </w:t>
      </w:r>
      <w:r w:rsidR="00ED6CD4" w:rsidRPr="00EF7E7C">
        <w:t>Management of Chronic Allograft Injury</w:t>
      </w:r>
    </w:p>
    <w:p w14:paraId="37F41663" w14:textId="4FBBD98E" w:rsidR="0093016D" w:rsidRDefault="00ED6CD4" w:rsidP="0018491F">
      <w:pPr>
        <w:spacing w:line="240" w:lineRule="auto"/>
        <w:jc w:val="both"/>
      </w:pPr>
      <w:r w:rsidRPr="00EF7E7C">
        <w:t>Once chronic AMBR has been established, with lesions such as transplant glomerulopathy, PTC multilayering and arteriolar thickening, there is little evidence to recommend a particular treatment regime at the time of writing.</w:t>
      </w:r>
      <w:r w:rsidR="00D25970">
        <w:t xml:space="preserve"> </w:t>
      </w:r>
      <w:r w:rsidR="00D25970" w:rsidRPr="00D25970">
        <w:t xml:space="preserve">This reflects, in part, the heterogeneity of pathogenic mechanisms contributing to chronic alloimmune injury. </w:t>
      </w:r>
      <w:r w:rsidR="00D01099">
        <w:t>There</w:t>
      </w:r>
      <w:r w:rsidR="00D01099" w:rsidRPr="00D01099">
        <w:t xml:space="preserve"> is now a much-improved</w:t>
      </w:r>
      <w:r w:rsidR="00D01099" w:rsidRPr="00162471">
        <w:t xml:space="preserve"> understanding of the diverse immunopathological mechanisms</w:t>
      </w:r>
      <w:r w:rsidR="00D01099" w:rsidRPr="00D01099">
        <w:t xml:space="preserve"> that can lead to chronic alloimmune injury</w:t>
      </w:r>
      <w:r w:rsidR="00D01099">
        <w:t xml:space="preserve">; </w:t>
      </w:r>
      <w:r w:rsidR="00D01099" w:rsidRPr="00D01099">
        <w:t>including antibody-dependent and antibody-independent pathways</w:t>
      </w:r>
      <w:r w:rsidR="00D01099">
        <w:t>,</w:t>
      </w:r>
      <w:r w:rsidR="00D01099" w:rsidRPr="00D01099">
        <w:t xml:space="preserve"> complement-dependent and complement-independent injury</w:t>
      </w:r>
      <w:r w:rsidR="00D01099">
        <w:t>,</w:t>
      </w:r>
      <w:r w:rsidR="00D01099" w:rsidRPr="00D01099">
        <w:t xml:space="preserve"> and non-HLA–mediated mechanisms</w:t>
      </w:r>
      <w:r w:rsidR="00D01099">
        <w:t xml:space="preserve">; </w:t>
      </w:r>
      <w:r w:rsidR="00D01099" w:rsidRPr="00D01099">
        <w:t>these processes often converge on similar histological patterns of chronic damage.</w:t>
      </w:r>
      <w:r w:rsidR="00D01099">
        <w:t xml:space="preserve"> Therefore, w</w:t>
      </w:r>
      <w:r w:rsidR="00D25970" w:rsidRPr="00D25970">
        <w:t xml:space="preserve">hile features such as </w:t>
      </w:r>
      <w:r w:rsidR="00D25970" w:rsidRPr="00162471">
        <w:t>microvascular inflammation (MVI)</w:t>
      </w:r>
      <w:r w:rsidR="00D25970" w:rsidRPr="00D25970">
        <w:t xml:space="preserve"> in the presence of chronic injury may suggest ongoing or recent antibody-mediated activity, these histological findings do not necessarily identify the dominant underlying pathogenic process at the time of diagnosis.</w:t>
      </w:r>
      <w:r w:rsidR="00D25970">
        <w:t xml:space="preserve"> </w:t>
      </w:r>
      <w:r w:rsidR="00D25970" w:rsidRPr="00D25970">
        <w:t xml:space="preserve">Consequently, treatment strategies targeting </w:t>
      </w:r>
      <w:r w:rsidR="00D25970">
        <w:t>specific aspects of the</w:t>
      </w:r>
      <w:r w:rsidR="00D25970" w:rsidRPr="00D25970">
        <w:t xml:space="preserve"> immune </w:t>
      </w:r>
      <w:r w:rsidR="00D25970">
        <w:t>system</w:t>
      </w:r>
      <w:r w:rsidR="00D25970" w:rsidRPr="00D25970">
        <w:t xml:space="preserve"> have shown </w:t>
      </w:r>
      <w:r w:rsidR="00D25970" w:rsidRPr="00162471">
        <w:t>variable and often limited efficacy</w:t>
      </w:r>
      <w:r w:rsidR="00D25970" w:rsidRPr="00D25970">
        <w:t>, particularly once established chronic structural damage is present</w:t>
      </w:r>
      <w:r w:rsidR="00DD3F9D">
        <w:fldChar w:fldCharType="begin"/>
      </w:r>
      <w:r w:rsidR="006528EA">
        <w:instrText xml:space="preserve"> ADDIN ZOTERO_ITEM CSL_CITATION {"citationID":"PLE4BUuQ","properties":{"formattedCitation":"\\super 134\\nosupersub{}","plainCitation":"134","noteIndex":0},"citationItems":[{"id":20125,"uris":["http://zotero.org/users/3444308/items/FG5EC3V7"],"itemData":{"id":20125,"type":"article-journal","abstract":"In kidney transplantation, ongoing alloimmune processes-commonly triggered by HLA incompatibilities-can trigger chronic transplant rejection, affecting the microcirculation and the tubulointerstitium. Continuous inflammation may lead to progressive, irreversible graft injury, culminating in graft dysfunction and accelerated transplant failure. Numerous experimental and translational studies have delineated a complex interplay of different immune mechanisms driving rejection, with antibody-mediated rejection (AMR) being an extensively studied rejection variant. In microvascular inflammation, a hallmark lesion of AMR, natural killer (NK) cells have emerged as pivotal effector cells. Their essential role is supported by immunohistologic evidence, bulk and spatial transcriptomics, and functional genetics. Despite significant research efforts, a substantial unmet need for approved rejection therapies persists, with many trials yielding negative outcomes. However, several promising therapies are currently under investigation, including felzartamab, a monoclonal antibody targeting the surface molecule CD38, which is highly expressed in NK cells and antibody-producing plasma cells. In an exploratory phase 2 trial in late AMR, this compound has demonstrated potential in resolving molecular and morphologic rejection activity and injury, predominantly by targeting NK cell effector function. These findings inspire hope for effective treatments and emphasize the necessity of further pivotal trials focusing on chronic transplant rejection.","container-title":"Transplantation","DOI":"10.1097/TP.0000000000005187","ISSN":"1534-6080","issue":"4","journalAbbreviation":"Transplantation","language":"eng","note":"PMID: 39192468\nPMCID: PMC11927446","page":"610-621","source":"PubMed","title":"Chronic Rejection After Kidney Transplantation","volume":"109","author":[{"family":"Diebold","given":"Matthias"},{"family":"Mayer","given":"Katharina A."},{"family":"Hidalgo","given":"Luis"},{"family":"Kozakowski","given":"Nicolas"},{"family":"Budde","given":"Klemens"},{"family":"Böhmig","given":"Georg A."}],"issued":{"date-parts":[["2025",4,1]]}}}],"schema":"https://github.com/citation-style-language/schema/raw/master/csl-citation.json"} </w:instrText>
      </w:r>
      <w:r w:rsidR="00DD3F9D">
        <w:fldChar w:fldCharType="separate"/>
      </w:r>
      <w:r w:rsidR="00DD3F9D" w:rsidRPr="00DD3F9D">
        <w:rPr>
          <w:rFonts w:ascii="Aptos" w:hAnsi="Aptos" w:cs="Times New Roman"/>
          <w:vertAlign w:val="superscript"/>
        </w:rPr>
        <w:t>134</w:t>
      </w:r>
      <w:r w:rsidR="00DD3F9D">
        <w:fldChar w:fldCharType="end"/>
      </w:r>
      <w:r w:rsidR="00D25970" w:rsidRPr="00D25970">
        <w:t>.</w:t>
      </w:r>
      <w:r w:rsidR="00D25970">
        <w:t xml:space="preserve"> .</w:t>
      </w:r>
      <w:r w:rsidRPr="00EF7E7C">
        <w:t xml:space="preserve"> </w:t>
      </w:r>
    </w:p>
    <w:p w14:paraId="5F3015BF" w14:textId="382ECD44" w:rsidR="00CD0C02" w:rsidRDefault="00ED6CD4" w:rsidP="00932F47">
      <w:pPr>
        <w:pStyle w:val="NormalWeb"/>
        <w:spacing w:before="0" w:beforeAutospacing="0" w:after="160" w:afterAutospacing="0"/>
        <w:jc w:val="both"/>
        <w:rPr>
          <w:rFonts w:asciiTheme="minorHAnsi" w:hAnsiTheme="minorHAnsi"/>
          <w:color w:val="000000"/>
        </w:rPr>
      </w:pPr>
      <w:r w:rsidRPr="00162471">
        <w:rPr>
          <w:rFonts w:asciiTheme="minorHAnsi" w:hAnsiTheme="minorHAnsi"/>
        </w:rPr>
        <w:t xml:space="preserve">Past studies with IVIG and PLEX with or without rituximab </w:t>
      </w:r>
      <w:r w:rsidRPr="00162471">
        <w:rPr>
          <w:rFonts w:asciiTheme="minorHAnsi" w:hAnsiTheme="minorHAnsi"/>
        </w:rPr>
        <w:fldChar w:fldCharType="begin"/>
      </w:r>
      <w:r w:rsidR="006528EA">
        <w:rPr>
          <w:rFonts w:asciiTheme="minorHAnsi" w:hAnsiTheme="minorHAnsi"/>
        </w:rPr>
        <w:instrText xml:space="preserve"> ADDIN ZOTERO_ITEM CSL_CITATION {"citationID":"BQ5S3lww","properties":{"formattedCitation":"\\super 135\\uc0\\u8211{}137\\nosupersub{}","plainCitation":"135–137","noteIndex":0},"citationItems":[{"id":19028,"uris":["http://zotero.org/users/3444308/items/K2XZIAZK"],"itemData":{"id":19028,"type":"article-journal","abstract":"BACKGROUND/PURPOSE: Intravenous immunoglobulin (IVIG) plays a central role in the treatment of antibody-mediated rejection (AMR) of renal allografts, but the treatment outcomes for late AMR (&gt;6 months after transplantation) are poor.\nMETHODS: We performed a retrospective study to assess the response patterns of IVIG-based (2 g/kg) desensitization for late AMR. Patients who received desensitization after the pathological diagnosis of late AMR positive for complement component C4d were grouped as the Desensitized Group and compared to a historical Control Group with complement component C4d positivity in retrospective stainings.\nRESULTS: The 10-year graft survival of the Desensitized Group (73.9%, n = 35) was significantly better than that of the historical Control Group (35.0%, n = 40) without desensitization. In the Desensitized Group, a subgroup of patients (D2 Subgroup, n = 11), who responded to desensitization initially but deteriorated later, was identified to benefit from repeated cycles of desensitization at 31.1 ± 20.9 months. Patients receiving only one cycle of desensitization were further grouped into D1-good (n = 10) and D1-poor (n = 14) based on their long-term renal function. The D2 Subgroup patients did not exhibit significant improvements in renal function compared to the D1-poor patients, until 30 months after IVIG-based desensitization, suggesting desensitization therapy has a working window of approximately 24 months.\nCONCLUSION: Repeated cycles of IVIG-based desensitization help stabilize long-term renal function in patients with persistent AMR.","container-title":"Journal of the Formosan Medical Association = Taiwan Yi Zhi","DOI":"10.1016/j.jfma.2016.07.007","ISSN":"0929-6646","issue":"10","journalAbbreviation":"J Formos Med Assoc","language":"eng","note":"PMID: 27542515","page":"845-852","source":"PubMed","title":"Repeated cycles of high-dose intravenous immunoglobulin and plasmapheresis for treatment of late antibody-mediated rejection of renal transplants","volume":"115","author":[{"family":"Lee","given":"Chih-Yuan"},{"family":"Lin","given":"Wei-Chou"},{"family":"Wu","given":"Ming-Shiou"},{"family":"Yang","given":"Ching-Yao"},{"family":"Yeh","given":"Chi-Chuan"},{"family":"Tsai","given":"Meng-Kun"}],"issued":{"date-parts":[["2016",10]]}}},{"id":19029,"uris":["http://zotero.org/users/3444308/items/PMSSM5TJ"],"itemData":{"id":19029,"type":"article-journal","abstract":"Rituximab is a B-lymphocyte depleting agent that is used to treat hematological malignancies and autoimmune diseases. Recently, it has gained interest as an immunomodulatory agent in renal transplantation. This systematic review evaluates the evidence for its use in the treatment of acute and chronic antibody-mediated renal transplant rejection (AAMR; CAMR). A systematic search of four databases and three trial registries was conducted. The small number and heterogeneous nature of included studies precluded meta-analysis and thus a narrative review was conducted. A total of 28 records met the inclusion criteria (AAMR, 18 records relating to 9 studies; CAMR, 10 records relating to 7 studies). Two systematic reviews were identified that had differing inclusion criteria to this current review. Of seven primary studies in the setting of AAMR, four reported increased graft survival and one reported improved graft function with rituximab. This contrasts with CAMR in which only one of seven studies reported improved graft outcomes with a rituximab-based regimen; three studies reported inferior outcomes and three reported no difference. Only one study reported that rituximab was associated with an increase in adverse effects. The included studies suggest that rituximab may be of some benefit in the setting of AAMR but a lack of high quality evidence precludes firm conclusions from being drawn. Rituximab does not appear to reliably improve outcomes in CAMR. Further well-conducted studies are required to better define the effects and long-term safety profile of rituximab in the treatment of antibody-mediated renal transplant rejection.","container-title":"Transplantation Reviews (Orlando, Fla.)","DOI":"10.1016/j.trre.2017.01.002","ISSN":"1557-9816","issue":"2","journalAbbreviation":"Transplant Rev (Orlando)","language":"eng","note":"PMID: 28187998","page":"87-95","source":"PubMed","title":"A systematic review of the use of rituximab for the treatment of antibody-mediated renal transplant rejection","volume":"31","author":[{"family":"Macklin","given":"Philip S."},{"family":"Morris","given":"Peter J."},{"family":"Knight","given":"Simon R."}],"issued":{"date-parts":[["2017",4]]}}},{"id":19030,"uris":["http://zotero.org/users/3444308/items/A5ZT8YNB"],"itemData":{"id":19030,"type":"article-journal","abstract":"AIM: To evaluate the role of a therapeutic regimen with plasma exchange, intravenous immunoglobulins and rituximab in chronic-active antibody-mediated rejection (cAMR) settings.\nMETHODS: We compared 21 kidney transplant recipients (KTRs) with a diagnosis of cAMR in a retrospective case-control analysis: nine KTRs treated with plasmapheresis, intravenous immunoglobulins and rituximab (PE-IVIG-RTX group) vs 12 patients (control group) not treated with antibody-targeted therapies. We examined kidney survival and functional outcomes 24 mo after diagnosis. Histological features and donor-specific antibody (DSA) characteristics (MFI and C1q-fixing ability) were also investigated.\nRESULTS: No difference in graft survival between the two groups was noted: three out of nine patients in the PE-IVIG-RTX group (33.3%) and 4/12 in the control group (33.3%) experienced loss of allograft function at a median time after diagnosis of 14 mo (min 12-max 18) and 15 mo (min 7-max 22), respectively. Kidney functional tests and proteinuria 24 mo after cAMR diagnosis were also similar in both groups. Only microvascular inflammation (glomerulitis + peritubular capillaritis score) was significantly reduced after PE-IVIG-RTX in seven out of eight patients (87.5%) in the PE-IVIG-RTX group (median score 3 in pre-treatment biopsy vs 1.5 in post-treatment biopsy; P = 0.047), without any impact on kidney survival and/or DSA characteristics. No functional or histological parameter at diagnosis was predictive of clinical outcome.\nCONCLUSION: Our data showed no difference in the two year post-treatment outcome of kidney grafts treated with PE-IVIG-RTX for cAMR diagnosis, however there were notable improvements in microvascular inflammation in post-therapy protocol biopsies. Further studies, especially involving innovative therapeutic approaches, are required to improve the management and long-term results of this severe condition.","container-title":"World Journal of Transplantation","DOI":"10.5500/wjt.v8.i5.178","ISSN":"2220-3230","issue":"5","journalAbbreviation":"World J Transplant","language":"eng","note":"PMID: 30211026\nPMCID: PMC6134268","page":"178-187","source":"PubMed","title":"Treatment with plasmapheresis, immunoglobulins and rituximab for chronic-active antibody-mediated rejection in kidney transplantation: Clinical, immunological and pathological results","title-short":"Treatment with plasmapheresis, immunoglobulins and rituximab for chronic-active antibody-mediated rejection in kidney transplantation","volume":"8","author":[{"family":"Mella","given":"Alberto"},{"family":"Gallo","given":"Ester"},{"family":"Messina","given":"Maria"},{"family":"Caorsi","given":"Cristiana"},{"family":"Amoroso","given":"Antonio"},{"family":"Gontero","given":"Paolo"},{"family":"Verri","given":"Aldo"},{"family":"Maletta","given":"Francesca"},{"family":"Barreca","given":"Antonella"},{"family":"Fop","given":"Fabrizio"},{"family":"Biancone","given":"Luigi"}],"issued":{"date-parts":[["2018",9,10]]}}}],"schema":"https://github.com/citation-style-language/schema/raw/master/csl-citation.json"} </w:instrText>
      </w:r>
      <w:r w:rsidRPr="00162471">
        <w:rPr>
          <w:rFonts w:asciiTheme="minorHAnsi" w:hAnsiTheme="minorHAnsi"/>
        </w:rPr>
        <w:fldChar w:fldCharType="separate"/>
      </w:r>
      <w:r w:rsidR="00DD3F9D" w:rsidRPr="00DD3F9D">
        <w:rPr>
          <w:rFonts w:ascii="Aptos" w:hAnsi="Aptos"/>
          <w:vertAlign w:val="superscript"/>
        </w:rPr>
        <w:t>135–137</w:t>
      </w:r>
      <w:r w:rsidRPr="00162471">
        <w:rPr>
          <w:rFonts w:asciiTheme="minorHAnsi" w:hAnsiTheme="minorHAnsi"/>
        </w:rPr>
        <w:fldChar w:fldCharType="end"/>
      </w:r>
      <w:r w:rsidRPr="00162471">
        <w:rPr>
          <w:rFonts w:asciiTheme="minorHAnsi" w:hAnsiTheme="minorHAnsi"/>
          <w:color w:val="000000"/>
        </w:rPr>
        <w:t>,</w:t>
      </w:r>
      <w:r w:rsidRPr="00162471">
        <w:rPr>
          <w:rFonts w:asciiTheme="minorHAnsi" w:hAnsiTheme="minorHAnsi"/>
        </w:rPr>
        <w:t xml:space="preserve"> rituximab monotherapy</w:t>
      </w:r>
      <w:r w:rsidRPr="00162471">
        <w:rPr>
          <w:rFonts w:asciiTheme="minorHAnsi" w:hAnsiTheme="minorHAnsi"/>
          <w:color w:val="000000"/>
        </w:rPr>
        <w:t xml:space="preserve"> </w:t>
      </w:r>
      <w:r w:rsidRPr="00162471">
        <w:rPr>
          <w:rFonts w:asciiTheme="minorHAnsi" w:hAnsiTheme="minorHAnsi"/>
          <w:color w:val="000000"/>
        </w:rPr>
        <w:fldChar w:fldCharType="begin"/>
      </w:r>
      <w:r w:rsidR="006528EA">
        <w:rPr>
          <w:rFonts w:asciiTheme="minorHAnsi" w:hAnsiTheme="minorHAnsi"/>
          <w:color w:val="000000"/>
        </w:rPr>
        <w:instrText xml:space="preserve"> ADDIN ZOTERO_ITEM CSL_CITATION {"citationID":"iww2AZW0","properties":{"formattedCitation":"\\super 138\\nosupersub{}","plainCitation":"138","noteIndex":0},"citationItems":[{"id":19027,"uris":["http://zotero.org/users/3444308/items/7CEMCU3R"],"itemData":{"id":19027,"type":"article-journal","container-title":"Transplant International: Official Journal of the European Society for Organ Transplantation","DOI":"10.1111/tri.13111","ISSN":"1432-2277","issue":"4","journalAbbreviation":"Transpl Int","language":"eng","note":"PMID: 29328536","page":"451-455","source":"PubMed","title":"Rituximab as monotherapy for the treatment of chronic active antibody-mediated rejection after kidney transplantation","volume":"31","author":[{"family":"Muller","given":"Yannick D."},{"family":"Ghaleb","given":"Nseir"},{"family":"Rotman","given":"Samuel"},{"family":"Vionnet","given":"Julien"},{"family":"Halfon","given":"Matthieu"},{"family":"Catana","given":"Emmanuelle"},{"family":"Golshayan","given":"Déla"},{"family":"Venetz","given":"Jean-Pierre"},{"family":"Aubert","given":"Vincent"},{"family":"Pascual","given":"Manuel"}],"issued":{"date-parts":[["2018",4]]}}}],"schema":"https://github.com/citation-style-language/schema/raw/master/csl-citation.json"} </w:instrText>
      </w:r>
      <w:r w:rsidRPr="00162471">
        <w:rPr>
          <w:rFonts w:asciiTheme="minorHAnsi" w:hAnsiTheme="minorHAnsi"/>
          <w:color w:val="000000"/>
        </w:rPr>
        <w:fldChar w:fldCharType="separate"/>
      </w:r>
      <w:r w:rsidR="00DD3F9D" w:rsidRPr="00DD3F9D">
        <w:rPr>
          <w:rFonts w:ascii="Aptos" w:hAnsi="Aptos"/>
          <w:vertAlign w:val="superscript"/>
        </w:rPr>
        <w:t>138</w:t>
      </w:r>
      <w:r w:rsidRPr="00162471">
        <w:rPr>
          <w:rFonts w:asciiTheme="minorHAnsi" w:hAnsiTheme="minorHAnsi"/>
          <w:color w:val="000000"/>
        </w:rPr>
        <w:fldChar w:fldCharType="end"/>
      </w:r>
      <w:r w:rsidRPr="00162471">
        <w:rPr>
          <w:rFonts w:asciiTheme="minorHAnsi" w:hAnsiTheme="minorHAnsi"/>
          <w:color w:val="000000"/>
        </w:rPr>
        <w:t>,</w:t>
      </w:r>
      <w:r w:rsidRPr="00162471">
        <w:rPr>
          <w:rFonts w:asciiTheme="minorHAnsi" w:hAnsiTheme="minorHAnsi"/>
        </w:rPr>
        <w:t xml:space="preserve"> as well as complement inhibition </w:t>
      </w:r>
      <w:r w:rsidRPr="00162471">
        <w:rPr>
          <w:rFonts w:asciiTheme="minorHAnsi" w:hAnsiTheme="minorHAnsi"/>
        </w:rPr>
        <w:fldChar w:fldCharType="begin"/>
      </w:r>
      <w:r w:rsidR="006528EA">
        <w:rPr>
          <w:rFonts w:asciiTheme="minorHAnsi" w:hAnsiTheme="minorHAnsi"/>
        </w:rPr>
        <w:instrText xml:space="preserve"> ADDIN ZOTERO_ITEM CSL_CITATION {"citationID":"ehg8gmh0","properties":{"formattedCitation":"\\super 139\\nosupersub{}","plainCitation":"139","noteIndex":0},"citationItems":[{"id":19026,"uris":["http://zotero.org/users/3444308/items/U3X8BBBZ"],"itemData":{"id":19026,"type":"article-journal","abstract":"We hypothesized that de novo donor-specific antibody (DSA) causes complement-dependent endothelial cell injury in kidney transplants, as assessed by expression of endothelial cell-associated transcripts (ENDATs), that may be attenuated through complement inhibition. In total, 15 participants (five control, 10 treatment) with DSA and deteriorating renal function were enrolled. The treatment group received 6 mo of eculizumab followed by 6 mo of observation, whereas controls were observed. The primary end point was percentage change in estimated GFR (eGFR) trajectory over the treatment period. The treatment group had an improved eGFR trajectory versus control, based on our predetermined two-sided 0.10 significance level (p = 0.09). Within-subject analysis of treated participants at 6-mo intervals did not show significant change (p = 0.60). Modeling C1q status showed that C1q-positive patients had significantly higher mean eGFR than patients with negative C1q (p = 0.04). Biopsies revealed elevated renal ENDATs in most participants, but ENDATs were not reduced with complement inhibition. Our data suggest that eculizumab treatment may stabilize kidney function in patients with chronic persistent DSA based on our pilot a priori significance threshold. ENDAT expression predicative of acute humoral injury is not reduced with complement inhibition in this chronic setting. Further studies will be necessary to determine which patients may benefit from eculizumab.","container-title":"American Journal of Transplantation: Official Journal of the American Society of Transplantation and the American Society of Transplant Surgeons","DOI":"10.1111/ajt.14001","ISSN":"1600-6143","issue":"3","journalAbbreviation":"Am J Transplant","language":"eng","note":"PMID: 27501352","page":"682-691","source":"PubMed","title":"Eculizumab Therapy for Chronic Antibody-Mediated Injury in Kidney Transplant Recipients: A Pilot Randomized Controlled Trial","title-short":"Eculizumab Therapy for Chronic Antibody-Mediated Injury in Kidney Transplant Recipients","volume":"17","author":[{"family":"Kulkarni","given":"S."},{"family":"Kirkiles-Smith","given":"N. C."},{"family":"Deng","given":"Y. H."},{"family":"Formica","given":"R. N."},{"family":"Moeckel","given":"G."},{"family":"Broecker","given":"V."},{"family":"Bow","given":"L."},{"family":"Tomlin","given":"R."},{"family":"Pober","given":"J. S."}],"issued":{"date-parts":[["2017",3]]}}}],"schema":"https://github.com/citation-style-language/schema/raw/master/csl-citation.json"} </w:instrText>
      </w:r>
      <w:r w:rsidRPr="00162471">
        <w:rPr>
          <w:rFonts w:asciiTheme="minorHAnsi" w:hAnsiTheme="minorHAnsi"/>
        </w:rPr>
        <w:fldChar w:fldCharType="separate"/>
      </w:r>
      <w:r w:rsidR="00DD3F9D" w:rsidRPr="00DD3F9D">
        <w:rPr>
          <w:rFonts w:ascii="Aptos" w:hAnsi="Aptos"/>
          <w:vertAlign w:val="superscript"/>
        </w:rPr>
        <w:t>139</w:t>
      </w:r>
      <w:r w:rsidRPr="00162471">
        <w:rPr>
          <w:rFonts w:asciiTheme="minorHAnsi" w:hAnsiTheme="minorHAnsi"/>
        </w:rPr>
        <w:fldChar w:fldCharType="end"/>
      </w:r>
      <w:r w:rsidRPr="00162471">
        <w:rPr>
          <w:rFonts w:asciiTheme="minorHAnsi" w:hAnsiTheme="minorHAnsi"/>
          <w:color w:val="000000"/>
        </w:rPr>
        <w:t xml:space="preserve"> </w:t>
      </w:r>
      <w:r w:rsidRPr="00162471">
        <w:rPr>
          <w:rFonts w:asciiTheme="minorHAnsi" w:hAnsiTheme="minorHAnsi"/>
        </w:rPr>
        <w:t>and proteasome inhibitors</w:t>
      </w:r>
      <w:r w:rsidRPr="00162471">
        <w:rPr>
          <w:rFonts w:asciiTheme="minorHAnsi" w:hAnsiTheme="minorHAnsi"/>
          <w:color w:val="000000"/>
        </w:rPr>
        <w:t xml:space="preserve"> </w:t>
      </w:r>
      <w:r w:rsidRPr="00162471">
        <w:rPr>
          <w:rFonts w:asciiTheme="minorHAnsi" w:hAnsiTheme="minorHAnsi"/>
          <w:color w:val="000000"/>
        </w:rPr>
        <w:fldChar w:fldCharType="begin"/>
      </w:r>
      <w:r w:rsidR="006528EA">
        <w:rPr>
          <w:rFonts w:asciiTheme="minorHAnsi" w:hAnsiTheme="minorHAnsi"/>
          <w:color w:val="000000"/>
        </w:rPr>
        <w:instrText xml:space="preserve"> ADDIN ZOTERO_ITEM CSL_CITATION {"citationID":"tUjuQhz5","properties":{"formattedCitation":"\\super 140\\nosupersub{}","plainCitation":"140","noteIndex":0},"citationItems":[{"id":19025,"uris":["http://zotero.org/users/3444308/items/CGVASMRG"],"itemData":{"id":19025,"type":"article-journal","abstract":"Late antibody-mediated rejection (ABMR) is a leading cause of kidney allograft failure. Uncontrolled studies have suggested efficacy of the proteasome inhibitor bortezomib, but no systematic trial has been undertaken to support its use in ABMR. In this randomized, placebo-controlled trial (the Bortezomib in Late Antibody-Mediated Kidney Transplant Rejection [BORTEJECT] Trial), we investigated whether two cycles of bortezomib (each cycle: 1.3 mg/m2 intravenously on days 1, 4, 8, and 11) prevent GFR decline by halting the progression of late donor-specific antibody (DSA)-positive ABMR. Forty-four DSA-positive kidney transplant recipients with characteristic ABMR morphology (median time after transplant, 5.0 years; pretransplant DSA documented in 19 recipients), who were identified on cross-sectional screening of 741 patients, were randomly assigned to receive bortezomib (n=21) or placebo (n=23). The 0.5-ml/min per 1.73 m2 per year (95% confidence interval, -4.8 to 5.8) difference detected between bortezomib and placebo in eGFR slope (primary end point) was not significant (P=0.86). We detected no significant differences between bortezomib- and placebo-treated groups in median measured GFR at 24 months (33 versus 42 ml/min per 1.73 m2; P=0.31), 2-year graft survival (81% versus 96%; P=0.12), urinary protein concentration, DSA levels, or morphologic or molecular rejection phenotypes in 24-month follow-up biopsy specimens. Bortezomib, however, associated with gastrointestinal and hematologic toxicity. In conclusion, our trial failed to show that bortezomib prevents GFR loss, improves histologic or molecular disease features, or reduces DSA, despite significant toxicity. Our results reinforce the need for systematic trials to dissect the efficiency and safety of new treatments for late ABMR.","container-title":"Journal of the American Society of Nephrology: JASN","DOI":"10.1681/ASN.2017070818","ISSN":"1533-3450","issue":"2","journalAbbreviation":"J Am Soc Nephrol","language":"eng","note":"PMID: 29242250\nPMCID: PMC5791086","page":"591-605","source":"PubMed","title":"A Randomized Trial of Bortezomib in Late Antibody-Mediated Kidney Transplant Rejection","volume":"29","author":[{"family":"Eskandary","given":"Farsad"},{"family":"Regele","given":"Heinz"},{"family":"Baumann","given":"Lukas"},{"family":"Bond","given":"Gregor"},{"family":"Kozakowski","given":"Nicolas"},{"family":"Wahrmann","given":"Markus"},{"family":"Hidalgo","given":"Luis G."},{"family":"Haslacher","given":"Helmuth"},{"family":"Kaltenecker","given":"Christopher C."},{"family":"Aretin","given":"Marie-Bernadette"},{"family":"Oberbauer","given":"Rainer"},{"family":"Posch","given":"Martin"},{"family":"Staudenherz","given":"Anton"},{"family":"Handisurya","given":"Ammon"},{"family":"Reeve","given":"Jeff"},{"family":"Halloran","given":"Philip F."},{"family":"Böhmig","given":"Georg A."}],"issued":{"date-parts":[["2018",2]]}}}],"schema":"https://github.com/citation-style-language/schema/raw/master/csl-citation.json"} </w:instrText>
      </w:r>
      <w:r w:rsidRPr="00162471">
        <w:rPr>
          <w:rFonts w:asciiTheme="minorHAnsi" w:hAnsiTheme="minorHAnsi"/>
          <w:color w:val="000000"/>
        </w:rPr>
        <w:fldChar w:fldCharType="separate"/>
      </w:r>
      <w:r w:rsidR="00DD3F9D" w:rsidRPr="00DD3F9D">
        <w:rPr>
          <w:rFonts w:ascii="Aptos" w:hAnsi="Aptos"/>
          <w:vertAlign w:val="superscript"/>
        </w:rPr>
        <w:t>140</w:t>
      </w:r>
      <w:r w:rsidRPr="00162471">
        <w:rPr>
          <w:rFonts w:asciiTheme="minorHAnsi" w:hAnsiTheme="minorHAnsi"/>
          <w:color w:val="000000"/>
        </w:rPr>
        <w:fldChar w:fldCharType="end"/>
      </w:r>
      <w:r w:rsidRPr="00162471">
        <w:rPr>
          <w:rFonts w:asciiTheme="minorHAnsi" w:hAnsiTheme="minorHAnsi"/>
        </w:rPr>
        <w:t xml:space="preserve"> have no effect on the outcomes of chronic ABMR. Studies using IL-6 antagonists have been promising, but further trials are needed before there is sufficient evidence for their recommendation </w:t>
      </w:r>
      <w:r w:rsidRPr="00162471">
        <w:rPr>
          <w:rFonts w:asciiTheme="minorHAnsi" w:hAnsiTheme="minorHAnsi"/>
        </w:rPr>
        <w:fldChar w:fldCharType="begin"/>
      </w:r>
      <w:r w:rsidR="006528EA">
        <w:rPr>
          <w:rFonts w:asciiTheme="minorHAnsi" w:hAnsiTheme="minorHAnsi"/>
        </w:rPr>
        <w:instrText xml:space="preserve"> ADDIN ZOTERO_ITEM CSL_CITATION {"citationID":"NmqoK60I","properties":{"formattedCitation":"\\super 141,142\\nosupersub{}","plainCitation":"141,142","noteIndex":0},"citationItems":[{"id":19023,"uris":["http://zotero.org/users/3444308/items/WI4GBZAL"],"itemData":{"id":19023,"type":"article-journal","abstract":"Extending the functional integrity of renal allografts is the primary goal of transplant medicine. The development of donor-specific antibodies (DSAs) posttransplantation leads to chronic active antibody-mediated rejection (cAMR) and transplant glomerulopathy (TG), resulting in the majority of graft losses that occur in the United States. This reduces the quality and length of life for patients and increases cost. There are no approved treatments for cAMR. Evidence suggests the proinflammatory cytokine interleukin 6 (IL-6) may play an important role in DSA generation and cAMR. We identified 36 renal transplant patients with cAMR plus DSAs and TG who failed standard of care treatment with IVIg plus rituximab with or without plasma exchange. Patients were offered rescue therapy with the anti-IL-6 receptor monoclonal tocilizumab with monthly infusions and monitored for DSAs and long-term outcomes. Tocilizumab-treated patients demonstrated graft survival and patient survival rates of 80% and 91% at 6 years, respectively. Significant reductions in DSAs and stabilization of renal function were seen at 2 years. No significant adverse events or severe adverse events were seen. Tocilizumab provides good long-term outcomes for patients with cAMR and TG, especially compared with historical published treatments. Inhibition of the IL-6-IL-6 receptor pathway may represent a novel approach to stabilize allograft function and extend patient lives.","container-title":"American Journal of Transplantation: Official Journal of the American Society of Transplantation and the American Society of Transplant Surgeons","DOI":"10.1111/ajt.14228","ISSN":"1600-6143","issue":"9","journalAbbreviation":"Am J Transplant","language":"eng","note":"PMID: 28199785","page":"2381-2389","source":"PubMed","title":"Assessment of Tocilizumab (Anti-Interleukin-6 Receptor Monoclonal) as a Potential Treatment for Chronic Antibody-Mediated Rejection and Transplant Glomerulopathy in HLA-Sensitized Renal Allograft Recipients","volume":"17","author":[{"family":"Choi","given":"J."},{"family":"Aubert","given":"O."},{"family":"Vo","given":"A."},{"family":"Loupy","given":"A."},{"family":"Haas","given":"M."},{"family":"Puliyanda","given":"D."},{"family":"Kim","given":"I."},{"family":"Louie","given":"S."},{"family":"Kang","given":"A."},{"family":"Peng","given":"A."},{"family":"Kahwaji","given":"J."},{"family":"Reinsmoen","given":"N."},{"family":"Toyoda","given":"M."},{"family":"Jordan","given":"S. C."}],"issued":{"date-parts":[["2017",9]]}}},{"id":19024,"uris":["http://zotero.org/users/3444308/items/6X32B8Z8"],"itemData":{"id":19024,"type":"article-journal","abstract":"INTRODUCTION: Chronic active antibody-mediated rejection (cAMR) is a major determinant of late allograft failure. Rituximab/immunoglobulins (IVIg) + plasma exchange (PLEX) showed controversial results in cAMR treatment. Tocilizumab (TCZ), a humanized anti-interleukin 6 receptor antibody, has been recently used as rescue therapy in patients non-responsive to rituximab/IVIg/PLEX with favorable outcomes. Whether TCZ acts \"per se\" or requires a priming effect from previous treatments is currently unknown.\nMETHODS: Fifteen patients with cAMR were treated with TCZ as a first-line therapy and followed for a median time of 20.7 months.\nRESULTS: Despite the majority of patients experiencing advanced transplant glomerulopathy (TG) at diagnosis (60% with cg3), glomerular filtration rate and proteinuria stabilized during the follow-up, with a significant reduction in donor-specific antibodies. Protocol biopsies after 6 months demonstrated significant amelioration of microvascular inflammation and no TG, C4d deposition, or IF/TA progression. Gene-expression and immunofluorescence analysis showed upregulation of three genes (TJP-1, AKR1C3, and CASK) involved in podocyte, mesangial, and tubular restoration.\nCONCLUSION: Tocilizumab adopted as a first-line approach in cAMR was associated with early serological and histological improvements and functional stabilization even in advanced TG, suggesting a role for the use of TCZ alone with the avoidance of unnecessary previous immunosuppressants.","container-title":"Clinical Transplantation","DOI":"10.1111/ctr.13908","ISSN":"1399-0012","issue":"8","journalAbbreviation":"Clin Transplant","language":"eng","note":"PMID: 32415711","page":"e13908","source":"PubMed","title":"Early effects of first-line treatment with anti-interleukin-6 receptor antibody tocilizumab for chronic active antibody-mediated rejection in kidney transplantation","volume":"34","author":[{"family":"Lavacca","given":"Antonio"},{"family":"Presta","given":"Roberto"},{"family":"Gai","given":"Chiara"},{"family":"Mella","given":"Alberto"},{"family":"Gallo","given":"Ester"},{"family":"Camussi","given":"Giovanni"},{"family":"Abbasciano","given":"Isabella"},{"family":"Barreca","given":"Antonella"},{"family":"Caorsi","given":"Cristiana"},{"family":"Fop","given":"Fabrizio"},{"family":"Messina","given":"Maria"},{"family":"Rossetti","given":"Maura"},{"family":"Biancone","given":"Luigi"}],"issued":{"date-parts":[["2020",8]]}}}],"schema":"https://github.com/citation-style-language/schema/raw/master/csl-citation.json"} </w:instrText>
      </w:r>
      <w:r w:rsidRPr="00162471">
        <w:rPr>
          <w:rFonts w:asciiTheme="minorHAnsi" w:hAnsiTheme="minorHAnsi"/>
        </w:rPr>
        <w:fldChar w:fldCharType="separate"/>
      </w:r>
      <w:r w:rsidR="00DD3F9D" w:rsidRPr="00DD3F9D">
        <w:rPr>
          <w:rFonts w:ascii="Aptos" w:hAnsi="Aptos"/>
          <w:vertAlign w:val="superscript"/>
        </w:rPr>
        <w:t>141,142</w:t>
      </w:r>
      <w:r w:rsidRPr="00162471">
        <w:rPr>
          <w:rFonts w:asciiTheme="minorHAnsi" w:hAnsiTheme="minorHAnsi"/>
        </w:rPr>
        <w:fldChar w:fldCharType="end"/>
      </w:r>
      <w:r w:rsidRPr="00162471">
        <w:rPr>
          <w:rFonts w:asciiTheme="minorHAnsi" w:hAnsiTheme="minorHAnsi"/>
        </w:rPr>
        <w:t>.</w:t>
      </w:r>
      <w:r w:rsidR="00CD0C02">
        <w:rPr>
          <w:rFonts w:asciiTheme="minorHAnsi" w:hAnsiTheme="minorHAnsi"/>
        </w:rPr>
        <w:t xml:space="preserve"> The INTERCEPT trial is currently evaluating the effect of tocilizumab in chronic-active ABMR</w:t>
      </w:r>
      <w:r w:rsidR="00EB3546">
        <w:rPr>
          <w:rFonts w:asciiTheme="minorHAnsi" w:hAnsiTheme="minorHAnsi"/>
        </w:rPr>
        <w:fldChar w:fldCharType="begin"/>
      </w:r>
      <w:r w:rsidR="006528EA">
        <w:rPr>
          <w:rFonts w:asciiTheme="minorHAnsi" w:hAnsiTheme="minorHAnsi"/>
        </w:rPr>
        <w:instrText xml:space="preserve"> ADDIN ZOTERO_ITEM CSL_CITATION {"citationID":"pIBV7aII","properties":{"formattedCitation":"\\super 143\\nosupersub{}","plainCitation":"143","noteIndex":0},"citationItems":[{"id":20124,"uris":["http://zotero.org/users/3444308/items/29USFWZ8"],"itemData":{"id":20124,"type":"article-journal","abstract":"BACKGROUND: Chronic active antibody-mediated rejection (caAMR) in kidney transplants is associated with irreversible tissue damage and a leading cause of graft loss in the long-term. However, the treatment for caAMR remains a challenge to date. Recently, tocilizumab, a recombinant humanized monoclonal antibody directed against the human interleukin-6 (IL-6) receptor, has shown promise in the treatment of caAMR. However, it has not been systematically investigated so far underscoring the need for randomized controlled studies in this area.\nMETHODS: The INTERCEPT study is an investigator-driven randomized controlled open-label multi-center trial in kidney transplant recipients to assess the efficacy of tocilizumab in the treatment of biopsy-proven caAMR. A total of 50 recipients with biopsy-proven caAMR at least 12 months after transplantation will be randomized to receive either tocilizumab (n = 25) added to our standard of care (SOC) maintenance treatment or SOC alone (n = 25) for a period of 24 months. Patients will be followed for an additional 12 months after cessation of study medication. After the inclusion biopsies at baseline, protocol kidney graft biopsies will be performed at 12 and 24 months. The sample size calculation assumed a difference of 5 ml/year in slope of estimated glomerular filtration rate (eGFR) between the two groups for 80% power at an alpha of 0.05. The primary endpoint is the slope of eGFR at 24 months after start of treatment. The secondary endpoints include assessment of the following at 12, 24, and 36 months: composite risk score iBox, safety, evolution and characteristics of donor-specific antibodies (DSA), graft histology, proteinuria, kidney function assessed by measured GFR (mGFR), patient- and death-censored graft survival, and patient-reported outcomes that include transplant-specific well-being, adherence to immunosuppressive medications and perceived threat of the risk of graft rejection.\nDISCUSSION: No effective treatment exists for caAMR at present. Based on the hypothesis that inhibition of IL-6 receptor by tocilizumab will reduce antibody production and reduce antibody-mediated damage, our randomized trial has a potential to provide evidence for a novel treatment strategy for caAMR, therewith slowing the decline in graft function in the long-term.\nTRIAL REGISTRATION: ClinicalTrials.gov NCT04561986. Registered on September 24, 2020.","container-title":"Trials","DOI":"10.1186/s13063-024-08020-0","ISSN":"1745-6215","issue":"1","journalAbbreviation":"Trials","language":"eng","note":"PMID: 38519988\nPMCID: PMC10958896","page":"213","source":"PubMed","title":"Tocilizumab in chronic active antibody-mediated rejection: rationale and protocol of an in-progress randomized controlled open-label multi-center trial (INTERCEPT study)","title-short":"Tocilizumab in chronic active antibody-mediated rejection","volume":"25","author":[{"family":"Streichart","given":"Lillian"},{"family":"Felldin","given":"Marie"},{"family":"Ekberg","given":"Jana"},{"family":"Mjörnstedt","given":"Lars"},{"family":"Lindnér","given":"Per"},{"family":"Lennerling","given":"Annette"},{"family":"Bröcker","given":"Verena"},{"family":"Mölne","given":"Johan"},{"family":"Holgersson","given":"Jan"},{"family":"Daenen","given":"Kristien"},{"family":"Wennberg","given":"Lars"},{"family":"Lorant","given":"Tomas"},{"family":"Baid-Agrawal","given":"Seema"}],"issued":{"date-parts":[["2024",3,22]]}}}],"schema":"https://github.com/citation-style-language/schema/raw/master/csl-citation.json"} </w:instrText>
      </w:r>
      <w:r w:rsidR="00EB3546">
        <w:rPr>
          <w:rFonts w:asciiTheme="minorHAnsi" w:hAnsiTheme="minorHAnsi"/>
        </w:rPr>
        <w:fldChar w:fldCharType="separate"/>
      </w:r>
      <w:r w:rsidR="00EB3546" w:rsidRPr="00EB3546">
        <w:rPr>
          <w:rFonts w:ascii="Aptos" w:hAnsi="Aptos"/>
          <w:vertAlign w:val="superscript"/>
        </w:rPr>
        <w:t>143</w:t>
      </w:r>
      <w:r w:rsidR="00EB3546">
        <w:rPr>
          <w:rFonts w:asciiTheme="minorHAnsi" w:hAnsiTheme="minorHAnsi"/>
        </w:rPr>
        <w:fldChar w:fldCharType="end"/>
      </w:r>
      <w:r w:rsidR="00CD0C02">
        <w:rPr>
          <w:rFonts w:asciiTheme="minorHAnsi" w:hAnsiTheme="minorHAnsi"/>
        </w:rPr>
        <w:t>].</w:t>
      </w:r>
      <w:r w:rsidRPr="00162471">
        <w:rPr>
          <w:rFonts w:asciiTheme="minorHAnsi" w:hAnsiTheme="minorHAnsi"/>
          <w:color w:val="000000"/>
        </w:rPr>
        <w:t xml:space="preserve"> </w:t>
      </w:r>
    </w:p>
    <w:p w14:paraId="763D15F0" w14:textId="71C0B9C2" w:rsidR="00ED6CD4" w:rsidRPr="00162471" w:rsidRDefault="0069002B" w:rsidP="0018491F">
      <w:pPr>
        <w:pStyle w:val="NormalWeb"/>
        <w:spacing w:before="0" w:beforeAutospacing="0" w:after="160" w:afterAutospacing="0"/>
        <w:jc w:val="both"/>
        <w:rPr>
          <w:rFonts w:eastAsia="Times New Roman"/>
        </w:rPr>
      </w:pPr>
      <w:r w:rsidRPr="00CD0C02">
        <w:rPr>
          <w:rFonts w:asciiTheme="minorHAnsi" w:eastAsia="Times New Roman" w:hAnsiTheme="minorHAnsi"/>
        </w:rPr>
        <w:t xml:space="preserve">A recent phase II safety trial investigating the CD38 monoclonal antibody </w:t>
      </w:r>
      <w:proofErr w:type="spellStart"/>
      <w:r w:rsidRPr="0018491F">
        <w:rPr>
          <w:rFonts w:asciiTheme="minorHAnsi" w:eastAsia="Times New Roman" w:hAnsiTheme="minorHAnsi"/>
        </w:rPr>
        <w:t>felzartamab</w:t>
      </w:r>
      <w:proofErr w:type="spellEnd"/>
      <w:r w:rsidRPr="00CD0C02">
        <w:rPr>
          <w:rFonts w:asciiTheme="minorHAnsi" w:eastAsia="Times New Roman" w:hAnsiTheme="minorHAnsi"/>
        </w:rPr>
        <w:t xml:space="preserve"> demonstrated promising results in patients with </w:t>
      </w:r>
      <w:r w:rsidRPr="0018491F">
        <w:rPr>
          <w:rFonts w:asciiTheme="minorHAnsi" w:eastAsia="Times New Roman" w:hAnsiTheme="minorHAnsi"/>
        </w:rPr>
        <w:t>late</w:t>
      </w:r>
      <w:r w:rsidR="00CD0C02" w:rsidRPr="0018491F">
        <w:rPr>
          <w:rFonts w:asciiTheme="minorHAnsi" w:eastAsia="Times New Roman" w:hAnsiTheme="minorHAnsi"/>
        </w:rPr>
        <w:t xml:space="preserve"> ABMR</w:t>
      </w:r>
      <w:r w:rsidRPr="00CD0C02">
        <w:rPr>
          <w:rFonts w:asciiTheme="minorHAnsi" w:eastAsia="Times New Roman" w:hAnsiTheme="minorHAnsi"/>
        </w:rPr>
        <w:t xml:space="preserve">. The median time from transplantation to trial inclusion was 9 years, and 68% of participants had </w:t>
      </w:r>
      <w:r w:rsidRPr="0018491F">
        <w:rPr>
          <w:rFonts w:asciiTheme="minorHAnsi" w:eastAsia="Times New Roman" w:hAnsiTheme="minorHAnsi"/>
        </w:rPr>
        <w:t>chronic-active A</w:t>
      </w:r>
      <w:r w:rsidR="00CD0C02" w:rsidRPr="0018491F">
        <w:rPr>
          <w:rFonts w:asciiTheme="minorHAnsi" w:eastAsia="Times New Roman" w:hAnsiTheme="minorHAnsi"/>
        </w:rPr>
        <w:t>B</w:t>
      </w:r>
      <w:r w:rsidRPr="0018491F">
        <w:rPr>
          <w:rFonts w:asciiTheme="minorHAnsi" w:eastAsia="Times New Roman" w:hAnsiTheme="minorHAnsi"/>
        </w:rPr>
        <w:t>MR</w:t>
      </w:r>
      <w:r w:rsidRPr="00CD0C02">
        <w:rPr>
          <w:rFonts w:asciiTheme="minorHAnsi" w:eastAsia="Times New Roman" w:hAnsiTheme="minorHAnsi"/>
        </w:rPr>
        <w:t xml:space="preserve">. By </w:t>
      </w:r>
      <w:r w:rsidRPr="0018491F">
        <w:rPr>
          <w:rFonts w:asciiTheme="minorHAnsi" w:eastAsia="Times New Roman" w:hAnsiTheme="minorHAnsi"/>
        </w:rPr>
        <w:t>week 24</w:t>
      </w:r>
      <w:r w:rsidRPr="00CD0C02">
        <w:rPr>
          <w:rFonts w:asciiTheme="minorHAnsi" w:eastAsia="Times New Roman" w:hAnsiTheme="minorHAnsi"/>
        </w:rPr>
        <w:t xml:space="preserve">, 82% (9 of 11) of patients receiving </w:t>
      </w:r>
      <w:proofErr w:type="spellStart"/>
      <w:r w:rsidRPr="00CD0C02">
        <w:rPr>
          <w:rFonts w:asciiTheme="minorHAnsi" w:eastAsia="Times New Roman" w:hAnsiTheme="minorHAnsi"/>
        </w:rPr>
        <w:t>felzartamab</w:t>
      </w:r>
      <w:proofErr w:type="spellEnd"/>
      <w:r w:rsidRPr="00CD0C02">
        <w:rPr>
          <w:rFonts w:asciiTheme="minorHAnsi" w:eastAsia="Times New Roman" w:hAnsiTheme="minorHAnsi"/>
        </w:rPr>
        <w:t xml:space="preserve"> showed </w:t>
      </w:r>
      <w:r w:rsidRPr="0018491F">
        <w:rPr>
          <w:rFonts w:asciiTheme="minorHAnsi" w:eastAsia="Times New Roman" w:hAnsiTheme="minorHAnsi"/>
        </w:rPr>
        <w:t>resolution of A</w:t>
      </w:r>
      <w:r w:rsidR="00CD0C02" w:rsidRPr="0018491F">
        <w:rPr>
          <w:rFonts w:asciiTheme="minorHAnsi" w:eastAsia="Times New Roman" w:hAnsiTheme="minorHAnsi"/>
        </w:rPr>
        <w:t>B</w:t>
      </w:r>
      <w:r w:rsidRPr="0018491F">
        <w:rPr>
          <w:rFonts w:asciiTheme="minorHAnsi" w:eastAsia="Times New Roman" w:hAnsiTheme="minorHAnsi"/>
        </w:rPr>
        <w:t>MR on biopsy</w:t>
      </w:r>
      <w:r w:rsidRPr="00CD0C02">
        <w:rPr>
          <w:rFonts w:asciiTheme="minorHAnsi" w:eastAsia="Times New Roman" w:hAnsiTheme="minorHAnsi"/>
        </w:rPr>
        <w:t xml:space="preserve">, accompanied by reductions in </w:t>
      </w:r>
      <w:r w:rsidR="0076463C">
        <w:rPr>
          <w:rFonts w:asciiTheme="minorHAnsi" w:eastAsia="Times New Roman" w:hAnsiTheme="minorHAnsi"/>
        </w:rPr>
        <w:t>MVI</w:t>
      </w:r>
      <w:r w:rsidRPr="00CD0C02">
        <w:rPr>
          <w:rFonts w:asciiTheme="minorHAnsi" w:eastAsia="Times New Roman" w:hAnsiTheme="minorHAnsi"/>
        </w:rPr>
        <w:t xml:space="preserve"> and transcript scores; however, A</w:t>
      </w:r>
      <w:r w:rsidR="00CD0C02" w:rsidRPr="00CD0C02">
        <w:rPr>
          <w:rFonts w:asciiTheme="minorHAnsi" w:eastAsia="Times New Roman" w:hAnsiTheme="minorHAnsi"/>
        </w:rPr>
        <w:t>B</w:t>
      </w:r>
      <w:r w:rsidRPr="00CD0C02">
        <w:rPr>
          <w:rFonts w:asciiTheme="minorHAnsi" w:eastAsia="Times New Roman" w:hAnsiTheme="minorHAnsi"/>
        </w:rPr>
        <w:t xml:space="preserve">MR recurred in three patients by </w:t>
      </w:r>
      <w:r w:rsidRPr="0018491F">
        <w:rPr>
          <w:rFonts w:asciiTheme="minorHAnsi" w:eastAsia="Times New Roman" w:hAnsiTheme="minorHAnsi"/>
        </w:rPr>
        <w:t>week 52</w:t>
      </w:r>
      <w:r w:rsidRPr="00CD0C02">
        <w:rPr>
          <w:rFonts w:asciiTheme="minorHAnsi" w:eastAsia="Times New Roman" w:hAnsiTheme="minorHAnsi"/>
        </w:rPr>
        <w:t xml:space="preserve">. Importantly, this study provided evidence for the involvement of </w:t>
      </w:r>
      <w:r w:rsidR="0076463C">
        <w:rPr>
          <w:rFonts w:asciiTheme="minorHAnsi" w:eastAsia="Times New Roman" w:hAnsiTheme="minorHAnsi"/>
        </w:rPr>
        <w:t>Natural Killer (</w:t>
      </w:r>
      <w:r w:rsidRPr="0018491F">
        <w:rPr>
          <w:rFonts w:asciiTheme="minorHAnsi" w:eastAsia="Times New Roman" w:hAnsiTheme="minorHAnsi"/>
        </w:rPr>
        <w:t>NK</w:t>
      </w:r>
      <w:r w:rsidR="0076463C">
        <w:rPr>
          <w:rFonts w:asciiTheme="minorHAnsi" w:eastAsia="Times New Roman" w:hAnsiTheme="minorHAnsi"/>
        </w:rPr>
        <w:t>)</w:t>
      </w:r>
      <w:r w:rsidRPr="0018491F">
        <w:rPr>
          <w:rFonts w:asciiTheme="minorHAnsi" w:eastAsia="Times New Roman" w:hAnsiTheme="minorHAnsi"/>
        </w:rPr>
        <w:t xml:space="preserve"> cells</w:t>
      </w:r>
      <w:r w:rsidRPr="00CD0C02">
        <w:rPr>
          <w:rFonts w:asciiTheme="minorHAnsi" w:eastAsia="Times New Roman" w:hAnsiTheme="minorHAnsi"/>
        </w:rPr>
        <w:t xml:space="preserve"> in A</w:t>
      </w:r>
      <w:r w:rsidR="00CD0C02" w:rsidRPr="00CD0C02">
        <w:rPr>
          <w:rFonts w:asciiTheme="minorHAnsi" w:eastAsia="Times New Roman" w:hAnsiTheme="minorHAnsi"/>
        </w:rPr>
        <w:t>B</w:t>
      </w:r>
      <w:r w:rsidRPr="00CD0C02">
        <w:rPr>
          <w:rFonts w:asciiTheme="minorHAnsi" w:eastAsia="Times New Roman" w:hAnsiTheme="minorHAnsi"/>
        </w:rPr>
        <w:t xml:space="preserve">MR pathogenesis, suggesting that modulating their activity may </w:t>
      </w:r>
      <w:r w:rsidRPr="00CD0C02">
        <w:rPr>
          <w:rFonts w:asciiTheme="minorHAnsi" w:eastAsia="Times New Roman" w:hAnsiTheme="minorHAnsi"/>
        </w:rPr>
        <w:lastRenderedPageBreak/>
        <w:t>represent a potential therapeutic target</w:t>
      </w:r>
      <w:r w:rsidR="00CE2429">
        <w:rPr>
          <w:rFonts w:asciiTheme="minorHAnsi" w:eastAsia="Times New Roman" w:hAnsiTheme="minorHAnsi"/>
        </w:rPr>
        <w:fldChar w:fldCharType="begin"/>
      </w:r>
      <w:r w:rsidR="006528EA">
        <w:rPr>
          <w:rFonts w:asciiTheme="minorHAnsi" w:eastAsia="Times New Roman" w:hAnsiTheme="minorHAnsi"/>
        </w:rPr>
        <w:instrText xml:space="preserve"> ADDIN ZOTERO_ITEM CSL_CITATION {"citationID":"Yd7hT3T7","properties":{"formattedCitation":"\\super 144\\nosupersub{}","plainCitation":"144","noteIndex":0},"citationItems":[{"id":20123,"uris":["http://zotero.org/users/3444308/items/VQY9VBYX"],"itemData":{"id":20123,"type":"article-journal","abstract":"BACKGROUND: Antibody-mediated rejection is a leading cause of kidney-transplant failure. The targeting of CD38 to inhibit graft injury caused by alloantibodies and natural killer (NK) cells may be a therapeutic option.\nMETHODS: In this phase 2, double-blind, randomized, placebo-controlled trial, we assigned patients with antibody-mediated rejection that had occurred at least 180 days after transplantation to receive nine infusions of the CD38 monoclonal antibody felzartamab (at a dose of 16 mg per kilogram of body weight) or placebo for 6 months, followed by a 6-month observation period. The primary outcome was the safety and side-effect profile of felzartamab. Key secondary outcomes were renal-biopsy results at 24 and 52 weeks, donor-specific antibody levels, peripheral NK-cell counts, and donor-derived cell-free DNA levels.\nRESULTS: A total of 22 patients underwent randomization (11 to receive felzartamab and 11 to receive placebo). The median time from transplantation until trial inclusion was 9 years. Mild or moderate infusion reactions occurred in 8 patients in the felzartamab group. Serious adverse events occurred in 1 patient in the felzartamab group and in 4 patients in the placebo group; graft loss occurred in 1 patient in the placebo group. At week 24, resolution of morphologic antibody-mediated rejection was more frequent with felzartamab (in 9 of 11 patients [82%]) than with placebo (in 2 of 10 patients [20%]), for a difference of 62 percentage points (95% confidence interval [CI], 19 to 100) and a risk ratio of 0.23 (95% confidence interval [CI], 0.06 to 0.83). The median microvascular inflammation score was lower in the felzartamab group than in the placebo group (0 vs. 2.5), for a mean difference of -1.95 (95% CI, -2.97 to -0.92). Also lower was a molecular score reflecting the probability of antibody-mediated rejection (0.17 vs. 0.77) and the level of donor-derived cell-free DNA (0.31% vs. 0.82%). At week 52, the recurrence of antibody-mediated rejection was reported in 3 of 9 patients who had a response to felzartamab, with an increase in molecular activity and biomarker levels toward baseline levels.\nCONCLUSIONS: Felzartamab had acceptable safety and side-effect profiles in patients with antibody-mediated rejection. (Funded by MorphoSys and Human Immunology Biosciences; ClinicalTrials.gov number, NCT05021484; and EUDRACT number, 2021-000545-40.).","container-title":"The New England Journal of Medicine","DOI":"10.1056/NEJMoa2400763","ISSN":"1533-4406","issue":"2","journalAbbreviation":"N Engl J Med","language":"eng","note":"PMID: 38804514","page":"122-132","source":"PubMed","title":"A Randomized Phase 2 Trial of Felzartamab in Antibody-Mediated Rejection","volume":"391","author":[{"family":"Mayer","given":"Katharina A."},{"family":"Schrezenmeier","given":"Eva"},{"family":"Diebold","given":"Matthias"},{"family":"Halloran","given":"Philip F."},{"family":"Schatzl","given":"Martina"},{"family":"Schranz","given":"Sabine"},{"family":"Haindl","given":"Susanne"},{"family":"Kasbohm","given":"Silke"},{"family":"Kainz","given":"Alexander"},{"family":"Eskandary","given":"Farsad"},{"family":"Doberer","given":"Konstantin"},{"family":"Patel","given":"Uptal D."},{"family":"Dudani","given":"Jaideep S."},{"family":"Regele","given":"Heinz"},{"family":"Kozakowski","given":"Nicolas"},{"family":"Kläger","given":"Johannes"},{"family":"Boxhammer","given":"Rainer"},{"family":"Amann","given":"Kerstin"},{"family":"Puchhammer-Stöckl","given":"Elisabeth"},{"family":"Vietzen","given":"Hannes"},{"family":"Beck","given":"Julia"},{"family":"Schütz","given":"Ekkehard"},{"family":"Akifova","given":"Aylin"},{"family":"Firbas","given":"Christa"},{"family":"Gilbert","given":"Houston N."},{"family":"Osmanodja","given":"Bilgin"},{"family":"Halleck","given":"Fabian"},{"family":"Jilma","given":"Bernd"},{"family":"Budde","given":"Klemens"},{"family":"Böhmig","given":"Georg A."}],"issued":{"date-parts":[["2024",7,11]]}}}],"schema":"https://github.com/citation-style-language/schema/raw/master/csl-citation.json"} </w:instrText>
      </w:r>
      <w:r w:rsidR="00CE2429">
        <w:rPr>
          <w:rFonts w:asciiTheme="minorHAnsi" w:eastAsia="Times New Roman" w:hAnsiTheme="minorHAnsi"/>
        </w:rPr>
        <w:fldChar w:fldCharType="separate"/>
      </w:r>
      <w:r w:rsidR="00CE2429" w:rsidRPr="00CE2429">
        <w:rPr>
          <w:rFonts w:ascii="Aptos" w:hAnsi="Aptos"/>
          <w:vertAlign w:val="superscript"/>
        </w:rPr>
        <w:t>144</w:t>
      </w:r>
      <w:r w:rsidR="00CE2429">
        <w:rPr>
          <w:rFonts w:asciiTheme="minorHAnsi" w:eastAsia="Times New Roman" w:hAnsiTheme="minorHAnsi"/>
        </w:rPr>
        <w:fldChar w:fldCharType="end"/>
      </w:r>
      <w:r w:rsidR="00F66A5D" w:rsidRPr="00CD0C02">
        <w:rPr>
          <w:rFonts w:asciiTheme="minorHAnsi" w:eastAsia="Times New Roman" w:hAnsiTheme="minorHAnsi"/>
        </w:rPr>
        <w:t xml:space="preserve">. </w:t>
      </w:r>
      <w:r w:rsidRPr="00CD0C02">
        <w:rPr>
          <w:rFonts w:asciiTheme="minorHAnsi" w:eastAsia="Times New Roman" w:hAnsiTheme="minorHAnsi"/>
        </w:rPr>
        <w:t>Further studies are needed before any formal recommendations can be made.</w:t>
      </w:r>
      <w:r w:rsidR="00162471" w:rsidRPr="00CD0C02">
        <w:rPr>
          <w:rFonts w:asciiTheme="minorHAnsi" w:eastAsia="Times New Roman" w:hAnsiTheme="minorHAnsi"/>
        </w:rPr>
        <w:t xml:space="preserve"> </w:t>
      </w:r>
      <w:r w:rsidR="00ED6CD4" w:rsidRPr="00CD0C02">
        <w:rPr>
          <w:rFonts w:asciiTheme="minorHAnsi" w:hAnsiTheme="minorHAnsi"/>
        </w:rPr>
        <w:t>The</w:t>
      </w:r>
      <w:r w:rsidR="00ED6CD4" w:rsidRPr="00162471">
        <w:rPr>
          <w:rFonts w:asciiTheme="minorHAnsi" w:hAnsiTheme="minorHAnsi"/>
        </w:rPr>
        <w:t xml:space="preserve"> most recent Transplant Society Working Group consensus statement suggests optimisation of immunosuppression and supportive care through blood pressure and glucose control </w:t>
      </w:r>
      <w:r w:rsidR="00ED6CD4" w:rsidRPr="00162471">
        <w:rPr>
          <w:rFonts w:asciiTheme="minorHAnsi" w:hAnsiTheme="minorHAnsi"/>
        </w:rPr>
        <w:fldChar w:fldCharType="begin"/>
      </w:r>
      <w:r w:rsidR="006528EA">
        <w:rPr>
          <w:rFonts w:asciiTheme="minorHAnsi" w:hAnsiTheme="minorHAnsi"/>
        </w:rPr>
        <w:instrText xml:space="preserve"> ADDIN ZOTERO_ITEM CSL_CITATION {"citationID":"Zcb02bec","properties":{"formattedCitation":"\\super 99\\nosupersub{}","plainCitation":"99","noteIndex":0},"citationItems":[{"id":19067,"uris":["http://zotero.org/users/3444308/items/INTNM73U"],"itemData":{"id":19067,"type":"article-journal","abstract":"With the development of modern solid-phase assays to detect anti-HLA antibodies and a more precise histological classification, the diagnosis of antibody-mediated rejection (AMR) has become more common and is a major cause of kidney graft loss. Currently, there are no approved therapies and treatment guidelines are based on low-level evidence. The number of prospective randomized trials for the treatment of AMR is small, and the lack of an accepted common standard for care has been an impediment to the development of new therapies. To help alleviate this, The Transplantation Society convened a meeting of international experts to develop a consensus as to what is appropriate treatment for active and chronic active AMR. The aim was to reach a consensus for standard of care treatment against which new therapies could be evaluated. At the meeting, the underlying biology of AMR, the criteria for diagnosis, the clinical phenotypes, and outcomes were discussed. The evidence for different treatments was reviewed, and a consensus for what is acceptable standard of care for the treatment of active and chronic active AMR was presented. While it was agreed that the aims of treatment are to preserve renal function, reduce histological injury, and reduce the titer of donor-specific antibody, there was no conclusive evidence to support any specific therapy. As a result, the treatment recommendations are largely based on expert opinion. It is acknowledged that properly conducted and powered clinical trials of biologically plausible agents are urgently needed to improve patient outcomes.","container-title":"Transplantation","DOI":"10.1097/TP.0000000000003095","ISSN":"1534-6080","issue":"5","journalAbbreviation":"Transplantation","language":"eng","note":"PMID: 31895348\nPMCID: PMC7176344","page":"911-922","source":"PubMed","title":"Recommended Treatment for Antibody-mediated Rejection After Kidney Transplantation: The 2019 Expert Consensus From the Transplantion Society Working Group","title-short":"Recommended Treatment for Antibody-mediated Rejection After Kidney Transplantation","volume":"104","author":[{"family":"Schinstock","given":"Carrie A."},{"family":"Mannon","given":"Roslyn B."},{"family":"Budde","given":"Klemens"},{"family":"Chong","given":"Anita S."},{"family":"Haas","given":"Mark"},{"family":"Knechtle","given":"Stuart"},{"family":"Lefaucheur","given":"Carmen"},{"family":"Montgomery","given":"Robert A."},{"family":"Nickerson","given":"Peter"},{"family":"Tullius","given":"Stefan G."},{"family":"Ahn","given":"Curie"},{"family":"Askar","given":"Medhat"},{"family":"Crespo","given":"Marta"},{"family":"Chadban","given":"Steven J."},{"family":"Feng","given":"Sandy"},{"family":"Jordan","given":"Stanley C."},{"family":"Man","given":"Kwan"},{"family":"Mengel","given":"Michael"},{"family":"Morris","given":"Randall E."},{"family":"O'Doherty","given":"Inish"},{"family":"Ozdemir","given":"Binnaz H."},{"family":"Seron","given":"Daniel"},{"family":"Tambur","given":"Anat R."},{"family":"Tanabe","given":"Kazunari"},{"family":"Taupin","given":"Jean-Luc"},{"family":"O'Connell","given":"Philip J."}],"issued":{"date-parts":[["2020",5]]}}}],"schema":"https://github.com/citation-style-language/schema/raw/master/csl-citation.json"} </w:instrText>
      </w:r>
      <w:r w:rsidR="00ED6CD4" w:rsidRPr="00162471">
        <w:rPr>
          <w:rFonts w:asciiTheme="minorHAnsi" w:hAnsiTheme="minorHAnsi"/>
        </w:rPr>
        <w:fldChar w:fldCharType="separate"/>
      </w:r>
      <w:r w:rsidR="00A04B9C" w:rsidRPr="00162471">
        <w:rPr>
          <w:rFonts w:asciiTheme="minorHAnsi" w:hAnsiTheme="minorHAnsi" w:cs="Calibri"/>
          <w:vertAlign w:val="superscript"/>
        </w:rPr>
        <w:t>99</w:t>
      </w:r>
      <w:r w:rsidR="00ED6CD4" w:rsidRPr="00162471">
        <w:rPr>
          <w:rFonts w:asciiTheme="minorHAnsi" w:hAnsiTheme="minorHAnsi"/>
        </w:rPr>
        <w:fldChar w:fldCharType="end"/>
      </w:r>
      <w:r w:rsidR="00ED6CD4" w:rsidRPr="00162471">
        <w:rPr>
          <w:rFonts w:asciiTheme="minorHAnsi" w:hAnsiTheme="minorHAnsi"/>
        </w:rPr>
        <w:t>.</w:t>
      </w:r>
    </w:p>
    <w:p w14:paraId="59736C98" w14:textId="287C3F81" w:rsidR="00ED6CD4" w:rsidRPr="00EF7E7C" w:rsidRDefault="00ED6CD4" w:rsidP="00162471">
      <w:pPr>
        <w:jc w:val="both"/>
        <w:rPr>
          <w:color w:val="000000"/>
        </w:rPr>
      </w:pPr>
      <w:r w:rsidRPr="00EF7E7C">
        <w:t xml:space="preserve">There has been a paradigm shift over the last years regarding the prevalence of CNI toxicity in chronic allograft injury. While chronic CNI toxicity is well recognised, studies have shown that most grafts are lost secondary to chronic rejection </w:t>
      </w:r>
      <w:r w:rsidRPr="00EF7E7C">
        <w:fldChar w:fldCharType="begin"/>
      </w:r>
      <w:r w:rsidR="006528EA">
        <w:instrText xml:space="preserve"> ADDIN ZOTERO_ITEM CSL_CITATION {"citationID":"PFZOhYWw","properties":{"formattedCitation":"\\super 145\\nosupersub{}","plainCitation":"145","noteIndex":0},"citationItems":[{"id":19022,"uris":["http://zotero.org/users/3444308/items/WAZUYVIQ"],"itemData":{"id":19022,"type":"article-journal","abstract":"The causes of kidney allograft loss remain unclear. Herein we investigated these causes in 1317 conventional kidney recipients. The cause of graft loss was determined by reviewing clinical and histologic information the latter available in 98% of cases. During 50.3 +/- 32.6 months of follow-up, 330 grafts were lost (25.0%), 138 (10.4%) due to death with function, 39 (2.9%) due to primary nonfunction and 153 (11.6%) due to graft failure censored for death. The latter group was subdivided by cause into: glomerular diseases (n = 56, 36.6%); fibrosis/atrophy (n = 47, 30.7%); medical/surgical conditions (n = 25, 16.3%); acute rejection (n = 18, 11.8%); and unclassifiable (n = 7, 4.6%). Glomerular pathologies leading to failure included recurrent disease (n = 23), transplant glomerulopathy (n = 23) and presumed nonrecurrent disease (n = 10). In cases with fibrosis/atrophy a specific cause(s) was identified in 81% and it was rarely attributable to calcineurin inhibitor (CNI) toxicity alone (n = 1, 0.7%). Contrary to current concepts, most cases of kidney graft loss have an identifiable cause that is not idiopathic fibrosis/atrophy or CNI toxicity. Glomerular pathologies cause the largest proportion of graft loss and alloinmunity remains the most common mechanism leading to failure. This study identifies targets for investigation and intervention that may result in improved kidney transplantation outcomes.","container-title":"American Journal of Transplantation: Official Journal of the American Society of Transplantation and the American Society of Transplant Surgeons","DOI":"10.1111/j.1600-6143.2008.02519.x","ISSN":"1600-6143","issue":"3","journalAbbreviation":"Am J Transplant","language":"eng","note":"PMID: 19191769","page":"527-535","source":"PubMed","title":"Identifying specific causes of kidney allograft loss","volume":"9","author":[{"family":"El-Zoghby","given":"Z. M."},{"family":"Stegall","given":"M. D."},{"family":"Lager","given":"D. J."},{"family":"Kremers","given":"W. K."},{"family":"Amer","given":"H."},{"family":"Gloor","given":"J. M."},{"family":"Cosio","given":"F. G."}],"issued":{"date-parts":[["2009",3]]}}}],"schema":"https://github.com/citation-style-language/schema/raw/master/csl-citation.json"} </w:instrText>
      </w:r>
      <w:r w:rsidRPr="00EF7E7C">
        <w:fldChar w:fldCharType="separate"/>
      </w:r>
      <w:r w:rsidR="00CE2429" w:rsidRPr="00CE2429">
        <w:rPr>
          <w:rFonts w:ascii="Aptos" w:hAnsi="Aptos" w:cs="Times New Roman"/>
          <w:vertAlign w:val="superscript"/>
        </w:rPr>
        <w:t>145</w:t>
      </w:r>
      <w:r w:rsidRPr="00EF7E7C">
        <w:fldChar w:fldCharType="end"/>
      </w:r>
      <w:r w:rsidRPr="00EF7E7C">
        <w:t xml:space="preserve">. Reduction of immunosuppression in this context can worsen the trajectory of graft function loss. Various CNI sparing protocols have been investigated and trialled in the past. However, most were associated with an increased risk of biopsy-proven rejection </w:t>
      </w:r>
      <w:r w:rsidRPr="00EF7E7C">
        <w:fldChar w:fldCharType="begin"/>
      </w:r>
      <w:r w:rsidR="006528EA">
        <w:instrText xml:space="preserve"> ADDIN ZOTERO_ITEM CSL_CITATION {"citationID":"Bn2uVndm","properties":{"formattedCitation":"\\super 146\\nosupersub{}","plainCitation":"146","noteIndex":0},"citationItems":[{"id":19021,"uris":["http://zotero.org/users/3444308/items/EDHAJET8"],"itemData":{"id":19021,"type":"article-journal","abstract":"The introduction of the calcineurin inhibitors cyclosporine and tacrolimus in the immunosuppressive regimens for kidney transplant has been associated with substantial reductions in the incidence of acute rejection, with a subsequent improvement in 1-year graft survival. However, this has not directly correlated with improvements in long-term allograft survival. Immunosuppressive medications are associated with toxicities related directly to immunosuppressive effects, and these are similar among different agents. In addition, there are other toxicities that are unique for each drug. Immunosuppressive minimization strategies have attempted to address both of these toxicities. Calcineurin inhibitors have been associated with chronic nephrotoxicity, and various calcineurin inhibitor-sparing strategies have been used to address this issue with the aim of improving long-term outcomes. However, there has been a paradigm shift over the past 10 to 15 years, with the appreciation that calcineurin inhibitor nephrotoxicity is not the major cause of late graft failure. Studies have now shown that chronic immune injury mediated by donor-specific antibodies may account for most late graft losses. Although some patients do benefit from calcineurin inhibitor-sparing approaches, others may have late allograft loss from chronic and subacute immune-mediated injury. Unfortunately, the vast majority of calcineurin inhibitor-sparing studies have short-term follow-up and have not explored the change in the donor-specific antibody profile. One of the biggest challenges that we face is being able to distinguish among patients who will benefit from this strategy and those who will not. In this study, we review the various strategies used to limit or avoid the use of calcineurin inhibitors and address the benefits and pitfalls associated in pursuing such strategies.","container-title":"Experimental and Clinical Transplantation: Official Journal of the Middle East Society for Organ Transplantation","DOI":"10.6002/ect.2015.0283","ISSN":"2146-8427","issue":"5","journalAbbreviation":"Exp Clin Transplant","language":"eng","note":"PMID: 27213490","page":"471-483","source":"PubMed","title":"Calcineurin Inhibitor-Sparing Strategies in Renal Transplantation: Where Are We? A Comprehensive Review of the Current Evidence","title-short":"Calcineurin Inhibitor-Sparing Strategies in Renal Transplantation","volume":"14","author":[{"family":"Camilleri","given":"Brian"},{"family":"Bridson","given":"Julie M."},{"family":"Halawa","given":"Ahmed"}],"issued":{"date-parts":[["2016",10]]}}}],"schema":"https://github.com/citation-style-language/schema/raw/master/csl-citation.json"} </w:instrText>
      </w:r>
      <w:r w:rsidRPr="00EF7E7C">
        <w:fldChar w:fldCharType="separate"/>
      </w:r>
      <w:r w:rsidR="00CE2429" w:rsidRPr="00CE2429">
        <w:rPr>
          <w:rFonts w:ascii="Aptos" w:hAnsi="Aptos" w:cs="Times New Roman"/>
          <w:vertAlign w:val="superscript"/>
        </w:rPr>
        <w:t>146</w:t>
      </w:r>
      <w:r w:rsidRPr="00EF7E7C">
        <w:fldChar w:fldCharType="end"/>
      </w:r>
      <w:r w:rsidRPr="00EF7E7C">
        <w:t>.</w:t>
      </w:r>
      <w:r w:rsidRPr="00EF7E7C">
        <w:rPr>
          <w:color w:val="000000"/>
        </w:rPr>
        <w:t xml:space="preserve"> </w:t>
      </w:r>
      <w:r w:rsidRPr="00EF7E7C">
        <w:t xml:space="preserve">In the BENEFIT and BENEFIT- EXT trials, de novo use of </w:t>
      </w:r>
      <w:proofErr w:type="spellStart"/>
      <w:r w:rsidRPr="00EF7E7C">
        <w:t>belatacept</w:t>
      </w:r>
      <w:proofErr w:type="spellEnd"/>
      <w:r w:rsidRPr="00EF7E7C">
        <w:t xml:space="preserve"> was associated with a higher risk of acute rejection compared to ciclosporin. However, long-term data show comparable outcomes to cyclosporin, with sustained improvement in eGFR levels noted in the </w:t>
      </w:r>
      <w:proofErr w:type="spellStart"/>
      <w:r w:rsidRPr="00EF7E7C">
        <w:t>belatacept</w:t>
      </w:r>
      <w:proofErr w:type="spellEnd"/>
      <w:r w:rsidRPr="00EF7E7C">
        <w:t xml:space="preserve"> group. Moreover, patients on </w:t>
      </w:r>
      <w:proofErr w:type="spellStart"/>
      <w:r w:rsidRPr="00EF7E7C">
        <w:t>belatacept</w:t>
      </w:r>
      <w:proofErr w:type="spellEnd"/>
      <w:r w:rsidRPr="00EF7E7C">
        <w:t xml:space="preserve"> had a significantly lower incidence of </w:t>
      </w:r>
      <w:proofErr w:type="spellStart"/>
      <w:r w:rsidRPr="00EF7E7C">
        <w:t>dnDSA</w:t>
      </w:r>
      <w:proofErr w:type="spellEnd"/>
      <w:r w:rsidRPr="00EF7E7C">
        <w:t xml:space="preserve"> than those on ciclosporin </w:t>
      </w:r>
      <w:r w:rsidRPr="00EF7E7C">
        <w:fldChar w:fldCharType="begin"/>
      </w:r>
      <w:r w:rsidR="006528EA">
        <w:instrText xml:space="preserve"> ADDIN ZOTERO_ITEM CSL_CITATION {"citationID":"rWieSk9w","properties":{"formattedCitation":"\\super 56,147\\nosupersub{}","plainCitation":"56,147","noteIndex":0},"citationItems":[{"id":19018,"uris":["http://zotero.org/users/3444308/items/R627F8QH"],"itemData":{"id":19018,"type":"article-journal","abstract":"In the Belatacept Evaluation of Nephroprotection and Efficacy as First-Line Immunosuppression Trial-Extended Criteria Donors (BENEFIT-EXT), extended criteria donor kidney recipients were randomized to receive belatacept-based (more intense [MI] or less intense [LI]) or cyclosporine-based immunosuppression. In prior analyses, belatacept was associated with significantly better renal function compared with cyclosporine. In this prospective analysis of the intent-to-treat population, efficacy and safety were compared across regimens at 7 years after transplant. Overall, 128 of 184 belatacept MI-treated, 138 of 175 belatacept LI-treated and 108 of 184 cyclosporine-treated patients contributed data to these analyses. Hazard ratios (HRs) comparing time to death or graft loss were 0.915 (95% confidence interval [CI] 0.625-1.339; p = 0.65) for belatacept MI versus cyclosporine and 0.927 (95% CI 0.634-1.356; p = 0.70) for belatacept LI versus cyclosporine. Mean estimated GFR (eGFR) plus or minus standard error at 7 years was 53.9 ± 1.9, 54.2 ± 1.9, and 35.3 ± 2.0 mL/min per 1.73 m2 for belatacept MI, belatacept LI and cyclosporine, respectively (p &lt; 0.001 for overall treatment effect). HRs comparing freedom from death, graft loss or eGFR &lt;20 mL/min per 1.73 m2 were 0.754 (95% CI 0.536-1.061; p = 0.10) for belatacept MI versus cyclosporine and 0.706 (95% CI 0.499-0.998; p = 0.05) for belatacept LI versus cyclosporine. Acute rejection rates and safety profiles of belatacept- and cyclosporine-based treatment were similar. De novo donor-specific antibody incidence was lower for belatacept (p ≤ 0.0001). Relative to cyclosporine, belatacept was associated with similar death and graft loss and improved renal function at 7 years after transplant and had a safety profile consistent with previous reports.","container-title":"American Journal of Transplantation: Official Journal of the American Society of Transplantation and the American Society of Transplant Surgeons","DOI":"10.1111/ajt.13830","ISSN":"1600-6143","issue":"11","journalAbbreviation":"Am J Transplant","language":"eng","note":"PMID: 27130868\nPMCID: PMC5516151","page":"3192-3201","source":"PubMed","title":"Long-Term Outcomes in Belatacept- Versus Cyclosporine-Treated Recipients of Extended Criteria Donor Kidneys: Final Results From BENEFIT-EXT, a Phase III Randomized Study","title-short":"Long-Term Outcomes in Belatacept- Versus Cyclosporine-Treated Recipients of Extended Criteria Donor Kidneys","volume":"16","author":[{"family":"Durrbach","given":"A."},{"family":"Pestana","given":"J. M."},{"family":"Florman","given":"S."},{"family":"Del Carmen Rial","given":"M."},{"family":"Rostaing","given":"L."},{"family":"Kuypers","given":"D."},{"family":"Matas","given":"A."},{"family":"Wekerle","given":"T."},{"family":"Polinsky","given":"M."},{"family":"Meier-Kriesche","given":"H. U."},{"family":"Munier","given":"S."},{"family":"Grinyó","given":"J. M."}],"issued":{"date-parts":[["2016",11]]}}},{"id":19020,"uris":["http://zotero.org/users/3444308/items/WFPZH6XS"],"itemData":{"id":19020,"type":"article-journal","abstract":"BACKGROUND: In previous analyses of BENEFIT, a phase 3 study, belatacept-based immunosuppression, as compared with cyclosporine-based immunosuppression, was associated with similar patient and graft survival and significantly improved renal function in kidney-transplant recipients. Here we present the final results from this study.\nMETHODS: We randomly assigned kidney-transplant recipients to a more-intensive belatacept regimen, a less-intensive belatacept regimen, or a cyclosporine regimen. Efficacy and safety outcomes for all patients who underwent randomization and transplantation were analyzed at year 7 (month 84).\nRESULTS: A total of 666 participants were randomly assigned to a study group and underwent transplantation. Of the 660 patients who were treated, 153 of the 219 patients treated with the more-intensive belatacept regimen, 163 of the 226 treated with the less-intensive belatacept regimen, and 131 of the 215 treated with the cyclosporine regimen were followed for the full 84-month period; all available data were used in the analysis. A 43% reduction in the risk of death or graft loss was observed for both the more-intensive and the less-intensive belatacept regimens as compared with the cyclosporine regimen (hazard ratio with the more-intensive regimen, 0.57; 95% confidence interval [CI], 0.35 to 0.95; P=0.02; hazard ratio with the less-intensive regimen, 0.57; 95% CI, 0.35 to 0.94; P=0.02), with equal contributions from the lower rates of death and graft loss. The mean estimated glomerular filtration rate (eGFR) increased over the 7-year period with both belatacept regimens but declined with the cyclosporine regimen. The cumulative frequencies of serious adverse events at month 84 were similar across treatment groups.\nCONCLUSIONS: Seven years after transplantation, patient and graft survival and the mean eGFR were significantly higher with belatacept (both the more-intensive regimen and the less-intensive regimen) than with cyclosporine. (Funded by Bristol-Myers Squibb; ClinicalTrials.gov number, NCT00256750.).","container-title":"The New England Journal of Medicine","DOI":"10.1056/NEJMoa1506027","ISSN":"1533-4406","issue":"4","journalAbbreviation":"N Engl J Med","language":"eng","note":"PMID: 26816011","page":"333-343","source":"PubMed","title":"Belatacept and Long-Term Outcomes in Kidney Transplantation","volume":"374","author":[{"family":"Vincenti","given":"Flavio"},{"family":"Rostaing","given":"Lionel"},{"family":"Grinyo","given":"Joseph"},{"family":"Rice","given":"Kim"},{"family":"Steinberg","given":"Steven"},{"family":"Gaite","given":"Luis"},{"family":"Moal","given":"Marie-Christine"},{"family":"Mondragon-Ramirez","given":"Guillermo A."},{"family":"Kothari","given":"Jatin"},{"family":"Polinsky","given":"Martin S."},{"family":"Meier-Kriesche","given":"Herwig-Ulf"},{"family":"Munier","given":"Stephane"},{"family":"Larsen","given":"Christian P."}],"issued":{"date-parts":[["2016",1,28]]}}}],"schema":"https://github.com/citation-style-language/schema/raw/master/csl-citation.json"} </w:instrText>
      </w:r>
      <w:r w:rsidRPr="00EF7E7C">
        <w:fldChar w:fldCharType="separate"/>
      </w:r>
      <w:r w:rsidR="00CE2429" w:rsidRPr="00CE2429">
        <w:rPr>
          <w:rFonts w:ascii="Aptos" w:hAnsi="Aptos" w:cs="Times New Roman"/>
          <w:vertAlign w:val="superscript"/>
        </w:rPr>
        <w:t>56,147</w:t>
      </w:r>
      <w:r w:rsidRPr="00EF7E7C">
        <w:fldChar w:fldCharType="end"/>
      </w:r>
      <w:r w:rsidRPr="00EF7E7C">
        <w:t>.</w:t>
      </w:r>
      <w:r w:rsidRPr="00EF7E7C">
        <w:rPr>
          <w:color w:val="000000"/>
        </w:rPr>
        <w:t xml:space="preserve"> In another trial, switching from CNI to </w:t>
      </w:r>
      <w:proofErr w:type="spellStart"/>
      <w:r w:rsidRPr="00EF7E7C">
        <w:rPr>
          <w:color w:val="000000"/>
        </w:rPr>
        <w:t>belatacept</w:t>
      </w:r>
      <w:proofErr w:type="spellEnd"/>
      <w:r w:rsidRPr="00EF7E7C">
        <w:rPr>
          <w:color w:val="000000"/>
        </w:rPr>
        <w:t xml:space="preserve"> in low immunological risk transplants was also associated with a numerically higher risk of acute rejection, however, graft outcomes at 3 years seem to be comparable, with improved eGFR in the </w:t>
      </w:r>
      <w:proofErr w:type="spellStart"/>
      <w:r w:rsidRPr="00EF7E7C">
        <w:rPr>
          <w:color w:val="000000"/>
        </w:rPr>
        <w:t>belatacept</w:t>
      </w:r>
      <w:proofErr w:type="spellEnd"/>
      <w:r w:rsidRPr="00EF7E7C">
        <w:rPr>
          <w:color w:val="000000"/>
        </w:rPr>
        <w:t xml:space="preserve">-treated group </w:t>
      </w:r>
      <w:r w:rsidRPr="00EF7E7C">
        <w:rPr>
          <w:color w:val="000000"/>
        </w:rPr>
        <w:fldChar w:fldCharType="begin"/>
      </w:r>
      <w:r w:rsidR="006528EA">
        <w:rPr>
          <w:color w:val="000000"/>
        </w:rPr>
        <w:instrText xml:space="preserve"> ADDIN ZOTERO_ITEM CSL_CITATION {"citationID":"QyVV2BJX","properties":{"formattedCitation":"\\super 148\\nosupersub{}","plainCitation":"148","noteIndex":0},"citationItems":[{"id":19009,"uris":["http://zotero.org/users/3444308/items/49MPX6DD"],"itemData":{"id":19009,"type":"article-journal","abstract":"BACKGROUND: In a phase 2 study, kidney transplant recipients of low immunologic risk who switched from a calcineurin inhibitor (CNI) to belatacept had improved kidney function at 12 months postconversion versus those continuing CNI therapy, with a low rate of acute rejection and no transplant loss.\nSTUDY DESIGN: 36-month follow-up of the intention-to-treat population.\nSETTING &amp; PARTICIPANTS: CNI-treated adult kidney transplant recipients with stable transplant function (estimated glomerular filtration rate [eGFR], 35-75mL/min/1.73m2).\nINTERVENTIONS: At 6 to 36 months posttransplantation, patients were randomly assigned to switch to belatacept-based immunosuppression (n=84) or continue CNI-based therapy (n=89).\nOUTCOMES: Safety was the primary outcome. eGFR, acute rejection, transplant loss, and death were also assessed.\nMEASUREMENTS: Treatment exposure-adjusted incidence rates for safety, repeated-measures modeling for eGFR, Kaplan-Meier analyses for efficacy.\nRESULTS: Serious adverse events occurred in 33 (39%) belatacept-treated patients and 36 (40%) patients in the CNI group. Treatment exposure-adjusted incidence rates for serious infections (belatacept vs CNI, 10.21 vs 9.31 per 100 person-years) and malignancies (3.01 vs 3.41 per 100 person-years) were similar. More patients in the belatacept versus CNI group had any-grade viral infections (14.60 vs 11.00 per 100 person-years). No posttransplantation lymphoproliferative disorder was reported. Belatacept-treated patients had a significantly greater estimated gain in mean eGFR (1.90 vs 0.07mL/min/1.73m2 per year; P for time-by-treatment interaction effect = 0.01). The probability of acute rejection was not significantly different for belatacept (8.38% vs 3.60%; HR, 2.50 [95% CI, 0.65-9.65; P=0.2). HR for the comparison of belatacept to the CNI group for time to death or transplant loss was 1.00 (95% CI, 0.14-7.07; P=0.9).\nLIMITATIONS: Exploratory post hoc analysis with a small sample size.\nCONCLUSIONS: Switching patients from a CNI to belatacept may represent a safe approach to immunosuppression and is being further explored in an ongoing phase 3b trial.","container-title":"American Journal of Kidney Diseases: The Official Journal of the National Kidney Foundation","DOI":"10.1053/j.ajkd.2016.09.021","ISSN":"1523-6838","issue":"5","journalAbbreviation":"Am J Kidney Dis","language":"eng","note":"PMID: 27889299","page":"587-594","source":"PubMed","title":"Safety and Efficacy Outcomes 3 Years After Switching to Belatacept From a Calcineurin Inhibitor in Kidney Transplant Recipients: Results From a Phase 2 Randomized Trial","title-short":"Safety and Efficacy Outcomes 3 Years After Switching to Belatacept From a Calcineurin Inhibitor in Kidney Transplant Recipients","volume":"69","author":[{"family":"Grinyó","given":"Josep M."},{"family":"Del Carmen Rial","given":"Maria"},{"family":"Alberu","given":"Josefina"},{"family":"Steinberg","given":"Steven M."},{"family":"Manfro","given":"Roberto C."},{"family":"Nainan","given":"Georgy"},{"family":"Vincenti","given":"Flavio"},{"family":"Jones-Burton","given":"Charlotte"},{"family":"Kamar","given":"Nassim"}],"issued":{"date-parts":[["2017",5]]}}}],"schema":"https://github.com/citation-style-language/schema/raw/master/csl-citation.json"} </w:instrText>
      </w:r>
      <w:r w:rsidRPr="00EF7E7C">
        <w:rPr>
          <w:color w:val="000000"/>
        </w:rPr>
        <w:fldChar w:fldCharType="separate"/>
      </w:r>
      <w:r w:rsidR="00CE2429" w:rsidRPr="00CE2429">
        <w:rPr>
          <w:rFonts w:ascii="Aptos" w:hAnsi="Aptos" w:cs="Times New Roman"/>
          <w:vertAlign w:val="superscript"/>
        </w:rPr>
        <w:t>148</w:t>
      </w:r>
      <w:r w:rsidRPr="00EF7E7C">
        <w:rPr>
          <w:color w:val="000000"/>
        </w:rPr>
        <w:fldChar w:fldCharType="end"/>
      </w:r>
      <w:r w:rsidRPr="00EF7E7C">
        <w:rPr>
          <w:color w:val="000000"/>
        </w:rPr>
        <w:t xml:space="preserve">. In a small observational study, conversion to </w:t>
      </w:r>
      <w:proofErr w:type="spellStart"/>
      <w:r w:rsidRPr="00EF7E7C">
        <w:rPr>
          <w:color w:val="000000"/>
        </w:rPr>
        <w:t>belatacept</w:t>
      </w:r>
      <w:proofErr w:type="spellEnd"/>
      <w:r w:rsidRPr="00EF7E7C">
        <w:rPr>
          <w:color w:val="000000"/>
        </w:rPr>
        <w:t xml:space="preserve"> in high-immunological risk recipients with CNI toxicity appeared safe </w:t>
      </w:r>
      <w:r w:rsidRPr="00EF7E7C">
        <w:rPr>
          <w:color w:val="000000"/>
        </w:rPr>
        <w:fldChar w:fldCharType="begin"/>
      </w:r>
      <w:r w:rsidR="006528EA">
        <w:rPr>
          <w:color w:val="000000"/>
        </w:rPr>
        <w:instrText xml:space="preserve"> ADDIN ZOTERO_ITEM CSL_CITATION {"citationID":"vQv8ooiq","properties":{"formattedCitation":"\\super 149\\nosupersub{}","plainCitation":"149","noteIndex":0},"citationItems":[{"id":19008,"uris":["http://zotero.org/users/3444308/items/5BEEJ9FC"],"itemData":{"id":19008,"type":"article-journal","abstract":"There is no literature on the use of belatacept for sensitized patients or regrafts in kidney transplantation. We present our initial experience in high immunologic risk kidney transplant recipients who were converted from tacrolimus to belatacept for presumed acute calcineurin inhibitor (CNI) toxicity and/or interstitial fibrosis/tubular atrophy. Six (mean age = 40 years) patients were switched from tacrolimus to belatacept at a median of 4 months posttransplant. Renal function improved significantly from a peak mean estimated glomerular filtration rate (eGFR) of 23.8 ± 12.9 mL/min/1.73 m(2) prior to the switch to an eGFR of 42 ± 12.5 mL/min/1.73 m(2) (p = 0.03) at a mean follow-up of 16.5 months postconversion. No new rejection episodes were diagnosed despite a prior history of rejection in 2/6 (33%) patients. Surveillance biopsies performed in 5/6 patients did not show subclinical rejection. No development of donor-specific antibodies (DSA) was noted. In this preliminary investigation, we report improved kidney function without a concurrent increase in risk of rejection and DSA in six sensitized patients converted from tacrolimus to belatacept. Improvement in renal function was noted even in patients with chronic allograft fibrosis without evidence of acute CNI toxicity. Further studies with protocol biopsies are needed to ensure safety and wider applicability of this approach.","container-title":"American Journal of Transplantation: Official Journal of the American Society of Transplantation and the American Society of Transplant Surgeons","DOI":"10.1111/ajt.13322","ISSN":"1600-6143","issue":"10","journalAbbreviation":"Am J Transplant","language":"eng","note":"PMID: 25988397","page":"2726-2731","source":"PubMed","title":"Safe Conversion From Tacrolimus to Belatacept in High Immunologic Risk Kidney Transplant Recipients With Allograft Dysfunction","volume":"15","author":[{"family":"Gupta","given":"G."},{"family":"Regmi","given":"A."},{"family":"Kumar","given":"D."},{"family":"Posner","given":"S."},{"family":"Posner","given":"M. P."},{"family":"Sharma","given":"A."},{"family":"Cotterell","given":"A."},{"family":"Bhati","given":"C. S."},{"family":"Kimball","given":"P."},{"family":"Massey","given":"H. D."},{"family":"King","given":"A. L."}],"issued":{"date-parts":[["2015",10]]}}}],"schema":"https://github.com/citation-style-language/schema/raw/master/csl-citation.json"} </w:instrText>
      </w:r>
      <w:r w:rsidRPr="00EF7E7C">
        <w:rPr>
          <w:color w:val="000000"/>
        </w:rPr>
        <w:fldChar w:fldCharType="separate"/>
      </w:r>
      <w:r w:rsidR="00CE2429" w:rsidRPr="00CE2429">
        <w:rPr>
          <w:rFonts w:ascii="Aptos" w:hAnsi="Aptos" w:cs="Times New Roman"/>
          <w:vertAlign w:val="superscript"/>
        </w:rPr>
        <w:t>149</w:t>
      </w:r>
      <w:r w:rsidRPr="00EF7E7C">
        <w:rPr>
          <w:color w:val="000000"/>
        </w:rPr>
        <w:fldChar w:fldCharType="end"/>
      </w:r>
      <w:r w:rsidRPr="00EF7E7C">
        <w:rPr>
          <w:color w:val="000000"/>
        </w:rPr>
        <w:t xml:space="preserve">. More recent data have also shown that patients who were converted to </w:t>
      </w:r>
      <w:proofErr w:type="spellStart"/>
      <w:r w:rsidRPr="00EF7E7C">
        <w:rPr>
          <w:color w:val="000000"/>
        </w:rPr>
        <w:t>belatacept</w:t>
      </w:r>
      <w:proofErr w:type="spellEnd"/>
      <w:r w:rsidRPr="00EF7E7C">
        <w:rPr>
          <w:color w:val="000000"/>
        </w:rPr>
        <w:t xml:space="preserve"> post-transplant had lower risks of graft failure while having similar safety outcomes compared with patients on CNI </w:t>
      </w:r>
      <w:r w:rsidRPr="00EF7E7C">
        <w:rPr>
          <w:color w:val="000000"/>
        </w:rPr>
        <w:fldChar w:fldCharType="begin"/>
      </w:r>
      <w:r w:rsidR="006528EA">
        <w:rPr>
          <w:color w:val="000000"/>
        </w:rPr>
        <w:instrText xml:space="preserve"> ADDIN ZOTERO_ITEM CSL_CITATION {"citationID":"LqfcrYkM","properties":{"formattedCitation":"\\super 150\\nosupersub{}","plainCitation":"150","noteIndex":0},"citationItems":[{"id":19007,"uris":["http://zotero.org/users/3444308/items/RSLSTK6J"],"itemData":{"id":19007,"type":"article-journal","abstract":"BACKGROUND: Conversion to a belatacept-based immunosuppression is currently used as a calcineurin inhibitor (CNI) avoidance strategy when the CNI-based standard-of-care immunosuppression is not tolerated after kidney transplantation. However, there is a lack of evidence on the long-term benefit and safety after conversion to belatacept.\nMETHODS: We prospectively enrolled 311 kidney transplant recipients from 2007 to 2020 from two referral centers, converted from CNI to belatacept after transplant according to a prespecified protocol. Patients were matched at the time of conversion to patients maintained with CNIs, using optimal matching. The primary end point was death-censored allograft survival at 7 years. The secondary end points were patient survival, eGFR, and safety outcomes, including serious viral infections, immune-related complications, antibody-mediated rejection, T-cell-mediated rejection, de novo anti-HLA donor-specific antibody, de novo diabetes, cardiovascular events, and oncologic complications.\nRESULTS: A total of 243 patients converted to belatacept (belatacept group) were matched to 243 patients maintained on CNIs (CNI control group). All recipient, transplant, functional, histologic, and immunologic parameters were well balanced between the two groups with a standardized mean difference below 0.05. At 7 years post-conversion to belatacept, allograft survival was 78% compared with 63% in the CNI control group ( P &lt; 0.001 for log-rank test). The safety outcomes showed a similar rate of patient death (28% in the belatacept group versus 36% in the CNI control group), active antibody-mediated rejection (6% versus 7%), T-cell-mediated rejection (4% versus 4%), major adverse cardiovascular events, and cancer occurrence (9% versus 11%). A significantly higher rate of de novo proteinuria was observed in the belatacept group as compared with the CNI control group (37% versus 21%, P &lt; 0.001).\nCONCLUSIONS: This real-world evidence study shows that conversion to belatacept post-transplant was associated with lower risk of graft failure and acceptable safety outcomes compared with patients maintained on CNIs.\nCLINICAL TRIAL REGISTRY NAME AND REGISTRATION NUMBER: Long-term Outcomes after Conversion to Belatacept, NCT04733131 .","container-title":"Clinical journal of the American Society of Nephrology: CJASN","DOI":"10.2215/CJN.0000000000000411","ISSN":"1555-905X","issue":"5","journalAbbreviation":"Clin J Am Soc Nephrol","language":"eng","note":"PMID: 38265815\nPMCID: PMC11108246","page":"628-637","source":"PubMed","title":"Long-Term Outcomes after Conversion to a Belatacept-Based Immunosuppression in Kidney Transplant Recipients","volume":"19","author":[{"family":"Divard","given":"Gillian"},{"family":"Aubert","given":"Olivier"},{"family":"Debiais-Deschamp","given":"Charlotte"},{"family":"Raynaud","given":"Marc"},{"family":"Goutaudier","given":"Valentin"},{"family":"Sablik","given":"Marta"},{"family":"Sayeg","given":"Caroline"},{"family":"Legendre","given":"Christophe"},{"family":"Obert","given":"Julie"},{"family":"Anglicheau","given":"Dany"},{"family":"Lefaucheur","given":"Carmen"},{"family":"Loupy","given":"Alexandre"}],"issued":{"date-parts":[["2024",5,1]]}}}],"schema":"https://github.com/citation-style-language/schema/raw/master/csl-citation.json"} </w:instrText>
      </w:r>
      <w:r w:rsidRPr="00EF7E7C">
        <w:rPr>
          <w:color w:val="000000"/>
        </w:rPr>
        <w:fldChar w:fldCharType="separate"/>
      </w:r>
      <w:r w:rsidR="00CE2429" w:rsidRPr="00CE2429">
        <w:rPr>
          <w:rFonts w:ascii="Aptos" w:hAnsi="Aptos" w:cs="Times New Roman"/>
          <w:vertAlign w:val="superscript"/>
        </w:rPr>
        <w:t>150</w:t>
      </w:r>
      <w:r w:rsidRPr="00EF7E7C">
        <w:rPr>
          <w:color w:val="000000"/>
        </w:rPr>
        <w:fldChar w:fldCharType="end"/>
      </w:r>
      <w:r w:rsidRPr="00EF7E7C">
        <w:rPr>
          <w:color w:val="000000"/>
        </w:rPr>
        <w:t>.</w:t>
      </w:r>
    </w:p>
    <w:p w14:paraId="49F15B36" w14:textId="622AAED1" w:rsidR="00ED6CD4" w:rsidRPr="00EF7E7C" w:rsidRDefault="00ED6CD4" w:rsidP="00162471">
      <w:pPr>
        <w:jc w:val="both"/>
        <w:rPr>
          <w:color w:val="000000"/>
        </w:rPr>
      </w:pPr>
      <w:r w:rsidRPr="00EF7E7C">
        <w:rPr>
          <w:color w:val="000000"/>
        </w:rPr>
        <w:t xml:space="preserve">The TRANSFORM study showed that use of everolimus with reduced-dose tacrolimus was non-inferior to standard immunosuppression with standard-dose tacrolimus + MMF at 2 years in terms of graft outcomes. However, this study had a higher discontinuation rate in the everolimus arm because of adverse events and patients with higher immunological risk transplants were excluded from the trial </w:t>
      </w:r>
      <w:r w:rsidRPr="00EF7E7C">
        <w:rPr>
          <w:color w:val="000000"/>
        </w:rPr>
        <w:fldChar w:fldCharType="begin"/>
      </w:r>
      <w:r w:rsidR="006528EA">
        <w:rPr>
          <w:color w:val="000000"/>
        </w:rPr>
        <w:instrText xml:space="preserve"> ADDIN ZOTERO_ITEM CSL_CITATION {"citationID":"gq7UhnSG","properties":{"formattedCitation":"\\super 151\\nosupersub{}","plainCitation":"151","noteIndex":0},"citationItems":[{"id":19006,"uris":["http://zotero.org/users/3444308/items/8PMGQFS3"],"itemData":{"id":19006,"type":"article-journal","abstract":"TRANSFORM (TRANSplant eFficacy and safety Outcomes with an eveRolimus-based regiMen) was a 24-month, prospective, open-label trial in 2037 de novo renal transplant recipients randomized (1:1) within 24 hours of transplantation to receive everolimus (EVR) with reduced-exposure calcineurin inhibitor (EVR + rCNI) or mycophenolate with standard-exposure CNI. Consistent with previously reported 12-month findings, noninferiority of the EVR + rCNI regimen for the primary endpoint of treated biopsy-proven acute rejection (tBPAR) or estimated glomerular filtration rate (eGFR) &lt;50 mL/min per 1.73 m2 was achieved at month 24 (47.9% vs 43.7%; difference = 4.2%; 95% confidence interval = -0.3, 8.7; P = .006). Mean eGFR was stable up to month 24 (52.6 vs 54.9 mL/min per 1.73 m2 ) in both arms. The incidence of de novo donor-specific antibodies (dnDSA) was lower in the EVR + rCNI arm (12.3% vs 17.6%) among on-treatment patients. Although discontinuation rates due to adverse events were higher with EVR + rCNI (27.2% vs 15.0%), rates of cytomegalovirus (2.8% vs 13.5%) and BK virus (5.8% vs 10.3%) infections were lower. Cytomegalovirus infection rates were significantly lower with EVR + rCNI even in the D+/R- high-risk group (P &lt; .0001). In conclusion, the EVR + rCNI regimen offers comparable efficacy and graft function with low tBPAR and dnDSA rates and significantly lower incidence of viral infections relative to standard-of-care up to 24 months. Clinicaltrials.gov number: NCT01950819.","container-title":"American Journal of Transplantation: Official Journal of the American Society of Transplantation and the American Society of Transplant Surgeons","DOI":"10.1111/ajt.15480","ISSN":"1600-6143","issue":"11","journalAbbreviation":"Am J Transplant","language":"eng","note":"PMID: 31152476","page":"3018-3034","source":"PubMed","title":"Two-year outcomes in de novo renal transplant recipients receiving everolimus-facilitated calcineurin inhibitor reduction regimen from the TRANSFORM study","volume":"19","author":[{"family":"Berger","given":"Stefan P."},{"family":"Sommerer","given":"Claudia"},{"family":"Witzke","given":"Oliver"},{"family":"Tedesco","given":"Helio"},{"family":"Chadban","given":"Steve"},{"family":"Mulgaonkar","given":"Shamkant"},{"family":"Qazi","given":"Yasir"},{"family":"Fijter","given":"Johan W.","non-dropping-particle":"de"},{"family":"Oppenheimer","given":"Federico"},{"family":"Cruzado","given":"Josep M."},{"family":"Watarai","given":"Yoshihiko"},{"family":"Massari","given":"Pablo"},{"family":"Legendre","given":"Christophe"},{"family":"Citterio","given":"Franco"},{"family":"Henry","given":"Mitchell"},{"family":"Srinivas","given":"Titte R."},{"family":"Vincenti","given":"Flavio"},{"family":"Gutierrez","given":"Maria Pilar Hernandez"},{"family":"Marti","given":"Ana Maria"},{"family":"Bernhardt","given":"Peter"},{"family":"Pascual","given":"Julio"},{"literal":"TRANSFORM investigators"}],"issued":{"date-parts":[["2019",11]]}}}],"schema":"https://github.com/citation-style-language/schema/raw/master/csl-citation.json"} </w:instrText>
      </w:r>
      <w:r w:rsidRPr="00EF7E7C">
        <w:rPr>
          <w:color w:val="000000"/>
        </w:rPr>
        <w:fldChar w:fldCharType="separate"/>
      </w:r>
      <w:r w:rsidR="00CE2429" w:rsidRPr="00CE2429">
        <w:rPr>
          <w:rFonts w:ascii="Aptos" w:hAnsi="Aptos" w:cs="Times New Roman"/>
          <w:vertAlign w:val="superscript"/>
        </w:rPr>
        <w:t>151</w:t>
      </w:r>
      <w:r w:rsidRPr="00EF7E7C">
        <w:rPr>
          <w:color w:val="000000"/>
        </w:rPr>
        <w:fldChar w:fldCharType="end"/>
      </w:r>
      <w:r w:rsidRPr="00EF7E7C">
        <w:rPr>
          <w:color w:val="000000"/>
        </w:rPr>
        <w:t>.</w:t>
      </w:r>
    </w:p>
    <w:p w14:paraId="32FE255B" w14:textId="26AEE8F8" w:rsidR="00ED6CD4" w:rsidRPr="00EF7E7C" w:rsidRDefault="00ED6CD4" w:rsidP="00162471">
      <w:pPr>
        <w:jc w:val="both"/>
        <w:rPr>
          <w:color w:val="000000"/>
          <w:highlight w:val="white"/>
        </w:rPr>
      </w:pPr>
      <w:r w:rsidRPr="00EF7E7C">
        <w:t xml:space="preserve">BK virus nephropathy (BKVN) occurs in up to 10% of renal transplant recipients and can result in graft loss in up to 50% of those affected </w:t>
      </w:r>
      <w:r w:rsidRPr="00EF7E7C">
        <w:fldChar w:fldCharType="begin"/>
      </w:r>
      <w:r w:rsidR="006528EA">
        <w:instrText xml:space="preserve"> ADDIN ZOTERO_ITEM CSL_CITATION {"citationID":"neoFkL8O","properties":{"formattedCitation":"\\super 152\\nosupersub{}","plainCitation":"152","noteIndex":0},"citationItems":[{"id":19005,"uris":["http://zotero.org/users/3444308/items/C2JRF373"],"itemData":{"id":19005,"type":"article-journal","abstract":"BK virus nephropathy (BKVN) occurs in up to 10% of renal transplant recipients and can result in graft loss. The reactivation of BK virus in renal transplant recipients is largely asymptomatic, and routine surveillance especially in the first 12–24 months after transplant is necessary for early recognition and intervention. Reduced immunosuppression and anti-viral treatment in the early stages may be effective in stopping BK virus replication. Urinary decoy cells, although highly specific, lack sensitivity to diagnose BKVN. Transplant biopsy remains the gold standard to diagnose BKVN, good surrogate markers for surveillance using quantitative urinary decoy cells, urinary SV40 T immunochemical staining or polyoma virus-Haufen bodies are offered by recent studies. Advanced BKVN results in severe tubulo-interstitial damage and graft failure. Retransplantation after BKVN is associated with good outcomes. Newer treatment modalities are emerging.","container-title":"Nephrology","DOI":"10.1111/nep.12728","ISSN":"1440-1797","issue":"8","language":"en","license":"© 2016 Asian Pacific Society of Nephrology","note":"_eprint: https://onlinelibrary.wiley.com/doi/pdf/10.1111/nep.12728","page":"647-654","source":"Wiley Online Library","title":"BK virus nephropathy in renal transplant recipients","volume":"21","author":[{"family":"Jamboti","given":"Jagadish S"}],"issued":{"date-parts":[["2016"]]}}}],"schema":"https://github.com/citation-style-language/schema/raw/master/csl-citation.json"} </w:instrText>
      </w:r>
      <w:r w:rsidRPr="00EF7E7C">
        <w:fldChar w:fldCharType="separate"/>
      </w:r>
      <w:r w:rsidR="00CE2429" w:rsidRPr="00CE2429">
        <w:rPr>
          <w:rFonts w:ascii="Aptos" w:hAnsi="Aptos" w:cs="Times New Roman"/>
          <w:vertAlign w:val="superscript"/>
        </w:rPr>
        <w:t>152</w:t>
      </w:r>
      <w:r w:rsidRPr="00EF7E7C">
        <w:fldChar w:fldCharType="end"/>
      </w:r>
      <w:r w:rsidRPr="00EF7E7C">
        <w:t>. In patients with kidney dysfunction, BK viral loads should always be taken, and kidney biopsies should be stained for SV40. If untreated, BK nephropathy can progress to interstitial fibrosis and tubular atrophy and subsequent graft loss. Management of BK nephropathy is discussed in detail in Guideline Section 8.6.</w:t>
      </w:r>
    </w:p>
    <w:p w14:paraId="396BCD93" w14:textId="72D065CF" w:rsidR="00EF7E7C" w:rsidRDefault="00ED6CD4" w:rsidP="00162471">
      <w:pPr>
        <w:jc w:val="both"/>
        <w:rPr>
          <w:color w:val="000000"/>
          <w:highlight w:val="white"/>
        </w:rPr>
      </w:pPr>
      <w:r w:rsidRPr="00EF7E7C">
        <w:rPr>
          <w:color w:val="000000"/>
          <w:highlight w:val="white"/>
        </w:rPr>
        <w:t xml:space="preserve">Supportive management of chronic allograft nephropathy should also include control of blood pressure and diabetes. The reader is referred to chapter </w:t>
      </w:r>
      <w:r w:rsidR="004A7796">
        <w:rPr>
          <w:color w:val="000000"/>
          <w:highlight w:val="white"/>
        </w:rPr>
        <w:t>5</w:t>
      </w:r>
      <w:r w:rsidR="004A7796" w:rsidRPr="00EF7E7C">
        <w:rPr>
          <w:color w:val="000000"/>
          <w:highlight w:val="white"/>
        </w:rPr>
        <w:t xml:space="preserve"> </w:t>
      </w:r>
      <w:r w:rsidRPr="00EF7E7C">
        <w:rPr>
          <w:color w:val="000000"/>
          <w:highlight w:val="white"/>
        </w:rPr>
        <w:t>in this guideline for further recommendations on the management of cardiovascular risk factors.</w:t>
      </w:r>
    </w:p>
    <w:p w14:paraId="02F66575" w14:textId="77777777" w:rsidR="00EF7E7C" w:rsidRDefault="00EF7E7C">
      <w:pPr>
        <w:rPr>
          <w:color w:val="000000"/>
          <w:highlight w:val="white"/>
        </w:rPr>
      </w:pPr>
      <w:r>
        <w:rPr>
          <w:color w:val="000000"/>
          <w:highlight w:val="white"/>
        </w:rPr>
        <w:br w:type="page"/>
      </w:r>
    </w:p>
    <w:p w14:paraId="224B57D2" w14:textId="77777777" w:rsidR="00ED6CD4" w:rsidRPr="00EF7E7C" w:rsidRDefault="00ED6CD4" w:rsidP="00EF7E7C">
      <w:pPr>
        <w:rPr>
          <w:color w:val="000000"/>
          <w:highlight w:val="white"/>
        </w:rPr>
      </w:pPr>
    </w:p>
    <w:p w14:paraId="6EAF7A86" w14:textId="6C7CF268" w:rsidR="00194333" w:rsidRDefault="00402D6C" w:rsidP="00194333">
      <w:pPr>
        <w:pStyle w:val="GuidelineUpperHeadings"/>
        <w:rPr>
          <w:rFonts w:cstheme="minorHAnsi"/>
          <w:sz w:val="22"/>
          <w:szCs w:val="22"/>
        </w:rPr>
      </w:pPr>
      <w:bookmarkStart w:id="28" w:name="_Toc213749038"/>
      <w:r>
        <w:t xml:space="preserve">5. </w:t>
      </w:r>
      <w:r w:rsidR="009B0CA8" w:rsidRPr="00306FF4">
        <w:t xml:space="preserve">Kidney Transplant Recipient (KTR): </w:t>
      </w:r>
      <w:proofErr w:type="gramStart"/>
      <w:r>
        <w:t>C</w:t>
      </w:r>
      <w:r w:rsidR="00234317" w:rsidRPr="00587685">
        <w:t>ardiovascular disease</w:t>
      </w:r>
      <w:proofErr w:type="gramEnd"/>
      <w:r w:rsidR="00234317" w:rsidRPr="00587685">
        <w:t xml:space="preserve"> - hypertension, diabetes, cholesterol (including lifestyle and exercise)</w:t>
      </w:r>
      <w:bookmarkEnd w:id="28"/>
      <w:r w:rsidR="00ED6CD4" w:rsidRPr="00402D6C">
        <w:rPr>
          <w:rFonts w:cstheme="minorHAnsi"/>
          <w:sz w:val="22"/>
          <w:szCs w:val="22"/>
        </w:rPr>
        <w:t xml:space="preserve"> </w:t>
      </w:r>
    </w:p>
    <w:p w14:paraId="03F2BFDD" w14:textId="4A6CB5CC" w:rsidR="00194333" w:rsidRDefault="00194333" w:rsidP="00194333">
      <w:pPr>
        <w:pStyle w:val="GuidelineHeadings"/>
      </w:pPr>
      <w:r>
        <w:t xml:space="preserve">Guideline 5.1 </w:t>
      </w:r>
      <w:r w:rsidR="00932D5D">
        <w:t>–</w:t>
      </w:r>
      <w:r>
        <w:t xml:space="preserve"> Hypertension</w:t>
      </w:r>
    </w:p>
    <w:p w14:paraId="11A608FF" w14:textId="6EEBFEF8" w:rsidR="00ED6CD4" w:rsidRPr="00524CA4" w:rsidRDefault="00ED6CD4" w:rsidP="00194333">
      <w:r w:rsidRPr="00524CA4">
        <w:t xml:space="preserve">Hypertension </w:t>
      </w:r>
      <w:r>
        <w:t>is</w:t>
      </w:r>
      <w:r w:rsidRPr="00524CA4">
        <w:t xml:space="preserve"> the most common comorbidity among KTR, affecting up to 80% of patients</w:t>
      </w:r>
      <w:r>
        <w:t xml:space="preserve"> </w:t>
      </w:r>
      <w:r>
        <w:fldChar w:fldCharType="begin"/>
      </w:r>
      <w:r w:rsidR="006528EA">
        <w:instrText xml:space="preserve"> ADDIN ZOTERO_ITEM CSL_CITATION {"citationID":"0JK1gKVb","properties":{"formattedCitation":"\\super 153\\nosupersub{}","plainCitation":"153","noteIndex":0},"citationItems":[{"id":19004,"uris":["http://zotero.org/users/3444308/items/GGG6H6UT"],"itemData":{"id":19004,"type":"article-journal","abstract":"Hypertension in renal transplant recipients is common and ranges from 50% to 80% in adult recipients and from 47% to 82% in pediatric recipients. Cardiovascular morbidity and mortality and shortened allograft survival are important consequences of inadequate control of hypertension. In this review, we examine the epidemiology, pathophysiology, and management considerations of post-transplant hypertension. Donor and recipient factors, acute and chronic allograft injury, and immunosuppressive medications may each explain some of the pathophysiology of post-transplant hypertension. As observed in other patient cohorts, renal artery stenosis and adrenal causes of hypertension may be important contributing factors. Notably, BP treatment goals for renal transplant recipients remain an enigma because there are no adequate randomized controlled trials to support a benefit from targeting lower BP levels on graft and patient survival. The potential for drug-drug interactions and altered pharmacokinetics and pharmacodynamics of the different antihypertensive medications need to be carefully considered. To date, no specific antihypertensive medications have been shown to be more effective than others at improving either patient or graft survival. Identifying the underlying pathophysiology and subsequent individualization of treatment goals are important for improving long-term patient and graft outcomes in these patients.","container-title":"Journal of the American Society of Nephrology: JASN","DOI":"10.1681/ASN.2014080834","ISSN":"1533-3450","issue":"6","journalAbbreviation":"J Am Soc Nephrol","language":"eng","note":"PMID: 25653099\nPMCID: PMC4446882","page":"1248-1260","source":"PubMed","title":"Assessment and management of hypertension in transplant patients","volume":"26","author":[{"family":"Weir","given":"Matthew R."},{"family":"Burgess","given":"Ellen D."},{"family":"Cooper","given":"James E."},{"family":"Fenves","given":"Andrew Z."},{"family":"Goldsmith","given":"David"},{"family":"McKay","given":"Dianne"},{"family":"Mehrotra","given":"Anita"},{"family":"Mitsnefes","given":"Mark M."},{"family":"Sica","given":"Domenic A."},{"family":"Taler","given":"Sandra J."}],"issued":{"date-parts":[["2015",6]]}}}],"schema":"https://github.com/citation-style-language/schema/raw/master/csl-citation.json"} </w:instrText>
      </w:r>
      <w:r>
        <w:fldChar w:fldCharType="separate"/>
      </w:r>
      <w:r w:rsidR="00CE2429" w:rsidRPr="00CE2429">
        <w:rPr>
          <w:rFonts w:ascii="Calibri" w:hAnsi="Calibri" w:cs="Calibri"/>
          <w:vertAlign w:val="superscript"/>
        </w:rPr>
        <w:t>153</w:t>
      </w:r>
      <w:r>
        <w:fldChar w:fldCharType="end"/>
      </w:r>
      <w:r w:rsidRPr="00524CA4">
        <w:t>, with percentages rising to 95% when ambulatory blood pressure monitoring (ABPM) is utilised for diagnosis</w:t>
      </w:r>
      <w:r>
        <w:t xml:space="preserve"> </w:t>
      </w:r>
      <w:r>
        <w:fldChar w:fldCharType="begin"/>
      </w:r>
      <w:r w:rsidR="006528EA">
        <w:instrText xml:space="preserve"> ADDIN ZOTERO_ITEM CSL_CITATION {"citationID":"F2MlFKKz","properties":{"formattedCitation":"\\super 154\\nosupersub{}","plainCitation":"154","noteIndex":0},"citationItems":[{"id":18994,"uris":["http://zotero.org/users/3444308/items/WMDBN5AL","http://zotero.org/users/3444308/items/T5ZN4CQD"],"itemData":{"id":18994,"type":"article-journal","abstract":"INTRODUCTION: Hypertension is the most prominent risk factor in kidney transplant recipients (KTRs). No study so far assessed in parallel the prevalence, control, and phenotypes of blood pressure (BP) or the accuracy of currently recommended office BP diagnostic thresholds in diagnosing elevated ambulatory BP in KTRs.\nMETHODS: 205 stable KTRs underwent office BP measurements and 24-h ambulatory BP monitoring (ABPM). Hypertension was defined as follows: (1) office BP ≥140/90 mm Hg or use of antihypertensive agents following the current European Society of Cardiology/European Society of Hypertension (ESC/ESH) guidelines, (2) office BP ≥130/80 mm Hg or use of antihypertensive agents following the current American College of Cardiology/American Heart Association (ACC/AHA) guidelines, (3) ABPM ≥130/80 mm Hg or use of antihypertensive agents, and (4) ABPM ≥125/75 mm Hg or use of antihypertensive agents.\nRESULTS: Hypertension prevalence by office BP was 88.3% with ESC/ESH and 92.7% with ACC/AHA definitions compared to 94.1 and 98.5% at relevant ABPM thresholds. Control rates among hypertensive patients were 69.6 and 43.7% with office BP compared to 38.3 and 21.3% with ABPM, respectively. Both for prevalence (κ-statistics = 0.52, p &lt; 0.001 and 0.32, and p &lt; 0.001) and control rates (κ-statistics = 0.21, p &lt; 0.001 and 0.22, and p &lt; 0.001, respectively), there was moderate or fair agreement of the 2 techniques. White-coat and masked hypertension were diagnosed in 6.7 and 39.5% of patients at the 140/90 threshold and 5.9 and 31.7% of patients at the 130/80 threshold. An office BP ≥140/90 mm Hg had 35.3% sensitivity and 84.9% specificity for the diagnosis of 24-h BP ≥130/80 mm Hg. An office BP ≥130/80 mm Hg had 59.7% sensitivity and 73.9% specificity for the diagnosis of 24-h BP ≥125/75 mm Hg. Receiver operating curve analyses confirmed this poor diagnostic performance.\nCONCLUSIONS: At both corresponding thresholds studied, ABPM revealed particularly high hypertension prevalence and poor BP control in KTRs. Misclassification of KTRs by office BP is substantial, due to particularly high rates of masked hypertension. The diagnostic accuracy of office BP for identifying elevated ambulatory BP is poor. These findings call for a wider use of ABPM in KTRs.","container-title":"American Journal of Nephrology","DOI":"10.1159/000517358","ISSN":"1421-9670","issue":"7","journalAbbreviation":"Am J Nephrol","language":"eng","note":"PMID: 34311458","page":"548-558","source":"PubMed","title":"Diagnostic Performance of Office versus Ambulatory Blood Pressure in Kidney Transplant Recipients","volume":"52","author":[{"family":"Korogiannou","given":"Maria"},{"family":"Sarafidis","given":"Pantelis"},{"family":"Theodorakopoulou","given":"Marieta P."},{"family":"Alexandrou","given":"Maria-Eleni"},{"family":"Xagas","given":"Efstathios"},{"family":"Boletis","given":"Ioannis N."},{"family":"Marinaki","given":"Smaragdi"}],"issued":{"date-parts":[["2021"]]}}}],"schema":"https://github.com/citation-style-language/schema/raw/master/csl-citation.json"} </w:instrText>
      </w:r>
      <w:r>
        <w:fldChar w:fldCharType="separate"/>
      </w:r>
      <w:r w:rsidR="00CE2429" w:rsidRPr="00CE2429">
        <w:rPr>
          <w:rFonts w:ascii="Calibri" w:hAnsi="Calibri" w:cs="Calibri"/>
          <w:vertAlign w:val="superscript"/>
        </w:rPr>
        <w:t>154</w:t>
      </w:r>
      <w:r>
        <w:fldChar w:fldCharType="end"/>
      </w:r>
      <w:r w:rsidRPr="00524CA4">
        <w:t xml:space="preserve">. </w:t>
      </w:r>
      <w:r>
        <w:t>The pathogenesis</w:t>
      </w:r>
      <w:r w:rsidRPr="00524CA4">
        <w:t xml:space="preserve"> of hypertension post-transplant is multifactorial. Poor graft function with associated sodium and water retention and renin-angiotensin-aldosterone system (RAAS) activation, as well as immunosuppressive agents, can exacerbate pre-existing hypertension or lead to a new presentation.</w:t>
      </w:r>
    </w:p>
    <w:p w14:paraId="72B5D286" w14:textId="047417BA" w:rsidR="00ED6CD4" w:rsidRPr="00524CA4" w:rsidRDefault="00ED6CD4" w:rsidP="00194333">
      <w:r w:rsidRPr="00524CA4">
        <w:t>Poorly controlled blood pressure (BP) in KTRs is associated with increased cardiovascular events, poor graft function and increased mortality</w:t>
      </w:r>
      <w:r>
        <w:t xml:space="preserve"> </w:t>
      </w:r>
      <w:r>
        <w:fldChar w:fldCharType="begin"/>
      </w:r>
      <w:r w:rsidR="006528EA">
        <w:instrText xml:space="preserve"> ADDIN ZOTERO_ITEM CSL_CITATION {"citationID":"kwX9St0J","properties":{"formattedCitation":"\\super 155\\uc0\\u8211{}157\\nosupersub{}","plainCitation":"155–157","noteIndex":0},"citationItems":[{"id":19002,"uris":["http://zotero.org/users/3444308/items/GSNL8A2J"],"itemData":{"id":19002,"type":"article-journal","abstract":"BACKGROUND: Cardiovascular disease is the primary driver of morbidity and mortality in kidney transplant recipients. Hypertension is an important risk factor for development of cardiovascular disease in this population. Despite its important role in post-transplant outcomes, the blood pressure goals for kidney transplant recipients remain elusive. Current guidelines are based on observational data or data extrapolated from the chronic kidney disease population.\nMETHODS: We followed 5-year blood pressure control of 378 kidney-alone transplant recipients at a single center and evaluated patient survival, graft survival, proteinuria, and rate of decline of kidney graft function.\nRESULTS: We found that a mean systolic blood pressure (BP) of 121 to 130 mm Hg was associated with better graft survival, slower decline of kidney allograft function, and lower degree of proteinuria when compared with a mean systolic BP ≤120 or &gt;130 mm Hg.\nCONCLUSION: This study provides evidence for strict blood pressure control, systolic BP between 121 and 130 mm Hg, and also cautions against intensive control of systolic BP &lt;120 mm Hg in kidney transplant recipients.","container-title":"Transplantation Proceedings","DOI":"10.1016/j.transproceed.2022.12.010","ISSN":"1873-2623","issue":"1","journalAbbreviation":"Transplant Proc","language":"eng","note":"PMID: 36610854","page":"98-102","source":"PubMed","title":"Impact of Blood Pressure Control on Graft Survival in Kidney Transplant Recipients","volume":"55","author":[{"family":"Agarwal","given":"Krishna A."},{"family":"Agarwal","given":"Ushma K."},{"family":"Pavlakis","given":"Martha"}],"issued":{"date-parts":[["2023"]]}}},{"id":19003,"uris":["http://zotero.org/users/3444308/items/26MFTVPP"],"itemData":{"id":19003,"type":"article-journal","abstract":"Hypertension has a negative impact on long-term outcomes after renal transplantation. We investigated the effect of a recent decline in blood pressure among renal transplant patients in the Collaborative Transplant Study (CTS) database on long-term graft and patient survival. CTS data were used to evaluate transplant outcomes in relation to recipient systolic blood pressure (SBP) for 24,404 first cadaver kidney recipients transplanted between 1987 and 2000. Patients whose SBP was &gt; 140 mmHg at 1 year posttransplantation but controlled to &lt; or = 140 mmHg by 3 years had significantly improved long-term graft outcome compared with patients with sustained high SBP to 3 years (RR 0.79; CI 0.73-0.86; p &lt; 0.001). Additional examination at 5 years showed that SBP lowering after year 3 was associated with improved 10-year graft survival (RR 0.83; CI 0.72-0.96; p = 0.01), whereas even a temporary increase in SBP at 3 years was associated with worse survival (RR 1.37; CI 1.19-1.58; p &lt; 0.001). Changes in SBP were paralleled by changes in the incidence of cardiovascular death among recipients younger than 50 but not in older recipients. Lowering SBP, even after several years of posttransplantation hypertension, is associated with improved graft and patient survival in renal allograft recipients.","container-title":"American Journal of Transplantation: Official Journal of the American Society of Transplantation and the American Society of Transplant Surgeons","DOI":"10.1111/j.1600-6143.2005.01093.x","ISSN":"1600-6135","issue":"11","journalAbbreviation":"Am J Transplant","language":"eng","note":"PMID: 16212633","page":"2725-2731","source":"PubMed","title":"Improved long-term outcomes after renal transplantation associated with blood pressure control","volume":"5","author":[{"family":"Opelz","given":"Gerhard"},{"family":"Döhler","given":"Bernd"},{"literal":"Collaborative Transplant Study"}],"issued":{"date-parts":[["2005",11]]}}},{"id":19001,"uris":["http://zotero.org/users/3444308/items/BW6UZFIM"],"itemData":{"id":19001,"type":"article-journal","abstract":"BACKGROUND: Sparse studies show that ambulatory blood pressure monitoring (ABPM) is superior to office BP (oBP) measurements to predict target organ damage and cardiovascular (CV) events in kidney transplant recipients (KTRs). We performed a systematic review aimed at determining the potential associations between BP recordings by different methods and renal and CV outcomes in this population.\nMETHODS: Major medical databases were searched for studies enrolling adult KTRs undergoing 24h ABPM compared to office or home BP measurements. Main outcomes were: associations between different BP recordings and renal and CV outcomes. Additionally, any association between the circadian BP pattern (dipping/non-dipping status) and outcomes was assessed.\nRESULTS: Twenty-two studies (2078 participants) were reviewed. Amongst 12 studies collecting data on renal endpoints, ten studies found that BP assessed by ABPM was a stronger predictor of renal function decline, assessed by serum creatinine (SCr) and/or creatinine clearance (CrCl) or estimated glomerular filtration rate (eGFR), than traditional office measurements. Twelve studies analyzed the relation between different BP recordings and CV target organ damages and reported robust correlations between echocardiographic abnormalities [i.e. left ventricular mass index (LVM/LVMI)] and 24h ABPM, but not with office BPs. Furthermore, 24h ABPM correlated better than oBP with markers of vascular damage, such as carotid intima-media thickness (IMT), diffuse thickening, and endothelial dysfunction. Additionally, abnormal circadian BP pattern (non-dippers and reverse dippers) identified a group of kidney recipients at risk for kidney function loss and CV abnormalities.\nCONCLUSIONS: In our systematic review, ABPM reflected target organ damage more closely than oBP in KTRs. Furthermore, altered circadian BP profile associated with renal and CV target organ damages.","container-title":"Nephrology, Dialysis, Transplantation: Official Publication of the European Dialysis and Transplant Association - European Renal Association","DOI":"10.1093/ndt/gfab076","ISSN":"1460-2385","issue":"7","journalAbbreviation":"Nephrol Dial Transplant","language":"eng","note":"PMID: 33764450","page":"1326–1346","source":"PubMed","title":"Blood pressure monitoring in kidney transplantation: a systematic review on hypertension and target organ damage","title-short":"Blood pressure monitoring in kidney transplantation","volume":"36","author":[{"family":"Pisano","given":"Anna"},{"family":"Mallamaci","given":"Francesca"},{"family":"D'Arrigo","given":"Graziella"},{"family":"Bolignano","given":"Davide"},{"family":"Wuerzner","given":"Gregoire"},{"family":"Ortiz","given":"Alberto"},{"family":"Burnier","given":"Michel"},{"family":"Kanaan","given":"Nada"},{"family":"Sarafidis","given":"Pantelis"},{"family":"Persu","given":"Alexandre"},{"family":"Ferro","given":"Charles J."},{"family":"Loutradis","given":"Charalampos"},{"family":"Boletis","given":"Ioannis N."},{"family":"London","given":"Gérard"},{"family":"Halimi","given":"Jean-Michel"},{"family":"Sautenet","given":"Bénédicte"},{"family":"Rossignol","given":"Patrick"},{"family":"Vogt","given":"Liffert"},{"family":"Zoccali","given":"Carmine"}],"issued":{"date-parts":[["2021",7,1]]}}}],"schema":"https://github.com/citation-style-language/schema/raw/master/csl-citation.json"} </w:instrText>
      </w:r>
      <w:r>
        <w:fldChar w:fldCharType="separate"/>
      </w:r>
      <w:r w:rsidR="00CE2429" w:rsidRPr="00CE2429">
        <w:rPr>
          <w:rFonts w:ascii="Calibri" w:hAnsi="Calibri" w:cs="Calibri"/>
          <w:vertAlign w:val="superscript"/>
        </w:rPr>
        <w:t>155–157</w:t>
      </w:r>
      <w:r>
        <w:fldChar w:fldCharType="end"/>
      </w:r>
      <w:r w:rsidRPr="00524CA4">
        <w:t>. Therefore, appropriate diagnosis and management is crucial. Several studies over the recent years have suggested that masked hypertension is more common among KTRs compared to general population, and can be inadvertently misdiagnosed for normotension, if only clinic BP readings are utilised as opposed to complementary ABPM</w:t>
      </w:r>
      <w:r>
        <w:t xml:space="preserve"> </w:t>
      </w:r>
      <w:r>
        <w:fldChar w:fldCharType="begin"/>
      </w:r>
      <w:r w:rsidR="006528EA">
        <w:instrText xml:space="preserve"> ADDIN ZOTERO_ITEM CSL_CITATION {"citationID":"YTIIYYB1","properties":{"formattedCitation":"\\super 154,158,159\\nosupersub{}","plainCitation":"154,158,159","noteIndex":0},"citationItems":[{"id":19000,"uris":["http://zotero.org/users/3444308/items/YFQGAFUJ"],"itemData":{"id":19000,"type":"article-journal","abstract":"BACKGROUND: Disagreements between clinic and ambulatory blood pressure (BP) measurements are well-described in the general population. Though hypertension is frequent in renal transplant recipients, only a few studies address the clinic-ambulatory discordance in this population. We aimed to describe the difference between clinic and ambulatory BP in kidney transplant patients at our institution.\nMETHODS: We compared the clinic and ambulatory BP of 76 adult recipients of a kidney allograft followed at our transplant center and investigated the difference between these methods, considering confounding by demographic and clinical variables.\nRESULTS: Clinic systolic BP (SBP) and diastolic BP (DBP) were 128</w:instrText>
      </w:r>
      <w:r w:rsidR="006528EA">
        <w:rPr>
          <w:rFonts w:ascii="Arial" w:hAnsi="Arial" w:cs="Arial"/>
        </w:rPr>
        <w:instrText> </w:instrText>
      </w:r>
      <w:r w:rsidR="006528EA">
        <w:rPr>
          <w:rFonts w:ascii="Aptos" w:hAnsi="Aptos" w:cs="Aptos"/>
        </w:rPr>
        <w:instrText>±</w:instrText>
      </w:r>
      <w:r w:rsidR="006528EA">
        <w:rPr>
          <w:rFonts w:ascii="Arial" w:hAnsi="Arial" w:cs="Arial"/>
        </w:rPr>
        <w:instrText> </w:instrText>
      </w:r>
      <w:r w:rsidR="006528EA">
        <w:instrText>13/79</w:instrText>
      </w:r>
      <w:r w:rsidR="006528EA">
        <w:rPr>
          <w:rFonts w:ascii="Arial" w:hAnsi="Arial" w:cs="Arial"/>
        </w:rPr>
        <w:instrText> </w:instrText>
      </w:r>
      <w:r w:rsidR="006528EA">
        <w:rPr>
          <w:rFonts w:ascii="Aptos" w:hAnsi="Aptos" w:cs="Aptos"/>
        </w:rPr>
        <w:instrText>±</w:instrText>
      </w:r>
      <w:r w:rsidR="006528EA">
        <w:rPr>
          <w:rFonts w:ascii="Arial" w:hAnsi="Arial" w:cs="Arial"/>
        </w:rPr>
        <w:instrText> </w:instrText>
      </w:r>
      <w:r w:rsidR="006528EA">
        <w:instrText>9</w:instrText>
      </w:r>
      <w:r w:rsidR="006528EA">
        <w:rPr>
          <w:rFonts w:ascii="Arial" w:hAnsi="Arial" w:cs="Arial"/>
        </w:rPr>
        <w:instrText> </w:instrText>
      </w:r>
      <w:r w:rsidR="006528EA">
        <w:instrText>mmHg. Awake SBP and DBP were 147</w:instrText>
      </w:r>
      <w:r w:rsidR="006528EA">
        <w:rPr>
          <w:rFonts w:ascii="Arial" w:hAnsi="Arial" w:cs="Arial"/>
        </w:rPr>
        <w:instrText> </w:instrText>
      </w:r>
      <w:r w:rsidR="006528EA">
        <w:rPr>
          <w:rFonts w:ascii="Aptos" w:hAnsi="Aptos" w:cs="Aptos"/>
        </w:rPr>
        <w:instrText>±</w:instrText>
      </w:r>
      <w:r w:rsidR="006528EA">
        <w:rPr>
          <w:rFonts w:ascii="Arial" w:hAnsi="Arial" w:cs="Arial"/>
        </w:rPr>
        <w:instrText> </w:instrText>
      </w:r>
      <w:r w:rsidR="006528EA">
        <w:instrText>18/85</w:instrText>
      </w:r>
      <w:r w:rsidR="006528EA">
        <w:rPr>
          <w:rFonts w:ascii="Arial" w:hAnsi="Arial" w:cs="Arial"/>
        </w:rPr>
        <w:instrText> </w:instrText>
      </w:r>
      <w:r w:rsidR="006528EA">
        <w:rPr>
          <w:rFonts w:ascii="Aptos" w:hAnsi="Aptos" w:cs="Aptos"/>
        </w:rPr>
        <w:instrText>±</w:instrText>
      </w:r>
      <w:r w:rsidR="006528EA">
        <w:rPr>
          <w:rFonts w:ascii="Arial" w:hAnsi="Arial" w:cs="Arial"/>
        </w:rPr>
        <w:instrText> </w:instrText>
      </w:r>
      <w:r w:rsidR="006528EA">
        <w:instrText>10</w:instrText>
      </w:r>
      <w:r w:rsidR="006528EA">
        <w:rPr>
          <w:rFonts w:ascii="Arial" w:hAnsi="Arial" w:cs="Arial"/>
        </w:rPr>
        <w:instrText> </w:instrText>
      </w:r>
      <w:r w:rsidR="006528EA">
        <w:instrText>mmHg. The clinic-minus-awake SBP and DBP differences were</w:instrText>
      </w:r>
      <w:r w:rsidR="006528EA">
        <w:rPr>
          <w:rFonts w:ascii="Arial" w:hAnsi="Arial" w:cs="Arial"/>
        </w:rPr>
        <w:instrText> </w:instrText>
      </w:r>
      <w:r w:rsidR="006528EA">
        <w:instrText>-</w:instrText>
      </w:r>
      <w:r w:rsidR="006528EA">
        <w:rPr>
          <w:rFonts w:ascii="Arial" w:hAnsi="Arial" w:cs="Arial"/>
        </w:rPr>
        <w:instrText> </w:instrText>
      </w:r>
      <w:r w:rsidR="006528EA">
        <w:instrText>18 and</w:instrText>
      </w:r>
      <w:r w:rsidR="006528EA">
        <w:rPr>
          <w:rFonts w:ascii="Arial" w:hAnsi="Arial" w:cs="Arial"/>
        </w:rPr>
        <w:instrText> </w:instrText>
      </w:r>
      <w:r w:rsidR="006528EA">
        <w:instrText>-</w:instrText>
      </w:r>
      <w:r w:rsidR="006528EA">
        <w:rPr>
          <w:rFonts w:ascii="Arial" w:hAnsi="Arial" w:cs="Arial"/>
        </w:rPr>
        <w:instrText> </w:instrText>
      </w:r>
      <w:r w:rsidR="006528EA">
        <w:instrText>6</w:instrText>
      </w:r>
      <w:r w:rsidR="006528EA">
        <w:rPr>
          <w:rFonts w:ascii="Arial" w:hAnsi="Arial" w:cs="Arial"/>
        </w:rPr>
        <w:instrText> </w:instrText>
      </w:r>
      <w:r w:rsidR="006528EA">
        <w:instrText xml:space="preserve">mmHg, respectively. The negative clinic-awake </w:instrText>
      </w:r>
      <w:r w:rsidR="006528EA">
        <w:rPr>
          <w:rFonts w:ascii="Aptos" w:hAnsi="Aptos" w:cs="Aptos"/>
        </w:rPr>
        <w:instrText>Δ</w:instrText>
      </w:r>
      <w:r w:rsidR="006528EA">
        <w:instrText>SBP was more pronounced at age</w:instrText>
      </w:r>
      <w:r w:rsidR="006528EA">
        <w:rPr>
          <w:rFonts w:ascii="Arial" w:hAnsi="Arial" w:cs="Arial"/>
        </w:rPr>
        <w:instrText> </w:instrText>
      </w:r>
      <w:r w:rsidR="006528EA">
        <w:instrText>&gt;</w:instrText>
      </w:r>
      <w:r w:rsidR="006528EA">
        <w:rPr>
          <w:rFonts w:ascii="Arial" w:hAnsi="Arial" w:cs="Arial"/>
        </w:rPr>
        <w:instrText> </w:instrText>
      </w:r>
      <w:r w:rsidR="006528EA">
        <w:instrText>60</w:instrText>
      </w:r>
      <w:r w:rsidR="006528EA">
        <w:rPr>
          <w:rFonts w:ascii="Arial" w:hAnsi="Arial" w:cs="Arial"/>
        </w:rPr>
        <w:instrText> </w:instrText>
      </w:r>
      <w:r w:rsidR="006528EA">
        <w:instrText>years (p</w:instrText>
      </w:r>
      <w:r w:rsidR="006528EA">
        <w:rPr>
          <w:rFonts w:ascii="Arial" w:hAnsi="Arial" w:cs="Arial"/>
        </w:rPr>
        <w:instrText> </w:instrText>
      </w:r>
      <w:r w:rsidR="006528EA">
        <w:instrText>=</w:instrText>
      </w:r>
      <w:r w:rsidR="006528EA">
        <w:rPr>
          <w:rFonts w:ascii="Arial" w:hAnsi="Arial" w:cs="Arial"/>
        </w:rPr>
        <w:instrText> </w:instrText>
      </w:r>
      <w:r w:rsidR="006528EA">
        <w:instrText>0.026) and with tacrolimus use compared to cyclosporine (p</w:instrText>
      </w:r>
      <w:r w:rsidR="006528EA">
        <w:rPr>
          <w:rFonts w:ascii="Arial" w:hAnsi="Arial" w:cs="Arial"/>
        </w:rPr>
        <w:instrText> </w:instrText>
      </w:r>
      <w:r w:rsidR="006528EA">
        <w:instrText>=</w:instrText>
      </w:r>
      <w:r w:rsidR="006528EA">
        <w:rPr>
          <w:rFonts w:ascii="Arial" w:hAnsi="Arial" w:cs="Arial"/>
        </w:rPr>
        <w:instrText> </w:instrText>
      </w:r>
      <w:r w:rsidR="006528EA">
        <w:instrText>0.046). Sleep SBP and DBP were 139</w:instrText>
      </w:r>
      <w:r w:rsidR="006528EA">
        <w:rPr>
          <w:rFonts w:ascii="Arial" w:hAnsi="Arial" w:cs="Arial"/>
        </w:rPr>
        <w:instrText> </w:instrText>
      </w:r>
      <w:r w:rsidR="006528EA">
        <w:rPr>
          <w:rFonts w:ascii="Aptos" w:hAnsi="Aptos" w:cs="Aptos"/>
        </w:rPr>
        <w:instrText>±</w:instrText>
      </w:r>
      <w:r w:rsidR="006528EA">
        <w:rPr>
          <w:rFonts w:ascii="Arial" w:hAnsi="Arial" w:cs="Arial"/>
        </w:rPr>
        <w:instrText> </w:instrText>
      </w:r>
      <w:r w:rsidR="006528EA">
        <w:instrText>21/78</w:instrText>
      </w:r>
      <w:r w:rsidR="006528EA">
        <w:rPr>
          <w:rFonts w:ascii="Arial" w:hAnsi="Arial" w:cs="Arial"/>
        </w:rPr>
        <w:instrText> </w:instrText>
      </w:r>
      <w:r w:rsidR="006528EA">
        <w:rPr>
          <w:rFonts w:ascii="Aptos" w:hAnsi="Aptos" w:cs="Aptos"/>
        </w:rPr>
        <w:instrText>±</w:instrText>
      </w:r>
      <w:r w:rsidR="006528EA">
        <w:rPr>
          <w:rFonts w:ascii="Arial" w:hAnsi="Arial" w:cs="Arial"/>
        </w:rPr>
        <w:instrText> </w:instrText>
      </w:r>
      <w:r w:rsidR="006528EA">
        <w:instrText>11</w:instrText>
      </w:r>
      <w:r w:rsidR="006528EA">
        <w:rPr>
          <w:rFonts w:ascii="Arial" w:hAnsi="Arial" w:cs="Arial"/>
        </w:rPr>
        <w:instrText> </w:instrText>
      </w:r>
      <w:r w:rsidR="006528EA">
        <w:instrText>mmHg. A non-dipping sleep BP pattern was noted in 73% of patients and was associated with tacrolimus use (p</w:instrText>
      </w:r>
      <w:r w:rsidR="006528EA">
        <w:rPr>
          <w:rFonts w:ascii="Arial" w:hAnsi="Arial" w:cs="Arial"/>
        </w:rPr>
        <w:instrText> </w:instrText>
      </w:r>
      <w:r w:rsidR="006528EA">
        <w:instrText>=</w:instrText>
      </w:r>
      <w:r w:rsidR="006528EA">
        <w:rPr>
          <w:rFonts w:ascii="Arial" w:hAnsi="Arial" w:cs="Arial"/>
        </w:rPr>
        <w:instrText> </w:instrText>
      </w:r>
      <w:r w:rsidR="006528EA">
        <w:instrText xml:space="preserve">0.020).\nCONCLUSIONS: Our findings suggest pervasive underestimation of BP when measured in the kidney transplant clinic, emphasizes the high frequency of a non-dipping pattern in this population and calls for liberal use of ambulatory BP monitoring to detect and manage hypertension.","container-title":"BMC nephrology","DOI":"10.1186/s12882-019-1442-7","ISSN":"1471-2369","issue":"1","journalAbbreviation":"BMC Nephrol","language":"eng","note":"PMID: 31351470\nPMCID: PMC6661097","page":"284","source":"PubMed","title":"Ambulatory monitoring unmasks hypertension among kidney transplant patients: single center experience and review of the literature","title-short":"Ambulatory monitoring unmasks hypertension among kidney transplant patients","volume":"20","author":[{"family":"Gluskin","given":"Eitan"},{"family":"Tzukert","given":"Keren"},{"family":"Mor-Yosef Levi","given":"Irit"},{"family":"Gotsman","given":"Olga"},{"family":"Sagiv","given":"Itamar"},{"family":"Abel","given":"Roy"},{"family":"Bloch","given":"Aharon"},{"family":"Rubinger","given":"Dvorah"},{"family":"Aharon","given":"Michal"},{"family":"Dranitzki Elhalel","given":"Michal"},{"family":"Ben-Dov","given":"Iddo Z."}],"issued":{"date-parts":[["2019",7,27]]}}},{"id":18994,"uris":["http://zotero.org/users/3444308/items/WMDBN5AL","http://zotero.org/users/3444308/items/T5ZN4CQD"],"itemData":{"id":18994,"type":"article-journal","abstract":"INTRODUCTION: Hypertension is the most prominent risk factor in kidney transplant recipients (KTRs). No study so far assessed in parallel the prevalence, control, and phenotypes of blood pressure (BP) or the accuracy of currently recommended office BP diagnostic thresholds in diagnosing elevated ambulatory BP in KTRs.\nMETHODS: 205 stable KTRs underwent office BP measurements and 24-h ambulatory BP monitoring (ABPM). Hypertension was defined as follows: (1) office BP ≥140/90 mm Hg or use of antihypertensive agents following the current European Society of Cardiology/European Society of Hypertension (ESC/ESH) guidelines, (2) office BP ≥130/80 mm Hg or use of antihypertensive agents following the current American College of Cardiology/American Heart Association (ACC/AHA) guidelines, (3) ABPM ≥130/80 mm Hg or use of antihypertensive agents, and (4) ABPM ≥125/75 mm Hg or use of antihypertensive agents.\nRESULTS: Hypertension prevalence by office BP was 88.3% with ESC/ESH and 92.7% with ACC/AHA definitions compared to 94.1 and 98.5% at relevant ABPM thresholds. Control rates among hypertensive patients were 69.6 and 43.7% with office BP compared to 38.3 and 21.3% with ABPM, respectively. Both for prevalence (κ-statistics = 0.52, p &lt; 0.001 and 0.32, and p &lt; 0.001) and control rates (κ-statistics = 0.21, p &lt; 0.001 and 0.22, and p &lt; 0.001, respectively), there was moderate or fair agreement of the 2 techniques. White-coat and masked hypertension were diagnosed in 6.7 and 39.5% of patients at the 140/90 threshold and 5.9 and 31.7% of patients at the 130/80 threshold. An office BP ≥140/90 mm Hg had 35.3% sensitivity and 84.9% specificity for the diagnosis of 24-h BP ≥130/80 mm Hg. An office BP ≥130/80 mm Hg had 59.7% sensitivity and 73.9% specificity for the diagnosis of 24-h BP ≥125/75 mm Hg. Receiver operating curve analyses confirmed this poor diagnostic performance.\nCONCLUSIONS: At both corresponding thresholds studied, ABPM revealed particularly high hypertension prevalence and poor BP control in KTRs. Misclassification of KTRs by office BP is substantial, due to particularly high rates of masked hypertension. The diagnostic accuracy of office BP for identifying elevated ambulatory BP is poor. These findings call for a wider use of ABPM in KTRs.","container-title":"American Journal of Nephrology","DOI":"10.1159/000517358","ISSN":"1421-9670","issue":"7","journalAbbreviation":"Am J Nephrol","language":"eng","note":"PMID: 34311458","page":"548-558","source":"PubMed","title":"Diagnostic Performance of Office versus Ambulatory Blood Pressure in Kidney Transplant Recipients","volume":"52","author":[{"family":"Korogiannou","given":"Maria"},{"family":"Sarafidis","given":"Pantelis"},{"family":"Theodorakopoulou","given":"Marieta P."},{"family":"Alexandrou","given":"Maria-Eleni"},{"family":"Xagas","given":"Efstathios"},{"family":"Boletis","given":"Ioannis N."},{"family":"Marinaki","given":"Smaragdi"}],"issued":{"date-parts":[["2021"]]}}},{"id":18999,"uris":["http://zotero.org/users/3444308/items/ZKWUJBUK"],"itemData":{"id":18999,"type":"article-journal","abstract":"BACKGROUND: Hypertension (HTN) is common following renal transplantation and it is associated with adverse effects on cardiovascular (CV) and graft health. Ambulatory blood pressure monitoring (ABPM) is the preferred method to characterize blood pressure (BP) status, since HTN misclassification by office BP (OBP) is quite common in this population. We performed a systematic review and meta-analysis aimed at determining the clinical utility of 24-h ABPM and its potential implications for the management of HTN in this population.\nMETHODS: Ovid-MEDLINE and PubMed databases were searched for interventional or observational studies enrolling adult kidney transplant recipients (KTRs) undergoing 24-h ABP readings compared with OBP or home BP. The main outcome was the proportion of KTRs diagnosed with HTN by ABPM, home or OBP recordings. Additionally, day-night BP variability and dipper/non-dipper status were assessed.\nRESULTS: Forty-two eligible studies (4115 participants) were reviewed. A cumulative analysis including 27 studies (3481 participants) revealed a prevalence of uncontrolled HTN detected by ABPM of 56% [95% confidence interval (CI) 46-65%]. The pooled prevalence of uncontrolled HTN according to OBP was 47% (95% CI 36-58%) in 25 studies (3261 participants). Very few studies reported on home BP recordings. The average concordance rate between OBP and ABPM measurements in classifying patients as controlled or uncontrolled hypertensive was 66% (95% CI 59-73%). ABPM revealed HTN phenotypes among KTRs. Two pooled analyses of 11 and 10 studies, respectively, revealed an average prevalence of 26% (95% CI 19-33%) for masked HTN (MHT) and 10% (95% CI 6-17%) for white-coat HTN (WCH). The proportion of non-dippers was variable across the 28 studies that analysed dipping status, with an average prevalence of 54% (95% CI 45-63%).\nCONCLUSIONS: In our systematic review, comparison of OBP versus ABP measurements disclosed a high proportion of MHT, uncontrolled HTN and, to a lesser extent, WCH in KTRs. These results suggest that HTN is not adequately diagnosed and controlled by OBP recordings in this population. Furthermore, the high prevalence of non-dippers confirmed that circadian rhythm is commonly disturbed in KTRs.","container-title":"Clinical Kidney Journal","DOI":"10.1093/ckj/sfab135","ISSN":"2048-8505","issue":"1","journalAbbreviation":"Clin Kidney J","language":"eng","note":"PMID: 35035934\nPMCID: PMC8757429","page":"31-42","source":"PubMed","title":"Assessment of hypertension in kidney transplantation by ambulatory blood pressure monitoring: a systematic review and meta-analysis","title-short":"Assessment of hypertension in kidney transplantation by ambulatory blood pressure monitoring","volume":"15","author":[{"family":"Pisano","given":"Anna"},{"family":"Mallamaci","given":"Francesca"},{"family":"D'Arrigo","given":"Graziella"},{"family":"Bolignano","given":"Davide"},{"family":"Wuerzner","given":"Gregoire"},{"family":"Ortiz","given":"Alberto"},{"family":"Burnier","given":"Michel"},{"family":"Kanaan","given":"Nada"},{"family":"Sarafidis","given":"Pantelis"},{"family":"Persu","given":"Alexandre"},{"family":"Ferro","given":"Charles J."},{"family":"Loutradis","given":"Charalampos"},{"family":"Boletis","given":"Ioannis N."},{"family":"London","given":"Gérard"},{"family":"Halimi","given":"Jean-Michel"},{"family":"Sautenet","given":"Bénédicte"},{"family":"Rossignol","given":"Patrick"},{"family":"Vogt","given":"Liffert"},{"family":"Zoccali","given":"Carmine"}],"issued":{"date-parts":[["2022",1]]}}}],"schema":"https://github.com/citation-style-language/schema/raw/master/csl-citation.json"} </w:instrText>
      </w:r>
      <w:r>
        <w:fldChar w:fldCharType="separate"/>
      </w:r>
      <w:r w:rsidR="00CE2429" w:rsidRPr="00CE2429">
        <w:rPr>
          <w:rFonts w:ascii="Calibri" w:hAnsi="Calibri" w:cs="Calibri"/>
          <w:vertAlign w:val="superscript"/>
        </w:rPr>
        <w:t>154,158,159</w:t>
      </w:r>
      <w:r>
        <w:fldChar w:fldCharType="end"/>
      </w:r>
      <w:r w:rsidRPr="00524CA4">
        <w:t>. It appears that KTRs may more frequently present as non-dippers with an average prevalence of 54% shown in a recent meta-analysis</w:t>
      </w:r>
      <w:r>
        <w:t xml:space="preserve"> </w:t>
      </w:r>
      <w:r>
        <w:fldChar w:fldCharType="begin"/>
      </w:r>
      <w:r w:rsidR="006528EA">
        <w:instrText xml:space="preserve"> ADDIN ZOTERO_ITEM CSL_CITATION {"citationID":"ngqZ9dZL","properties":{"formattedCitation":"\\super 157\\nosupersub{}","plainCitation":"157","noteIndex":0},"citationItems":[{"id":19001,"uris":["http://zotero.org/users/3444308/items/BW6UZFIM"],"itemData":{"id":19001,"type":"article-journal","abstract":"BACKGROUND: Sparse studies show that ambulatory blood pressure monitoring (ABPM) is superior to office BP (oBP) measurements to predict target organ damage and cardiovascular (CV) events in kidney transplant recipients (KTRs). We performed a systematic review aimed at determining the potential associations between BP recordings by different methods and renal and CV outcomes in this population.\nMETHODS: Major medical databases were searched for studies enrolling adult KTRs undergoing 24h ABPM compared to office or home BP measurements. Main outcomes were: associations between different BP recordings and renal and CV outcomes. Additionally, any association between the circadian BP pattern (dipping/non-dipping status) and outcomes was assessed.\nRESULTS: Twenty-two studies (2078 participants) were reviewed. Amongst 12 studies collecting data on renal endpoints, ten studies found that BP assessed by ABPM was a stronger predictor of renal function decline, assessed by serum creatinine (SCr) and/or creatinine clearance (CrCl) or estimated glomerular filtration rate (eGFR), than traditional office measurements. Twelve studies analyzed the relation between different BP recordings and CV target organ damages and reported robust correlations between echocardiographic abnormalities [i.e. left ventricular mass index (LVM/LVMI)] and 24h ABPM, but not with office BPs. Furthermore, 24h ABPM correlated better than oBP with markers of vascular damage, such as carotid intima-media thickness (IMT), diffuse thickening, and endothelial dysfunction. Additionally, abnormal circadian BP pattern (non-dippers and reverse dippers) identified a group of kidney recipients at risk for kidney function loss and CV abnormalities.\nCONCLUSIONS: In our systematic review, ABPM reflected target organ damage more closely than oBP in KTRs. Furthermore, altered circadian BP profile associated with renal and CV target organ damages.","container-title":"Nephrology, Dialysis, Transplantation: Official Publication of the European Dialysis and Transplant Association - European Renal Association","DOI":"10.1093/ndt/gfab076","ISSN":"1460-2385","issue":"7","journalAbbreviation":"Nephrol Dial Transplant","language":"eng","note":"PMID: 33764450","page":"1326–1346","source":"PubMed","title":"Blood pressure monitoring in kidney transplantation: a systematic review on hypertension and target organ damage","title-short":"Blood pressure monitoring in kidney transplantation","volume":"36","author":[{"family":"Pisano","given":"Anna"},{"family":"Mallamaci","given":"Francesca"},{"family":"D'Arrigo","given":"Graziella"},{"family":"Bolignano","given":"Davide"},{"family":"Wuerzner","given":"Gregoire"},{"family":"Ortiz","given":"Alberto"},{"family":"Burnier","given":"Michel"},{"family":"Kanaan","given":"Nada"},{"family":"Sarafidis","given":"Pantelis"},{"family":"Persu","given":"Alexandre"},{"family":"Ferro","given":"Charles J."},{"family":"Loutradis","given":"Charalampos"},{"family":"Boletis","given":"Ioannis N."},{"family":"London","given":"Gérard"},{"family":"Halimi","given":"Jean-Michel"},{"family":"Sautenet","given":"Bénédicte"},{"family":"Rossignol","given":"Patrick"},{"family":"Vogt","given":"Liffert"},{"family":"Zoccali","given":"Carmine"}],"issued":{"date-parts":[["2021",7,1]]}}}],"schema":"https://github.com/citation-style-language/schema/raw/master/csl-citation.json"} </w:instrText>
      </w:r>
      <w:r>
        <w:fldChar w:fldCharType="separate"/>
      </w:r>
      <w:r w:rsidR="00CE2429" w:rsidRPr="00CE2429">
        <w:rPr>
          <w:rFonts w:ascii="Calibri" w:hAnsi="Calibri" w:cs="Calibri"/>
          <w:vertAlign w:val="superscript"/>
        </w:rPr>
        <w:t>157</w:t>
      </w:r>
      <w:r>
        <w:fldChar w:fldCharType="end"/>
      </w:r>
      <w:r w:rsidRPr="00524CA4">
        <w:t xml:space="preserve">. Of note, a study has showed that high night-time BP may be a stronger predictor of graft function </w:t>
      </w:r>
      <w:r>
        <w:fldChar w:fldCharType="begin"/>
      </w:r>
      <w:r w:rsidR="006528EA">
        <w:instrText xml:space="preserve"> ADDIN ZOTERO_ITEM CSL_CITATION {"citationID":"RcpgRwSw","properties":{"formattedCitation":"\\super 160\\nosupersub{}","plainCitation":"160","noteIndex":0},"citationItems":[{"id":18998,"uris":["http://zotero.org/users/3444308/items/QDNQ3EA2"],"itemData":{"id":18998,"type":"article-journal","abstract":"OBJECTIVES: Hypertension is a risk factor for renal function loss in kidney transplant patients but there are still no longitudinal studies focusing on the relationship between ambulatory blood pressure (BP) monitoring (ABPM) and the glomerular filtration rate (GFR) evolution over time in these patients.\nMETHODS: In a cohort of 260 renal transplant patients, we investigated the longitudinal relationship between repeated office BP measurements and simultaneous GFR measurements (on average 35 paired measurements per patient) and the relationship between baseline ABPM with the same outcome measure (by linear mixed models). Furthermore, we tested the prediction power of baseline ABPM and standardized BP measurements for a combined renal end point (GFR loss &gt;30%, end-stage kidney disease or death) over a 3.7 years follow-up.\nRESULTS: Longitudinal office BP measurements were inversely related with simultaneous GFR measurements and the same was true both for baseline daytime and night-time BP. (all P</w:instrText>
      </w:r>
      <w:r w:rsidR="006528EA">
        <w:rPr>
          <w:rFonts w:ascii="Arial" w:hAnsi="Arial" w:cs="Arial"/>
        </w:rPr>
        <w:instrText> </w:instrText>
      </w:r>
      <w:r w:rsidR="006528EA">
        <w:instrText>&lt;</w:instrText>
      </w:r>
      <w:r w:rsidR="006528EA">
        <w:rPr>
          <w:rFonts w:ascii="Arial" w:hAnsi="Arial" w:cs="Arial"/>
        </w:rPr>
        <w:instrText> </w:instrText>
      </w:r>
      <w:r w:rsidR="006528EA">
        <w:instrText>0.001). Baseline 24-h ABPM [hazard ratio (5</w:instrText>
      </w:r>
      <w:r w:rsidR="006528EA">
        <w:rPr>
          <w:rFonts w:ascii="Arial" w:hAnsi="Arial" w:cs="Arial"/>
        </w:rPr>
        <w:instrText> </w:instrText>
      </w:r>
      <w:r w:rsidR="006528EA">
        <w:instrText>mmHg):1.11; 95% confidence interval 1.03-1.19] and night-time SBP [hazard ratio (5</w:instrText>
      </w:r>
      <w:r w:rsidR="006528EA">
        <w:rPr>
          <w:rFonts w:ascii="Arial" w:hAnsi="Arial" w:cs="Arial"/>
        </w:rPr>
        <w:instrText> </w:instrText>
      </w:r>
      <w:r w:rsidR="006528EA">
        <w:instrText xml:space="preserve">mmHg):1.10; 95% confidence interval 1.03-1.17] predicted the combined renal end point and the predictive model based on night-time SBP provided a data-fit superior than that by daytime SBP.\nCONCLUSION: In renal transplant patients, daytime and night-time SBP predict the risk of GFR loss overtime, and among the various BP metrics, night-time BP is the strongest indicator of the risk of renal function loss. Optimization of BP control and interventions targeting night-time BP may afford renal benefits in transplant patients, a hypothesis that remains to be tested in a clinical trial.","container-title":"Journal of Hypertension","DOI":"10.1097/HJH.0000000000001530","ISSN":"1473-5598","issue":"1","journalAbbreviation":"J Hypertens","language":"eng","note":"PMID: 28858982","page":"119-125","source":"PubMed","title":"Office, standardized and 24-h ambulatory blood pressure and renal function loss in renal transplant patients","volume":"36","author":[{"family":"Mallamaci","given":"Francesca"},{"family":"D'Arrigo","given":"Graziella"},{"family":"Tripepi","given":"Rocco"},{"family":"Leonardis","given":"Daniela"},{"family":"Porto","given":"Gaetana"},{"family":"Testa","given":"Alessandra"},{"family":"Abd ElHafeez","given":"Samar"},{"family":"Mafrica","given":"Angela"},{"family":"Versace","given":"Maria C."},{"family":"Provenzano","given":"Pasquale F."},{"family":"Tripepi","given":"Giovanni"},{"family":"Mancini","given":"Pellegrino"},{"family":"Zoccali","given":"Carmine"}],"issued":{"date-parts":[["2018",1]]}}}],"schema":"https://github.com/citation-style-language/schema/raw/master/csl-citation.json"} </w:instrText>
      </w:r>
      <w:r>
        <w:fldChar w:fldCharType="separate"/>
      </w:r>
      <w:r w:rsidR="00CE2429" w:rsidRPr="00CE2429">
        <w:rPr>
          <w:rFonts w:ascii="Calibri" w:hAnsi="Calibri" w:cs="Calibri"/>
          <w:vertAlign w:val="superscript"/>
        </w:rPr>
        <w:t>160</w:t>
      </w:r>
      <w:r>
        <w:fldChar w:fldCharType="end"/>
      </w:r>
      <w:r>
        <w:t>.</w:t>
      </w:r>
    </w:p>
    <w:p w14:paraId="579E10F4" w14:textId="4F807E88" w:rsidR="00ED6CD4" w:rsidRPr="00524CA4" w:rsidRDefault="00ED6CD4" w:rsidP="00194333">
      <w:r w:rsidRPr="00524CA4">
        <w:t>The optimal target BP in KTRs has been a topic of discussion. The previous version of this guideline had recommended a target of 140/90 mmHg or 130/80 mmHg with proteinuria based on observations made from retrospective registry studies and in accordance with the previous NICE guideline on CKD management</w:t>
      </w:r>
      <w:r w:rsidR="00A520DC">
        <w:t xml:space="preserve"> </w:t>
      </w:r>
      <w:r>
        <w:fldChar w:fldCharType="begin"/>
      </w:r>
      <w:r w:rsidR="002D20B5">
        <w:instrText xml:space="preserve"> ADDIN ZOTERO_ITEM CSL_CITATION {"citationID":"7G5QOzOZ","properties":{"formattedCitation":"\\super 161\\nosupersub{}","plainCitation":"161","noteIndex":0},"citationItems":[{"id":18997,"uris":["http://zotero.org/users/3444308/items/PCT9Z3Q6"],"itemData":{"id":18997,"type":"report","abstract":"This guideline has been updated and replaced by the chronic kidney disease: assessment and management","language":"eng","publisher":"NICE","title":"Chronic kidney disease in adults: assessment and management | Guidance | NICE","title-short":"Chronic kidney disease in adults","URL":"https://www.nice.org.uk/guidance/cg182","author":[{"literal":"National Institute for Health and Care Excellence"}],"accessed":{"date-parts":[["2025",10,23]]},"issued":{"date-parts":[["2014",7,23]]}}}],"schema":"https://github.com/citation-style-language/schema/raw/master/csl-citation.json"} </w:instrText>
      </w:r>
      <w:r>
        <w:fldChar w:fldCharType="separate"/>
      </w:r>
      <w:r w:rsidR="00CE2429" w:rsidRPr="00CE2429">
        <w:rPr>
          <w:rFonts w:ascii="Calibri" w:hAnsi="Calibri" w:cs="Calibri"/>
          <w:vertAlign w:val="superscript"/>
        </w:rPr>
        <w:t>161</w:t>
      </w:r>
      <w:r>
        <w:fldChar w:fldCharType="end"/>
      </w:r>
      <w:r>
        <w:t>.</w:t>
      </w:r>
    </w:p>
    <w:p w14:paraId="3D96FF6B" w14:textId="01A10156" w:rsidR="00ED6CD4" w:rsidRPr="00524CA4" w:rsidRDefault="00ED6CD4" w:rsidP="00194333">
      <w:r w:rsidRPr="00524CA4">
        <w:t>KDIGO has adopted a more aggressive approach in therapeutic targets of BP in KTRs since 2009, setting the target BP at &lt;130/80 mmHg</w:t>
      </w:r>
      <w:r>
        <w:t xml:space="preserve"> </w:t>
      </w:r>
      <w:r>
        <w:fldChar w:fldCharType="begin"/>
      </w:r>
      <w:r w:rsidR="006528EA">
        <w:instrText xml:space="preserve"> ADDIN ZOTERO_ITEM CSL_CITATION {"citationID":"6gl8o98F","properties":{"formattedCitation":"\\super 36\\nosupersub{}","plainCitation":"36","noteIndex":0},"citationItems":[{"id":18762,"uris":["http://zotero.org/users/3444308/items/XZCK9LB5","http://zotero.org/users/3444308/items/695WFW9B"],"itemData":{"id":18762,"type":"article-journal","abstract":"The 2009 Kidney Disease: Improving Global Outcomes (KDIGO) clinical practice guideline on the monitoring, management, and treatment of kidney transplant recipients is intended to assist the practitioner caring for adults and children after kidney transplantation. The guideline development process followed an evidence-based approach, and management recommendations are based on systematic reviews of relevant treatment trials. Critical appraisal of the quality of the evidence and the strength of recommendations followed the Grades of Recommendation Assessment, Development, and Evaluation (GRADE) approach. The guideline makes recommendations for immunosuppression, graft monitoring, as well as prevention and treatment of infection, cardiovascular disease, malignancy, and other complications that are common in kidney transplant recipients, including hematological and bone disorders. Limitations of the evidence, especially on the lack of definitive clinical outcome trials, are discussed and suggestions are provided for future research.","container-title":"American Journal of Transplantation: Official Journal of the American Society of Transplantation and the American Society of Transplant Surgeons","DOI":"10.1111/j.1600-6143.2009.02834.x","ISSN":"1600-6143","journalAbbreviation":"Am J Transplant","language":"eng","note":"PMID: 19845597","page":"S1-155","source":"PubMed","title":"KDIGO clinical practice guideline for the care of kidney transplant recipients","volume":"9 Suppl 3","author":[{"literal":"Kidney Disease: Improving Global Outcomes (KDIGO) Transplant Work Group"}],"issued":{"date-parts":[["2009",11]]}}}],"schema":"https://github.com/citation-style-language/schema/raw/master/csl-citation.json"} </w:instrText>
      </w:r>
      <w:r>
        <w:fldChar w:fldCharType="separate"/>
      </w:r>
      <w:r w:rsidR="00A04B9C" w:rsidRPr="00A04B9C">
        <w:rPr>
          <w:rFonts w:ascii="Calibri" w:hAnsi="Calibri" w:cs="Calibri"/>
          <w:vertAlign w:val="superscript"/>
        </w:rPr>
        <w:t>36</w:t>
      </w:r>
      <w:r>
        <w:fldChar w:fldCharType="end"/>
      </w:r>
      <w:r w:rsidRPr="00524CA4">
        <w:t xml:space="preserve">, which was again the recommended cut-off for KTRs in 2021 KDIGO guidelines on BP management in CKD </w:t>
      </w:r>
      <w:r>
        <w:fldChar w:fldCharType="begin"/>
      </w:r>
      <w:r w:rsidR="006528EA">
        <w:instrText xml:space="preserve"> ADDIN ZOTERO_ITEM CSL_CITATION {"citationID":"ytvjyUPY","properties":{"formattedCitation":"\\super 162\\nosupersub{}","plainCitation":"162","noteIndex":0},"citationItems":[{"id":18996,"uris":["http://zotero.org/users/3444308/items/CZKC8CCF"],"itemData":{"id":18996,"type":"article-journal","container-title":"Kidney International","DOI":"10.1016/j.kint.2020.11.003","ISSN":"1523-1755","issue":"3S","journalAbbreviation":"Kidney Int","language":"eng","note":"PMID: 33637192","page":"S1-S87","source":"PubMed","title":"KDIGO 2021 Clinical Practice Guideline for the Management of Blood Pressure in Chronic Kidney Disease","volume":"99","author":[{"literal":"Kidney Disease: Improving Global Outcomes (KDIGO) Blood Pressure Work Group"}],"issued":{"date-parts":[["2021",3]]}}}],"schema":"https://github.com/citation-style-language/schema/raw/master/csl-citation.json"} </w:instrText>
      </w:r>
      <w:r>
        <w:fldChar w:fldCharType="separate"/>
      </w:r>
      <w:r w:rsidR="00CE2429" w:rsidRPr="00CE2429">
        <w:rPr>
          <w:rFonts w:ascii="Calibri" w:hAnsi="Calibri" w:cs="Calibri"/>
          <w:vertAlign w:val="superscript"/>
        </w:rPr>
        <w:t>162</w:t>
      </w:r>
      <w:r>
        <w:fldChar w:fldCharType="end"/>
      </w:r>
      <w:r w:rsidRPr="00524CA4">
        <w:t xml:space="preserve">. The same target was recommended by the 2023 European Society of Hypertension guidelines, endorsed by the International Society of Hypertension (ISH) and the European Renal Association (ERA) </w:t>
      </w:r>
      <w:r>
        <w:fldChar w:fldCharType="begin"/>
      </w:r>
      <w:r w:rsidR="006528EA">
        <w:instrText xml:space="preserve"> ADDIN ZOTERO_ITEM CSL_CITATION {"citationID":"nkpdFP2S","properties":{"formattedCitation":"\\super 163\\nosupersub{}","plainCitation":"163","noteIndex":0},"citationItems":[{"id":18995,"uris":["http://zotero.org/users/3444308/items/FPVYWZ96"],"itemData":{"id":18995,"type":"article-journal","abstract":"Luis Alcocer (Mexico), Christina Antza (Greece), Mustafa Arici (Turkey), Eduardo Barbosa (Brazil), Adel Berbari (Lebanon), Luís Bronze (Portugal), John Chalmers (Australia), Tine De Backer (Belgium), Alejandro de la Sierra (Spain), Kyriakos Dimitriadis (Greece), Dorota Drozdz (Poland), Béatrice Duly-Bouhanick (France), Brent M. Egan (USA), Serap Erdine (Turkey), Claudio Ferri (Italy), Slavomira Filipova (Slovak Republic), Anthony Heagerty (UK), Michael Hecht Olsen (Denmark), Dagmara Hering (Poland), Sang Hyun Ihm (South Korea), Uday Jadhav (India), Manolis Kallistratos (Greece), Kazuomi Kario (Japan), Vasilios Kotsis (Greece), Adi Leiba (Israel), Patricio López-Jaramillo (Colombia), Hans-Peter Marti (Norway), Terry McCormack (UK), Paolo Mulatero (Italy), Dike B. Ojji (Nigeria), Sungha Park (South Korea), Priit Pauklin (Estonia), Sabine Perl (Austria), Arman Postadzhian (Bulgaria), Aleksander Prejbisz (Poland), Venkata Ram (India), Ramiro Sanchez (Argentina), Markus Schlaich (Australia), Alta Schutte (Australia), Cristina Sierra (Spain), Sekib Sokolovic (Bosnia and Herzegovina), Jonas Spaak (Sweden), Dimitrios Terentes-Printzios (Greece), Bruno Trimarco (Italy), Thomas Unger (The Netherlands), Bert-Jan van den Born (The Netherlands), Anna Vachulova (Slovak Republic), Agostino Virdis (Italy), Jiguang Wang (China), Ulrich Wenzel (Germany), Paul Whelton (USA), Jiri Widimsky (Czech Republic), Jacek Wolf (Poland), Grégoire Wuerzner (Switzerland), Eugene Yang (USA), Yuqing Zhang (China).","container-title":"Journal of Hypertension","DOI":"10.1097/HJH.0000000000003480","ISSN":"1473-5598","issue":"12","journalAbbreviation":"J Hypertens","language":"eng","note":"PMID: 37345492","page":"1874-2071","source":"PubMed","title":"2023 ESH Guidelines for the management of arterial hypertension The Task Force for the management of arterial hypertension of the European Society of Hypertension: Endorsed by the International Society of Hypertension (ISH) and the European Renal Association (ERA)","title-short":"2023 ESH Guidelines for the management of arterial hypertension The Task Force for the management of arterial hypertension of the European Society of Hypertension","volume":"41","author":[{"family":"Mancia","given":"Giuseppe"},{"family":"Kreutz","given":"Reinhold"},{"family":"Brunström","given":"Mattias"},{"family":"Burnier","given":"Michel"},{"family":"Grassi","given":"Guido"},{"family":"Januszewicz","given":"Andrzej"},{"family":"Muiesan","given":"Maria Lorenza"},{"family":"Tsioufis","given":"Konstantinos"},{"family":"Agabiti-Rosei","given":"Enrico"},{"family":"Algharably","given":"Engi Abd Elhady"},{"family":"Azizi","given":"Michel"},{"family":"Benetos","given":"Athanase"},{"family":"Borghi","given":"Claudio"},{"family":"Hitij","given":"Jana Brguljan"},{"family":"Cifkova","given":"Renata"},{"family":"Coca","given":"Antonio"},{"family":"Cornelissen","given":"Veronique"},{"family":"Cruickshank","given":"J. Kennedy"},{"family":"Cunha","given":"Pedro G."},{"family":"Danser","given":"A. H. Jan"},{"family":"Pinho","given":"Rosa Maria","dropping-particle":"de"},{"family":"Delles","given":"Christian"},{"family":"Dominiczak","given":"Anna F."},{"family":"Dorobantu","given":"Maria"},{"family":"Doumas","given":"Michalis"},{"family":"Fernández-Alfonso","given":"María S."},{"family":"Halimi","given":"Jean-Michel"},{"family":"Járai","given":"Zoltán"},{"family":"Jelaković","given":"Bojan"},{"family":"Jordan","given":"Jens"},{"family":"Kuznetsova","given":"Tatiana"},{"family":"Laurent","given":"Stephane"},{"family":"Lovic","given":"Dragan"},{"family":"Lurbe","given":"Empar"},{"family":"Mahfoud","given":"Felix"},{"family":"Manolis","given":"Athanasios"},{"family":"Miglinas","given":"Marius"},{"family":"Narkiewicz","given":"Krzystof"},{"family":"Niiranen","given":"Teemu"},{"family":"Palatini","given":"Paolo"},{"family":"Parati","given":"Gianfranco"},{"family":"Pathak","given":"Atul"},{"family":"Persu","given":"Alexandre"},{"family":"Polonia","given":"Jorge"},{"family":"Redon","given":"Josep"},{"family":"Sarafidis","given":"Pantelis"},{"family":"Schmieder","given":"Roland"},{"family":"Spronck","given":"Bart"},{"family":"Stabouli","given":"Stella"},{"family":"Stergiou","given":"George"},{"family":"Taddei","given":"Stefano"},{"family":"Thomopoulos","given":"Costas"},{"family":"Tomaszewski","given":"Maciej"},{"family":"Van de Borne","given":"Philippe"},{"family":"Wanner","given":"Christoph"},{"family":"Weber","given":"Thomas"},{"family":"Williams","given":"Bryan"},{"family":"Zhang","given":"Zhen-Yu"},{"family":"Kjeldsen","given":"Sverre E."}],"issued":{"date-parts":[["2023",12,1]]}}}],"schema":"https://github.com/citation-style-language/schema/raw/master/csl-citation.json"} </w:instrText>
      </w:r>
      <w:r>
        <w:fldChar w:fldCharType="separate"/>
      </w:r>
      <w:r w:rsidR="00CE2429" w:rsidRPr="00CE2429">
        <w:rPr>
          <w:rFonts w:ascii="Calibri" w:hAnsi="Calibri" w:cs="Calibri"/>
          <w:vertAlign w:val="superscript"/>
        </w:rPr>
        <w:t>163</w:t>
      </w:r>
      <w:r>
        <w:fldChar w:fldCharType="end"/>
      </w:r>
      <w:r w:rsidRPr="00524CA4">
        <w:t xml:space="preserve">. </w:t>
      </w:r>
    </w:p>
    <w:p w14:paraId="64D17F7D" w14:textId="44B57645" w:rsidR="00ED6CD4" w:rsidRPr="00524CA4" w:rsidRDefault="00ED6CD4" w:rsidP="00194333">
      <w:r w:rsidRPr="00524CA4">
        <w:t xml:space="preserve">Indeed, observational studies have demonstrated that BP below that target, is associated with improved graft outcomes </w:t>
      </w:r>
      <w:r>
        <w:fldChar w:fldCharType="begin"/>
      </w:r>
      <w:r w:rsidR="006528EA">
        <w:instrText xml:space="preserve"> ADDIN ZOTERO_ITEM CSL_CITATION {"citationID":"BefLsrz0","properties":{"formattedCitation":"\\super 164\\nosupersub{}","plainCitation":"164","noteIndex":0},"citationItems":[{"id":18991,"uris":["http://zotero.org/users/3444308/items/9QX3DXEB"],"itemData":{"id":18991,"type":"article-journal","abstract":"BACKGROUD: Hypertension is highly prevalent in patients with kidney transplantation caused by transplantation-related immunologic or non-immunologic risk factors. However, whether a strict definition of hypertension (≥130/80</w:instrText>
      </w:r>
      <w:r w:rsidR="006528EA">
        <w:rPr>
          <w:rFonts w:ascii="Arial" w:hAnsi="Arial" w:cs="Arial"/>
        </w:rPr>
        <w:instrText> </w:instrText>
      </w:r>
      <w:r w:rsidR="006528EA">
        <w:instrText>mmHg) and subdivided blood pressure (BP) groups are associated with an increased risk of graft failure after kidney transplantation using a nationwide large cohort study are still unknown.\nMETHODS: Using Korean National Health Insurance Service data, we included 14,249 patients who underwent kidney transplantation from 2002 to 2016. Patients were categorized into five BP groups according to the 2021 Kidney Disease: Improving Global Outcomes practice guidelines for BP management: normal BP (&lt;120/80</w:instrText>
      </w:r>
      <w:r w:rsidR="006528EA">
        <w:rPr>
          <w:rFonts w:ascii="Arial" w:hAnsi="Arial" w:cs="Arial"/>
        </w:rPr>
        <w:instrText> </w:instrText>
      </w:r>
      <w:r w:rsidR="006528EA">
        <w:instrText>mmHg), elevated BP (120-129/</w:instrText>
      </w:r>
      <w:r w:rsidR="006528EA">
        <w:rPr>
          <w:rFonts w:ascii="Arial" w:hAnsi="Arial" w:cs="Arial"/>
        </w:rPr>
        <w:instrText> </w:instrText>
      </w:r>
      <w:r w:rsidR="006528EA">
        <w:instrText>&lt;</w:instrText>
      </w:r>
      <w:r w:rsidR="006528EA">
        <w:rPr>
          <w:rFonts w:ascii="Arial" w:hAnsi="Arial" w:cs="Arial"/>
        </w:rPr>
        <w:instrText> </w:instrText>
      </w:r>
      <w:r w:rsidR="006528EA">
        <w:instrText>80</w:instrText>
      </w:r>
      <w:r w:rsidR="006528EA">
        <w:rPr>
          <w:rFonts w:ascii="Arial" w:hAnsi="Arial" w:cs="Arial"/>
        </w:rPr>
        <w:instrText> </w:instrText>
      </w:r>
      <w:r w:rsidR="006528EA">
        <w:instrText>mmHg), incident hypertension (</w:instrText>
      </w:r>
      <w:r w:rsidR="006528EA">
        <w:rPr>
          <w:rFonts w:ascii="Aptos" w:hAnsi="Aptos" w:cs="Aptos"/>
        </w:rPr>
        <w:instrText>≥</w:instrText>
      </w:r>
      <w:r w:rsidR="006528EA">
        <w:instrText>130/80</w:instrText>
      </w:r>
      <w:r w:rsidR="006528EA">
        <w:rPr>
          <w:rFonts w:ascii="Arial" w:hAnsi="Arial" w:cs="Arial"/>
        </w:rPr>
        <w:instrText> </w:instrText>
      </w:r>
      <w:r w:rsidR="006528EA">
        <w:instrText>mmHg), and controlled or uncontrolled hypertension with anti-hypertensive medications.\nRESULTS: The primary outcome was graft failure, which occurred in 1934 (13.6%) participants during the 6-year follow-up. After adjusting for covariates, hypertension was associated with a higher risk of graft failure [Adjusted hazard ratio (AHR), 1.70; 95% confidence interval (CI), 1.48-1.96)] than no-hypertension. The AHR for graft failure was the highest in patients with uncontrolled hypertension (AHR, 2.13; 95% CI, 1.80-2.52). The risk of graft failure had a linear relationship with systolic and diastolic BP, and pulse pressure.\nCONCLUSIONS: In this nationwide population-based study, hypertension</w:instrText>
      </w:r>
      <w:r w:rsidR="006528EA">
        <w:rPr>
          <w:rFonts w:ascii="Arial" w:hAnsi="Arial" w:cs="Arial"/>
        </w:rPr>
        <w:instrText> </w:instrText>
      </w:r>
      <w:r w:rsidR="006528EA">
        <w:rPr>
          <w:rFonts w:ascii="Aptos" w:hAnsi="Aptos" w:cs="Aptos"/>
        </w:rPr>
        <w:instrText>≥</w:instrText>
      </w:r>
      <w:r w:rsidR="006528EA">
        <w:instrText>130/80</w:instrText>
      </w:r>
      <w:r w:rsidR="006528EA">
        <w:rPr>
          <w:rFonts w:ascii="Arial" w:hAnsi="Arial" w:cs="Arial"/>
        </w:rPr>
        <w:instrText> </w:instrText>
      </w:r>
      <w:r w:rsidR="006528EA">
        <w:instrText xml:space="preserve">mmHg based on the 2021 KDIGO BP guidelines in kidney transplantion recipients, and elevated systolic and diastolic BP, and pulse pressure were associated with the risk of developing graft failure in kidney transplant recipients.","container-title":"Frontiers in Cardiovascular Medicine","DOI":"10.3389/fcvm.2023.1185001","ISSN":"2297-055X","journalAbbreviation":"Front Cardiovasc Med","language":"eng","note":"PMID: 37522087\nPMCID: PMC10379652","page":"1185001","source":"PubMed","title":"Uncontrolled hypertension is associated with increased risk of graft failure in kidney transplant recipients: a nationwide population-based study","title-short":"Uncontrolled hypertension is associated with increased risk of graft failure in kidney transplant recipients","volume":"10","author":[{"family":"Kim","given":"Chang Seong"},{"family":"Oh","given":"Tae Ryom"},{"family":"Suh","given":"Sang Heon"},{"family":"Choi","given":"Hong Sang"},{"family":"Bae","given":"Eun Hui"},{"family":"Ma","given":"Seong Kwon"},{"family":"Jung","given":"Jin Hyung"},{"family":"Kim","given":"Bongseong"},{"family":"Han","given":"Kyung-Do"},{"family":"Kim","given":"Soo Wan"}],"issued":{"date-parts":[["2023"]]}}}],"schema":"https://github.com/citation-style-language/schema/raw/master/csl-citation.json"} </w:instrText>
      </w:r>
      <w:r>
        <w:fldChar w:fldCharType="separate"/>
      </w:r>
      <w:r w:rsidR="00CE2429" w:rsidRPr="00CE2429">
        <w:rPr>
          <w:rFonts w:ascii="Calibri" w:hAnsi="Calibri" w:cs="Calibri"/>
          <w:vertAlign w:val="superscript"/>
        </w:rPr>
        <w:t>164</w:t>
      </w:r>
      <w:r>
        <w:fldChar w:fldCharType="end"/>
      </w:r>
      <w:r>
        <w:t xml:space="preserve"> </w:t>
      </w:r>
      <w:r w:rsidRPr="00524CA4">
        <w:t xml:space="preserve">and survival </w:t>
      </w:r>
      <w:r>
        <w:fldChar w:fldCharType="begin"/>
      </w:r>
      <w:r w:rsidR="006528EA">
        <w:instrText xml:space="preserve"> ADDIN ZOTERO_ITEM CSL_CITATION {"citationID":"OdG3FDMa","properties":{"formattedCitation":"\\super 165\\nosupersub{}","plainCitation":"165","noteIndex":0},"citationItems":[{"id":18990,"uris":["http://zotero.org/users/3444308/items/4R9RXND4"],"itemData":{"id":18990,"type":"article-journal","abstract":"Based on data of the SPRINT trial, American hypertension guidelines recently reduced the blood pressure goal from 140/90</w:instrText>
      </w:r>
      <w:r w:rsidR="006528EA">
        <w:rPr>
          <w:rFonts w:ascii="Arial" w:hAnsi="Arial" w:cs="Arial"/>
        </w:rPr>
        <w:instrText> </w:instrText>
      </w:r>
      <w:r w:rsidR="006528EA">
        <w:instrText>mmHg to 130/80</w:instrText>
      </w:r>
      <w:r w:rsidR="006528EA">
        <w:rPr>
          <w:rFonts w:ascii="Arial" w:hAnsi="Arial" w:cs="Arial"/>
        </w:rPr>
        <w:instrText> </w:instrText>
      </w:r>
      <w:r w:rsidR="006528EA">
        <w:instrText>mmHg for subjects with chronic kidney disease (CKD), whereas European guidelines recommend a systolic blood pressure (SBP) of 130-139</w:instrText>
      </w:r>
      <w:r w:rsidR="006528EA">
        <w:rPr>
          <w:rFonts w:ascii="Arial" w:hAnsi="Arial" w:cs="Arial"/>
        </w:rPr>
        <w:instrText> </w:instrText>
      </w:r>
      <w:r w:rsidR="006528EA">
        <w:instrText>mmHg. The present analysis investigates whether a SBP</w:instrText>
      </w:r>
      <w:r w:rsidR="006528EA">
        <w:rPr>
          <w:rFonts w:ascii="Arial" w:hAnsi="Arial" w:cs="Arial"/>
        </w:rPr>
        <w:instrText> </w:instrText>
      </w:r>
      <w:r w:rsidR="006528EA">
        <w:instrText>&lt;</w:instrText>
      </w:r>
      <w:r w:rsidR="006528EA">
        <w:rPr>
          <w:rFonts w:ascii="Arial" w:hAnsi="Arial" w:cs="Arial"/>
        </w:rPr>
        <w:instrText> </w:instrText>
      </w:r>
      <w:r w:rsidR="006528EA">
        <w:instrText>130</w:instrText>
      </w:r>
      <w:r w:rsidR="006528EA">
        <w:rPr>
          <w:rFonts w:ascii="Arial" w:hAnsi="Arial" w:cs="Arial"/>
        </w:rPr>
        <w:instrText> </w:instrText>
      </w:r>
      <w:r w:rsidR="006528EA">
        <w:instrText>mmHg is associated with an additional benefit in renal transplant recipients. We performed a retrospective analysis of 815 renal transplant recipients who were stratified according to mean office SBP values</w:instrText>
      </w:r>
      <w:r w:rsidR="006528EA">
        <w:rPr>
          <w:rFonts w:ascii="Arial" w:hAnsi="Arial" w:cs="Arial"/>
        </w:rPr>
        <w:instrText> </w:instrText>
      </w:r>
      <w:r w:rsidR="006528EA">
        <w:instrText>&lt;</w:instrText>
      </w:r>
      <w:r w:rsidR="006528EA">
        <w:rPr>
          <w:rFonts w:ascii="Arial" w:hAnsi="Arial" w:cs="Arial"/>
        </w:rPr>
        <w:instrText> </w:instrText>
      </w:r>
      <w:r w:rsidR="006528EA">
        <w:instrText>130</w:instrText>
      </w:r>
      <w:r w:rsidR="006528EA">
        <w:rPr>
          <w:rFonts w:ascii="Arial" w:hAnsi="Arial" w:cs="Arial"/>
        </w:rPr>
        <w:instrText> </w:instrText>
      </w:r>
      <w:r w:rsidR="006528EA">
        <w:instrText>mmHg, 130-139</w:instrText>
      </w:r>
      <w:r w:rsidR="006528EA">
        <w:rPr>
          <w:rFonts w:ascii="Arial" w:hAnsi="Arial" w:cs="Arial"/>
        </w:rPr>
        <w:instrText> </w:instrText>
      </w:r>
      <w:r w:rsidR="006528EA">
        <w:instrText xml:space="preserve">mmHg or </w:instrText>
      </w:r>
      <w:r w:rsidR="006528EA">
        <w:rPr>
          <w:rFonts w:ascii="Aptos" w:hAnsi="Aptos" w:cs="Aptos"/>
        </w:rPr>
        <w:instrText>≥</w:instrText>
      </w:r>
      <w:r w:rsidR="006528EA">
        <w:instrText>140</w:instrText>
      </w:r>
      <w:r w:rsidR="006528EA">
        <w:rPr>
          <w:rFonts w:ascii="Arial" w:hAnsi="Arial" w:cs="Arial"/>
        </w:rPr>
        <w:instrText> </w:instrText>
      </w:r>
      <w:r w:rsidR="006528EA">
        <w:instrText>mmHg. Patient and graft survival was defined as composite endpoint, follow-up was limited to 120 months. Mean SBP of the follow-up was significantly associated with the composite endpoint (n</w:instrText>
      </w:r>
      <w:r w:rsidR="006528EA">
        <w:rPr>
          <w:rFonts w:ascii="Arial" w:hAnsi="Arial" w:cs="Arial"/>
        </w:rPr>
        <w:instrText> </w:instrText>
      </w:r>
      <w:r w:rsidR="006528EA">
        <w:instrText>=</w:instrText>
      </w:r>
      <w:r w:rsidR="006528EA">
        <w:rPr>
          <w:rFonts w:ascii="Arial" w:hAnsi="Arial" w:cs="Arial"/>
        </w:rPr>
        <w:instrText> </w:instrText>
      </w:r>
      <w:r w:rsidR="006528EA">
        <w:instrText>218) with better survival for a SBP</w:instrText>
      </w:r>
      <w:r w:rsidR="006528EA">
        <w:rPr>
          <w:rFonts w:ascii="Arial" w:hAnsi="Arial" w:cs="Arial"/>
        </w:rPr>
        <w:instrText> </w:instrText>
      </w:r>
      <w:r w:rsidR="006528EA">
        <w:instrText>&lt;</w:instrText>
      </w:r>
      <w:r w:rsidR="006528EA">
        <w:rPr>
          <w:rFonts w:ascii="Arial" w:hAnsi="Arial" w:cs="Arial"/>
        </w:rPr>
        <w:instrText> </w:instrText>
      </w:r>
      <w:r w:rsidR="006528EA">
        <w:instrText>130</w:instrText>
      </w:r>
      <w:r w:rsidR="006528EA">
        <w:rPr>
          <w:rFonts w:ascii="Arial" w:hAnsi="Arial" w:cs="Arial"/>
        </w:rPr>
        <w:instrText> </w:instrText>
      </w:r>
      <w:r w:rsidR="006528EA">
        <w:instrText>mmHg and 130-139</w:instrText>
      </w:r>
      <w:r w:rsidR="006528EA">
        <w:rPr>
          <w:rFonts w:ascii="Arial" w:hAnsi="Arial" w:cs="Arial"/>
        </w:rPr>
        <w:instrText> </w:instrText>
      </w:r>
      <w:r w:rsidR="006528EA">
        <w:instrText xml:space="preserve">mmHg compared to </w:instrText>
      </w:r>
      <w:r w:rsidR="006528EA">
        <w:rPr>
          <w:rFonts w:ascii="Aptos" w:hAnsi="Aptos" w:cs="Aptos"/>
        </w:rPr>
        <w:instrText>≥</w:instrText>
      </w:r>
      <w:r w:rsidR="006528EA">
        <w:instrText>140</w:instrText>
      </w:r>
      <w:r w:rsidR="006528EA">
        <w:rPr>
          <w:rFonts w:ascii="Arial" w:hAnsi="Arial" w:cs="Arial"/>
        </w:rPr>
        <w:instrText> </w:instrText>
      </w:r>
      <w:r w:rsidR="006528EA">
        <w:instrText>mmHg (p</w:instrText>
      </w:r>
      <w:r w:rsidR="006528EA">
        <w:rPr>
          <w:rFonts w:ascii="Arial" w:hAnsi="Arial" w:cs="Arial"/>
        </w:rPr>
        <w:instrText> </w:instrText>
      </w:r>
      <w:r w:rsidR="006528EA">
        <w:instrText>&lt;</w:instrText>
      </w:r>
      <w:r w:rsidR="006528EA">
        <w:rPr>
          <w:rFonts w:ascii="Arial" w:hAnsi="Arial" w:cs="Arial"/>
        </w:rPr>
        <w:instrText> </w:instrText>
      </w:r>
      <w:r w:rsidR="006528EA">
        <w:instrText>0.001). The differences in the combined endpoint remained significant in Cox regression analysis adjusted for age, gender and eGFR (p</w:instrText>
      </w:r>
      <w:r w:rsidR="006528EA">
        <w:rPr>
          <w:rFonts w:ascii="Arial" w:hAnsi="Arial" w:cs="Arial"/>
        </w:rPr>
        <w:instrText> </w:instrText>
      </w:r>
      <w:r w:rsidR="006528EA">
        <w:instrText>=</w:instrText>
      </w:r>
      <w:r w:rsidR="006528EA">
        <w:rPr>
          <w:rFonts w:ascii="Arial" w:hAnsi="Arial" w:cs="Arial"/>
        </w:rPr>
        <w:instrText> </w:instrText>
      </w:r>
      <w:r w:rsidR="006528EA">
        <w:instrText>0.007, HR</w:instrText>
      </w:r>
      <w:r w:rsidR="006528EA">
        <w:rPr>
          <w:rFonts w:ascii="Arial" w:hAnsi="Arial" w:cs="Arial"/>
        </w:rPr>
        <w:instrText> </w:instrText>
      </w:r>
      <w:r w:rsidR="006528EA">
        <w:instrText>=</w:instrText>
      </w:r>
      <w:r w:rsidR="006528EA">
        <w:rPr>
          <w:rFonts w:ascii="Arial" w:hAnsi="Arial" w:cs="Arial"/>
        </w:rPr>
        <w:instrText> </w:instrText>
      </w:r>
      <w:r w:rsidR="006528EA">
        <w:instrText>0.58, 95%CI</w:instrText>
      </w:r>
      <w:r w:rsidR="006528EA">
        <w:rPr>
          <w:rFonts w:ascii="Arial" w:hAnsi="Arial" w:cs="Arial"/>
        </w:rPr>
        <w:instrText> </w:instrText>
      </w:r>
      <w:r w:rsidR="006528EA">
        <w:instrText>=</w:instrText>
      </w:r>
      <w:r w:rsidR="006528EA">
        <w:rPr>
          <w:rFonts w:ascii="Arial" w:hAnsi="Arial" w:cs="Arial"/>
        </w:rPr>
        <w:instrText> </w:instrText>
      </w:r>
      <w:r w:rsidR="006528EA">
        <w:instrText>0.41-0.53), but not for graft survival alone. Renal transplant recipients with SBP</w:instrText>
      </w:r>
      <w:r w:rsidR="006528EA">
        <w:rPr>
          <w:rFonts w:ascii="Arial" w:hAnsi="Arial" w:cs="Arial"/>
        </w:rPr>
        <w:instrText> </w:instrText>
      </w:r>
      <w:r w:rsidR="006528EA">
        <w:instrText>&lt;</w:instrText>
      </w:r>
      <w:r w:rsidR="006528EA">
        <w:rPr>
          <w:rFonts w:ascii="Arial" w:hAnsi="Arial" w:cs="Arial"/>
        </w:rPr>
        <w:instrText> </w:instrText>
      </w:r>
      <w:r w:rsidR="006528EA">
        <w:instrText>130</w:instrText>
      </w:r>
      <w:r w:rsidR="006528EA">
        <w:rPr>
          <w:rFonts w:ascii="Arial" w:hAnsi="Arial" w:cs="Arial"/>
        </w:rPr>
        <w:instrText> </w:instrText>
      </w:r>
      <w:r w:rsidR="006528EA">
        <w:instrText>mmHg had a lower mortality than those with the conservative blood pressure goal &lt;140</w:instrText>
      </w:r>
      <w:r w:rsidR="006528EA">
        <w:rPr>
          <w:rFonts w:ascii="Arial" w:hAnsi="Arial" w:cs="Arial"/>
        </w:rPr>
        <w:instrText> </w:instrText>
      </w:r>
      <w:r w:rsidR="006528EA">
        <w:instrText xml:space="preserve">mmHg. These data suggest that the new AHA BP targets are safe for renal transplant recipients and - with all limitations of a retrospective analysis - might even be associated with improved outcome.","container-title":"Scientific Reports","DOI":"10.1038/s41598-019-46991-2","ISSN":"2045-2322","issue":"1","journalAbbreviation":"Sci Rep","language":"eng","note":"PMID: 31324868\nPMCID: PMC6642181","page":"10507","source":"PubMed","title":"Intensive blood pressure control is associated with improved patient and graft survival after renal transplantation","volume":"9","author":[{"family":"Pagonas","given":"Nikolaos"},{"family":"Bauer","given":"Frederic"},{"family":"Seibert","given":"Felix S."},{"family":"Seidel","given":"Maximilian"},{"family":"Schenker","given":"Peter"},{"family":"Kykalos","given":"Stylianos"},{"family":"Dürr","given":"Michael"},{"family":"Reinke","given":"Petra"},{"family":"Babel","given":"Nina"},{"family":"Viebahn","given":"Richard"},{"family":"Westhoff","given":"Timm H."}],"issued":{"date-parts":[["2019",7,19]]}}}],"schema":"https://github.com/citation-style-language/schema/raw/master/csl-citation.json"} </w:instrText>
      </w:r>
      <w:r>
        <w:fldChar w:fldCharType="separate"/>
      </w:r>
      <w:r w:rsidR="00CE2429" w:rsidRPr="00CE2429">
        <w:rPr>
          <w:rFonts w:ascii="Calibri" w:hAnsi="Calibri" w:cs="Calibri"/>
          <w:vertAlign w:val="superscript"/>
        </w:rPr>
        <w:t>165</w:t>
      </w:r>
      <w:r>
        <w:fldChar w:fldCharType="end"/>
      </w:r>
      <w:r>
        <w:t>.</w:t>
      </w:r>
    </w:p>
    <w:p w14:paraId="3E0391D9" w14:textId="5C009100" w:rsidR="00ED6CD4" w:rsidRPr="00524CA4" w:rsidRDefault="00ED6CD4" w:rsidP="00194333">
      <w:r w:rsidRPr="00524CA4">
        <w:t xml:space="preserve">The Systolic Blood Pressure Intervention Trial (SPRINT) </w:t>
      </w:r>
      <w:r>
        <w:fldChar w:fldCharType="begin"/>
      </w:r>
      <w:r w:rsidR="006528EA">
        <w:instrText xml:space="preserve"> ADDIN ZOTERO_ITEM CSL_CITATION {"citationID":"7JqIrXDd","properties":{"formattedCitation":"\\super 166\\nosupersub{}","plainCitation":"166","noteIndex":0},"citationItems":[{"id":18989,"uris":["http://zotero.org/users/3444308/items/6NGCHVND"],"itemData":{"id":18989,"type":"article-journal","abstract":"BACKGROUND: The most appropriate targets for systolic blood pressure to reduce cardiovascular morbidity and mortality among persons without diabetes remain uncertain.\nMETHODS: We randomly assigned 9361 persons with a systolic blood pressure of 130 mm Hg or higher and an increased cardiovascular risk, but without diabetes, to a systolic blood-pressure target of less than 120 mm Hg (intensive treatment) or a target of less than 140 mm Hg (standard treatment). The primary composite outcome was myocardial infarction, other acute coronary syndromes, stroke, heart failure, or death from cardiovascular causes.\nRESULTS: At 1 year, the mean systolic blood pressure was 121.4 mm Hg in the intensive-treatment group and 136.2 mm Hg in the standard-treatment group. The intervention was stopped early after a median follow-up of 3.26 years owing to a significantly lower rate of the primary composite outcome in the intensive-treatment group than in the standard-treatment group (1.65% per year vs. 2.19% per year; hazard ratio with intensive treatment, 0.75; 95% confidence interval [CI], 0.64 to 0.89; P&lt;0.001). All-cause mortality was also significantly lower in the intensive-treatment group (hazard ratio, 0.73; 95% CI, 0.60 to 0.90; P=0.003). Rates of serious adverse events of hypotension, syncope, electrolyte abnormalities, and acute kidney injury or failure, but not of injurious falls, were higher in the intensive-treatment group than in the standard-treatment group.\nCONCLUSIONS: Among patients at high risk for cardiovascular events but without diabetes, targeting a systolic blood pressure of less than 120 mm Hg, as compared with less than 140 mm Hg, resulted in lower rates of fatal and nonfatal major cardiovascular events and death from any cause, although significantly higher rates of some adverse events were observed in the intensive-treatment group. (Funded by the National Institutes of Health; ClinicalTrials.gov number, NCT01206062.).","container-title":"The New England Journal of Medicine","DOI":"10.1056/NEJMoa1511939","ISSN":"1533-4406","issue":"22","journalAbbreviation":"N Engl J Med","language":"eng","note":"PMID: 26551272\nPMCID: PMC4689591","page":"2103-2116","source":"PubMed","title":"A Randomized Trial of Intensive versus Standard Blood-Pressure Control","volume":"373","author":[{"literal":"SPRINT Research Group"},{"family":"Wright","given":"Jackson T."},{"family":"Williamson","given":"Jeff D."},{"family":"Whelton","given":"Paul K."},{"family":"Snyder","given":"Joni K."},{"family":"Sink","given":"Kaycee M."},{"family":"Rocco","given":"Michael V."},{"family":"Reboussin","given":"David M."},{"family":"Rahman","given":"Mahboob"},{"family":"Oparil","given":"Suzanne"},{"family":"Lewis","given":"Cora E."},{"family":"Kimmel","given":"Paul L."},{"family":"Johnson","given":"Karen C."},{"family":"Goff","given":"David C."},{"family":"Fine","given":"Lawrence J."},{"family":"Cutler","given":"Jeffrey A."},{"family":"Cushman","given":"William C."},{"family":"Cheung","given":"Alfred K."},{"family":"Ambrosius","given":"Walter T."}],"issued":{"date-parts":[["2015",11,26]]}}}],"schema":"https://github.com/citation-style-language/schema/raw/master/csl-citation.json"} </w:instrText>
      </w:r>
      <w:r>
        <w:fldChar w:fldCharType="separate"/>
      </w:r>
      <w:r w:rsidR="00CE2429" w:rsidRPr="00CE2429">
        <w:rPr>
          <w:rFonts w:ascii="Calibri" w:hAnsi="Calibri" w:cs="Calibri"/>
          <w:vertAlign w:val="superscript"/>
        </w:rPr>
        <w:t>166</w:t>
      </w:r>
      <w:r>
        <w:fldChar w:fldCharType="end"/>
      </w:r>
      <w:r w:rsidRPr="00524CA4">
        <w:t>, though not having included KTRs in its population, has provided valuable insight of the benefits of aggressive BP control in the general population and a subgroup of CKD patients, along with sparking a lot of discussion on how BP is assessed in clinical setting and what is a pragmatic approach in real life.</w:t>
      </w:r>
    </w:p>
    <w:p w14:paraId="37C8DEA8" w14:textId="1841AF17" w:rsidR="00ED6CD4" w:rsidRPr="00524CA4" w:rsidRDefault="00ED6CD4" w:rsidP="00194333">
      <w:r w:rsidRPr="00524CA4">
        <w:lastRenderedPageBreak/>
        <w:t xml:space="preserve">Both KDIGO </w:t>
      </w:r>
      <w:r>
        <w:fldChar w:fldCharType="begin"/>
      </w:r>
      <w:r w:rsidR="006528EA">
        <w:instrText xml:space="preserve"> ADDIN ZOTERO_ITEM CSL_CITATION {"citationID":"GPwI9pP1","properties":{"formattedCitation":"\\super 162\\nosupersub{}","plainCitation":"162","noteIndex":0},"citationItems":[{"id":18996,"uris":["http://zotero.org/users/3444308/items/CZKC8CCF"],"itemData":{"id":18996,"type":"article-journal","container-title":"Kidney International","DOI":"10.1016/j.kint.2020.11.003","ISSN":"1523-1755","issue":"3S","journalAbbreviation":"Kidney Int","language":"eng","note":"PMID: 33637192","page":"S1-S87","source":"PubMed","title":"KDIGO 2021 Clinical Practice Guideline for the Management of Blood Pressure in Chronic Kidney Disease","volume":"99","author":[{"literal":"Kidney Disease: Improving Global Outcomes (KDIGO) Blood Pressure Work Group"}],"issued":{"date-parts":[["2021",3]]}}}],"schema":"https://github.com/citation-style-language/schema/raw/master/csl-citation.json"} </w:instrText>
      </w:r>
      <w:r>
        <w:fldChar w:fldCharType="separate"/>
      </w:r>
      <w:r w:rsidR="00CE2429" w:rsidRPr="00CE2429">
        <w:rPr>
          <w:rFonts w:ascii="Calibri" w:hAnsi="Calibri" w:cs="Calibri"/>
          <w:vertAlign w:val="superscript"/>
        </w:rPr>
        <w:t>162</w:t>
      </w:r>
      <w:r>
        <w:fldChar w:fldCharType="end"/>
      </w:r>
      <w:r>
        <w:t xml:space="preserve"> </w:t>
      </w:r>
      <w:r w:rsidRPr="00524CA4">
        <w:t>and the UK Kidney Association (UKKA)</w:t>
      </w:r>
      <w:r>
        <w:t xml:space="preserve"> </w:t>
      </w:r>
      <w:r>
        <w:fldChar w:fldCharType="begin"/>
      </w:r>
      <w:r w:rsidR="006528EA">
        <w:instrText xml:space="preserve"> ADDIN ZOTERO_ITEM CSL_CITATION {"citationID":"G1AQXgLk","properties":{"formattedCitation":"\\super 167\\nosupersub{}","plainCitation":"167","noteIndex":0},"citationItems":[{"id":18988,"uris":["http://zotero.org/users/3444308/items/NQZEDQ65"],"itemData":{"id":18988,"type":"document","title":"UK Kidney Association Updated Commentary on NICE guideline (NG136) Hypertension in adults: diagnosis and management","URL":"https://www.ukkidney.org/sites/renal.org/files/FINAL%20UKKA%20NICE-KDIGO%20commentary%20December%202022.pdf","author":[{"literal":"UK Kidney Association"}],"issued":{"date-parts":[["2022",12]]}}}],"schema":"https://github.com/citation-style-language/schema/raw/master/csl-citation.json"} </w:instrText>
      </w:r>
      <w:r>
        <w:fldChar w:fldCharType="separate"/>
      </w:r>
      <w:r w:rsidR="00CE2429" w:rsidRPr="00CE2429">
        <w:rPr>
          <w:rFonts w:ascii="Calibri" w:hAnsi="Calibri" w:cs="Calibri"/>
          <w:vertAlign w:val="superscript"/>
        </w:rPr>
        <w:t>167</w:t>
      </w:r>
      <w:r>
        <w:fldChar w:fldCharType="end"/>
      </w:r>
      <w:r w:rsidRPr="00524CA4">
        <w:t xml:space="preserve"> have emphasised the importance of a standardised method of BP measurement </w:t>
      </w:r>
      <w:r>
        <w:fldChar w:fldCharType="begin"/>
      </w:r>
      <w:r w:rsidR="006528EA">
        <w:instrText xml:space="preserve"> ADDIN ZOTERO_ITEM CSL_CITATION {"citationID":"gNYrrPrN","properties":{"formattedCitation":"\\super 168\\nosupersub{}","plainCitation":"168","noteIndex":0},"citationItems":[{"id":18987,"uris":["http://zotero.org/users/3444308/items/DDXG4W97"],"itemData":{"id":18987,"type":"article-journal","container-title":"Journal of the American College of Cardiology","DOI":"10.1016/j.jacc.2017.11.006","ISSN":"1558-3597","issue":"19","journalAbbreviation":"J Am Coll Cardiol","language":"eng","note":"PMID: 29146535","page":"e127-e248","source":"PubMed","title":"2017 ACC/AHA/AAPA/ABC/ACPM/AGS/APhA/ASH/ASPC/NMA/PCNA Guideline for the Prevention, Detection, Evaluation, and Management of High Blood Pressure in Adults: A Report of the American College of Cardiology/American Heart Association Task Force on Clinical Practice Guidelines","title-short":"2017 ACC/AHA/AAPA/ABC/ACPM/AGS/APhA/ASH/ASPC/NMA/PCNA Guideline for the Prevention, Detection, Evaluation, and Management of High Blood Pressure in Adults","volume":"71","author":[{"family":"Whelton","given":"Paul K."},{"family":"Carey","given":"Robert M."},{"family":"Aronow","given":"Wilbert S."},{"family":"Casey","given":"Donald E."},{"family":"Collins","given":"Karen J."},{"family":"Dennison Himmelfarb","given":"Cheryl"},{"family":"DePalma","given":"Sondra M."},{"family":"Gidding","given":"Samuel"},{"family":"Jamerson","given":"Kenneth A."},{"family":"Jones","given":"Daniel W."},{"family":"MacLaughlin","given":"Eric J."},{"family":"Muntner","given":"Paul"},{"family":"Ovbiagele","given":"Bruce"},{"family":"Smith","given":"Sidney C."},{"family":"Spencer","given":"Crystal C."},{"family":"Stafford","given":"Randall S."},{"family":"Taler","given":"Sandra J."},{"family":"Thomas","given":"Randal J."},{"family":"Williams","given":"Kim A."},{"family":"Williamson","given":"Jeff D."},{"family":"Wright","given":"Jackson T."}],"issued":{"date-parts":[["2018",5,15]]}}}],"schema":"https://github.com/citation-style-language/schema/raw/master/csl-citation.json"} </w:instrText>
      </w:r>
      <w:r>
        <w:fldChar w:fldCharType="separate"/>
      </w:r>
      <w:r w:rsidR="00CE2429" w:rsidRPr="00CE2429">
        <w:rPr>
          <w:rFonts w:ascii="Calibri" w:hAnsi="Calibri" w:cs="Calibri"/>
          <w:vertAlign w:val="superscript"/>
        </w:rPr>
        <w:t>168</w:t>
      </w:r>
      <w:r>
        <w:fldChar w:fldCharType="end"/>
      </w:r>
      <w:r>
        <w:t xml:space="preserve"> </w:t>
      </w:r>
      <w:r w:rsidRPr="00524CA4">
        <w:t>with UKKA calling out the UK physicians to make necessary adjustments to their practice to enable this. This is further supported by a small study in transplant recipients</w:t>
      </w:r>
      <w:r>
        <w:t xml:space="preserve"> </w:t>
      </w:r>
      <w:r>
        <w:fldChar w:fldCharType="begin"/>
      </w:r>
      <w:r w:rsidR="006528EA">
        <w:instrText xml:space="preserve"> ADDIN ZOTERO_ITEM CSL_CITATION {"citationID":"HoQferYm","properties":{"formattedCitation":"\\super 169\\nosupersub{}","plainCitation":"169","noteIndex":0},"citationItems":[{"id":18986,"uris":["http://zotero.org/users/3444308/items/P2Y66C6F"],"itemData":{"id":18986,"type":"article-journal","abstract":"BACKGROUND/AIMS: We compare conventional office blood pressure measurements with automated SPRINT-study type readings in kidney transplant recipients in order to determine the impact of the white coat effect in a prospective observational study.\nMETHODS: Adult patients with a functional renal transplant not dependent on dialysis were eligible. Readings were taken in the office in presence of the physician with an oscillometric method. Afterwards, readings were repeated with the patients resting alone in a quiet examination room with an automated blood pressure monitor. After 5 minutes of rest, 3 readings were taken at 1 minute intervals, with an average of these 3 readings calculated by the monitor.\nRESULTS: 120 patients with an average age of 58.5±12.2 years were included. Mean time since transplantation was 7.95±6.48 years. Mean eGFR (CKD-EPI) was 48.5±18.3 ml/min. SPRINT-study type readings were significantly lower than office readings (139.01±18.45 vs. 149.00±21.02 mmHg systolic, p&lt;0.001; 80.88±11.63 mmHg vs. 84.35±12.41 mmHg diastolic, p &lt;0.001). Correlation analysis for many potentially influencing factors (diabetes mellitus, transplant vintage, proteinuria, age, immunosuppression, donor type) was not significant but obese women were significantly more prone to white coat hypertension.\nCONCLUSION: Automated office blood pressure measurements should be considered the method of choice in kidney transplant recipients.","container-title":"Kidney &amp; Blood Pressure Research","DOI":"10.1159/000487900","ISSN":"1423-0143","issue":"2","journalAbbreviation":"Kidney Blood Press Res","language":"eng","note":"PMID: 29529604","page":"310-317","source":"PubMed","title":"Influence of SPRINT Study Type Automated Office Blood Pressure Measurements on Hypertension Diagnosis in Kidney Transplant Patients","volume":"43","author":[{"family":"Bhatnagar","given":"Akanksha"},{"family":"Pein","given":"Ulrich"},{"family":"Markau","given":"Silke"},{"family":"Weigand","given":"Karl"},{"family":"Fornara","given":"Paolo"},{"family":"Girndt","given":"Matthias"},{"family":"Seibert","given":"Eric"}],"issued":{"date-parts":[["2018"]]}}}],"schema":"https://github.com/citation-style-language/schema/raw/master/csl-citation.json"} </w:instrText>
      </w:r>
      <w:r>
        <w:fldChar w:fldCharType="separate"/>
      </w:r>
      <w:r w:rsidR="00CE2429" w:rsidRPr="00CE2429">
        <w:rPr>
          <w:rFonts w:ascii="Calibri" w:hAnsi="Calibri" w:cs="Calibri"/>
          <w:vertAlign w:val="superscript"/>
        </w:rPr>
        <w:t>169</w:t>
      </w:r>
      <w:r>
        <w:fldChar w:fldCharType="end"/>
      </w:r>
      <w:r w:rsidRPr="00524CA4">
        <w:t xml:space="preserve">. </w:t>
      </w:r>
    </w:p>
    <w:p w14:paraId="3012B543" w14:textId="5848D106" w:rsidR="00ED6CD4" w:rsidRPr="00524CA4" w:rsidRDefault="00ED6CD4" w:rsidP="00194333">
      <w:r w:rsidRPr="00524CA4">
        <w:t>The results of SPRINT, though not involving KTRs raise the question as to whether a nadir BP target should also be set, given the higher occurrence of acute kidney injury episodes in the intensive treatment group</w:t>
      </w:r>
      <w:r>
        <w:t xml:space="preserve"> </w:t>
      </w:r>
      <w:r>
        <w:fldChar w:fldCharType="begin"/>
      </w:r>
      <w:r w:rsidR="006528EA">
        <w:instrText xml:space="preserve"> ADDIN ZOTERO_ITEM CSL_CITATION {"citationID":"aemPGoOF","properties":{"formattedCitation":"\\super 170\\nosupersub{}","plainCitation":"170","noteIndex":0},"citationItems":[{"id":18985,"uris":["http://zotero.org/users/3444308/items/XMZI52SN"],"itemData":{"id":18985,"type":"article-journal","abstract":"BACKGROUND: In a previously reported randomized trial of standard and intensive systolic blood-pressure control, data on some outcome events had yet to be adjudicated and post-trial follow-up data had not yet been collected.\nMETHODS: We randomly assigned 9361 participants who were at increased risk for cardiovascular disease but did not have diabetes or previous stroke to adhere to an intensive treatment target (systolic blood pressure, &lt;120 mm Hg) or a standard treatment target (systolic blood pressure, &lt;140 mm Hg). The primary outcome was a composite of myocardial infarction, other acute coronary syndromes, stroke, acute decompensated heart failure, or death from cardiovascular causes. Additional primary outcome events occurring through the end of the intervention period (August 20, 2015) were adjudicated after data lock for the primary analysis. We also analyzed post-trial observational follow-up data through July 29, 2016.\nRESULTS: At a median of 3.33 years of follow-up, the rate of the primary outcome and all-cause mortality during the trial were significantly lower in the intensive-treatment group than in the standard-treatment group (rate of the primary outcome, 1.77% per year vs. 2.40% per year; hazard ratio, 0.73; 95% confidence interval [CI], 0.63 to 0.86; all-cause mortality, 1.06% per year vs. 1.41% per year; hazard ratio, 0.75; 95% CI, 0.61 to 0.92). Serious adverse events of hypotension, electrolyte abnormalities, acute kidney injury or failure, and syncope were significantly more frequent in the intensive-treatment group. When trial and post-trial follow-up data were combined (3.88 years in total), similar patterns were found for treatment benefit and adverse events; however, rates of heart failure no longer differed between the groups.\nCONCLUSIONS: Among patients who were at increased cardiovascular risk, targeting a systolic blood pressure of less than 120 mm Hg resulted in lower rates of major adverse cardiovascular events and lower all-cause mortality than targeting a systolic blood pressure of less than 140 mm Hg, both during receipt of the randomly assigned therapy and after the trial. Rates of some adverse events were higher in the intensive-treatment group. (Funded by the National Institutes of Health; SPRINT ClinicalTrials.gov number, NCT01206062.).","container-title":"The New England Journal of Medicine","DOI":"10.1056/NEJMoa1901281","ISSN":"1533-4406","issue":"20","journalAbbreviation":"N Engl J Med","language":"eng","note":"PMID: 34010531\nPMCID: PMC9907774","page":"1921-1930","source":"PubMed","title":"Final Report of a Trial of Intensive versus Standard Blood-Pressure Control","volume":"384","author":[{"literal":"SPRINT Research Group"},{"family":"Lewis","given":"Cora E."},{"family":"Fine","given":"Lawrence J."},{"family":"Beddhu","given":"Srinivasan"},{"family":"Cheung","given":"Alfred K."},{"family":"Cushman","given":"William C."},{"family":"Cutler","given":"Jeffrey A."},{"family":"Evans","given":"Gregory W."},{"family":"Johnson","given":"Karen C."},{"family":"Kitzman","given":"Dalane W."},{"family":"Oparil","given":"Suzanne"},{"family":"Rahman","given":"Mahboob"},{"family":"Reboussin","given":"David M."},{"family":"Rocco","given":"Michael V."},{"family":"Sink","given":"Kaycee M."},{"family":"Snyder","given":"Joni K."},{"family":"Whelton","given":"Paul K."},{"family":"Williamson","given":"Jeff D."},{"family":"Wright","given":"Jackson T."},{"family":"Ambrosius","given":"Walter T."}],"issued":{"date-parts":[["2021",5,20]]}}}],"schema":"https://github.com/citation-style-language/schema/raw/master/csl-citation.json"} </w:instrText>
      </w:r>
      <w:r>
        <w:fldChar w:fldCharType="separate"/>
      </w:r>
      <w:r w:rsidR="00CE2429" w:rsidRPr="00CE2429">
        <w:rPr>
          <w:rFonts w:ascii="Calibri" w:hAnsi="Calibri" w:cs="Calibri"/>
          <w:vertAlign w:val="superscript"/>
        </w:rPr>
        <w:t>170</w:t>
      </w:r>
      <w:r>
        <w:fldChar w:fldCharType="end"/>
      </w:r>
      <w:r w:rsidRPr="00524CA4">
        <w:t>. The vast majority of episodes were mild and reversible</w:t>
      </w:r>
      <w:r>
        <w:t xml:space="preserve"> </w:t>
      </w:r>
      <w:r>
        <w:fldChar w:fldCharType="begin"/>
      </w:r>
      <w:r w:rsidR="006528EA">
        <w:instrText xml:space="preserve"> ADDIN ZOTERO_ITEM CSL_CITATION {"citationID":"mchht4wp","properties":{"formattedCitation":"\\super 171\\nosupersub{}","plainCitation":"171","noteIndex":0},"citationItems":[{"id":18984,"uris":["http://zotero.org/users/3444308/items/YCXU2ZZD"],"itemData":{"id":18984,"type":"article-journal","abstract":"BACKGROUND: Treating to a lower blood pressure (BP) may increase acute kidney injury (AKI) events.\nSTUDY DESIGN: Data for AKI resulting in or during hospitalization or emergency department visits were collected as part of the serious adverse events reporting process of the Systolic Blood Pressure Intervention Trial (SPRINT).\nSETTING &amp; PARTICIPANTS: 9,361 participants 50 years or older with 1 or more risk factors for cardiovascular disease.\nINTERVENTIONS: Participants were randomly assigned to a systolic BP target of &lt;120 (intensive arm) or &lt;140mmHg (standard arm).\nOUTCOMES &amp; MEASUREMENTS: Primary outcome was the number of adjudicated AKI events. Secondary outcomes included severity of AKI and degree of recovery of kidney function after an AKI event. Baseline creatinine concentration was defined as the most recent SPRINT outpatient creatinine value before the date of the AKI event.\nRESULTS: There were 179 participants with AKI events in the intensive arm and 109 in the standard arm (3.8% vs 2.3%; HR, 1.64; 95% CI, 1.30-2.10; P&lt;0.001). Of 288 participants with an AKI event, 248 (86.1%) had a single AKI event during the trial. Based on modified KDIGO (Kidney Disease: Improving Global Outcomes) criteria for severity of AKI, the number of AKI events in the intensive versus standard arm by KDIGO stage was 128 (58.5%) versus 81 (62.8%) for AKI stage 1, 42 (19.2%) versus 18 (14.0%) for AKI stage 2, and 42 (19.2%) versus 25 (19.4%) for AKI stage 3 (P=0.5). For participants with sufficient data, complete or partial resolution of AKI was seen for 169 (90.4%) and 9 (4.8%) of 187 AKI events in the intensive arm and 86 (86.9%) and 4 (4.0%) of 99 AKI events in the standard arm, respectively.\nLIMITATIONS: Trial results are not generalizable to patients with diabetes mellitus or without risk factors for cardiovascular disease.\nCONCLUSIONS: More intensive BP lowering resulted in more frequent episodes of AKI. Most cases were mild and most participants had complete recovery of kidney function.\nTRIAL REGISTRATION: Registered at ClinicalTrials.gov with study number NCT01206062.","container-title":"American Journal of Kidney Diseases: The Official Journal of the National Kidney Foundation","DOI":"10.1053/j.ajkd.2017.08.021","ISSN":"1523-6838","issue":"3","journalAbbreviation":"Am J Kidney Dis","language":"eng","note":"PMID: 29162340\nPMCID: PMC5828778","page":"352-361","source":"PubMed","title":"Effects of Intensive Blood Pressure Treatment on Acute Kidney Injury Events in the Systolic Blood Pressure Intervention Trial (SPRINT)","volume":"71","author":[{"family":"Rocco","given":"Michael V."},{"family":"Sink","given":"Kaycee M."},{"family":"Lovato","given":"Laura C."},{"family":"Wolfgram","given":"Dawn F."},{"family":"Wiegmann","given":"Thomas B."},{"family":"Wall","given":"Barry M."},{"family":"Umanath","given":"Kausik"},{"family":"Rahbari-Oskoui","given":"Frederic"},{"family":"Porter","given":"Anna C."},{"family":"Pisoni","given":"Roberto"},{"family":"Lewis","given":"Cora E."},{"family":"Lewis","given":"Julia B."},{"family":"Lash","given":"James P."},{"family":"Katz","given":"Lois A."},{"family":"Hawfield","given":"Amret T."},{"family":"Haley","given":"William E."},{"family":"Freedman","given":"Barry I."},{"family":"Dwyer","given":"Jamie P."},{"family":"Drawz","given":"Paul E."},{"family":"Dobre","given":"Mirela"},{"family":"Cheung","given":"Alfred K."},{"family":"Campbell","given":"Ruth C."},{"family":"Bhatt","given":"Udayan"},{"family":"Beddhu","given":"Srinivasan"},{"family":"Kimmel","given":"Paul L."},{"family":"Reboussin","given":"David M."},{"family":"Chertow","given":"Glenn M."},{"literal":"SPRINT Research Group"}],"issued":{"date-parts":[["2018",3]]}}}],"schema":"https://github.com/citation-style-language/schema/raw/master/csl-citation.json"} </w:instrText>
      </w:r>
      <w:r>
        <w:fldChar w:fldCharType="separate"/>
      </w:r>
      <w:r w:rsidR="00CE2429" w:rsidRPr="00CE2429">
        <w:rPr>
          <w:rFonts w:ascii="Calibri" w:hAnsi="Calibri" w:cs="Calibri"/>
          <w:vertAlign w:val="superscript"/>
        </w:rPr>
        <w:t>171</w:t>
      </w:r>
      <w:r>
        <w:fldChar w:fldCharType="end"/>
      </w:r>
      <w:r>
        <w:t xml:space="preserve">, </w:t>
      </w:r>
      <w:r w:rsidRPr="00524CA4">
        <w:t>but given the specific characteristics of a transplant versus a native kidney, namely lack of innervation in a single kidney, possibly it is advisable to err towards the side of caution when it comes to persistent SBP readings of &lt;120 mmHg, esp. in the context of old age and polypharmacy, and consider whether any modifications need to be done. In that sense, BP should be a treatment parameter that is actively and regularly reviewed and acted upon in routine transplant care.</w:t>
      </w:r>
    </w:p>
    <w:p w14:paraId="724E3EB7" w14:textId="0AD2E42B" w:rsidR="00ED6CD4" w:rsidRPr="00524CA4" w:rsidRDefault="00ED6CD4" w:rsidP="00194333">
      <w:r w:rsidRPr="00524CA4">
        <w:t>As in general population, the first step in hypertension management should be lifestyle modifications, esp. in relation to salt intake and exercise</w:t>
      </w:r>
      <w:r>
        <w:t xml:space="preserve"> </w:t>
      </w:r>
      <w:r>
        <w:fldChar w:fldCharType="begin"/>
      </w:r>
      <w:r w:rsidR="002D20B5">
        <w:instrText xml:space="preserve"> ADDIN ZOTERO_ITEM CSL_CITATION {"citationID":"ZuUKTjL0","properties":{"formattedCitation":"\\super 172\\nosupersub{}","plainCitation":"172","noteIndex":0},"citationItems":[{"id":18983,"uris":["http://zotero.org/users/3444308/items/2UJI8MGJ"],"itemData":{"id":18983,"type":"report","abstract":"This guideline covers identifying and treating primary hypertension (high blood pressure) in people aged 18 and over, including people with type 2 diabetes. It aims to reduce the risk of cardiovascular problems such as heart attacks and strokes by helping healthcare professionals to diagnose hypertension accurately and treat it effectively","language":"eng","publisher":"NICE","title":"Hypertension in adults: diagnosis and management","title-short":"Overview | Hypertension in adults","URL":"https://www.nice.org.uk/guidance/ng136","author":[{"literal":"National Institute for Health and Care Excellence"}],"accessed":{"date-parts":[["2025",10,23]]},"issued":{"date-parts":[["2019",8,28]]}}}],"schema":"https://github.com/citation-style-language/schema/raw/master/csl-citation.json"} </w:instrText>
      </w:r>
      <w:r>
        <w:fldChar w:fldCharType="separate"/>
      </w:r>
      <w:r w:rsidR="00CE2429" w:rsidRPr="00CE2429">
        <w:rPr>
          <w:rFonts w:ascii="Calibri" w:hAnsi="Calibri" w:cs="Calibri"/>
          <w:vertAlign w:val="superscript"/>
        </w:rPr>
        <w:t>172</w:t>
      </w:r>
      <w:r>
        <w:fldChar w:fldCharType="end"/>
      </w:r>
      <w:r w:rsidR="00A520DC">
        <w:t xml:space="preserve"> </w:t>
      </w:r>
      <w:r w:rsidRPr="00524CA4">
        <w:t>(also see section 6.6). The Dietary Approach to Stop Hypertension (DASH) diet has been independently associated with reduced risk of graft function decline and all-cause mortality in KTRs</w:t>
      </w:r>
      <w:r>
        <w:t xml:space="preserve"> </w:t>
      </w:r>
      <w:r>
        <w:fldChar w:fldCharType="begin"/>
      </w:r>
      <w:r w:rsidR="006528EA">
        <w:instrText xml:space="preserve"> ADDIN ZOTERO_ITEM CSL_CITATION {"citationID":"pfhrHg8P","properties":{"formattedCitation":"\\super 173\\nosupersub{}","plainCitation":"173","noteIndex":0},"citationItems":[{"id":18982,"uris":["http://zotero.org/users/3444308/items/CKPRI5EF"],"itemData":{"id":18982,"type":"article-journal","abstract":"Renal transplant recipients (RTR) are at risk of decline of graft function and premature mortality, with high blood pressure as an important risk factor for both. To study the association of the Dietary Approach to Stop Hypertension (DASH) diet with these adverse events, we conducted a prospective cohort study of adult RTR. Dietary data were collected using a validated 177-item food frequency questionnaire and an overall DASH-score was obtained. We included 632 stable RTR (mean ± standard deviation age 53.0 ± 12.7 years, 57% men). Mean DASH score was 23.8 ± 4.7. During median follow-up of 5.3 (interquartile range, 4.1-6.0) years, 119 (18.8%) RTR had renal function decline, defined as a combined endpoint of doubling of serum creatinine and death-censored graft failure, and 128 (20.3%) died. In Cox-regression analyses, RTR in the highest tertile of the DASH score had lower risk of both renal function decline (hazard ratio [HR] = 0.57; 95% confidence interval [CI], 0.33-0.96, P = .03) and all-cause mortality (HR = 0.52; 95%CI, 0.32-0.83, P = .006) compared to the lowest tertile, independent of potential confounders. Adherence to a DASH-style diet is associated with lower risk of both renal function decline and all-cause mortality. These results suggest that a healthful diet might benefit long-term outcome in RTR.","container-title":"American Journal of Transplantation: Official Journal of the American Society of Transplantation and the American Society of Transplant Surgeons","DOI":"10.1111/ajt.14707","ISSN":"1600-6143","issue":"10","journalAbbreviation":"Am J Transplant","language":"eng","note":"PMID: 29464830\nPMCID: PMC6175360","page":"2523-2533","source":"PubMed","title":"Dietary Approach to Stop Hypertension (DASH) diet and risk of renal function decline and all-cause mortality in renal transplant recipients","volume":"18","author":[{"family":"Osté","given":"Maryse C. J."},{"family":"Gomes-Neto","given":"António W."},{"family":"Corpeleijn","given":"Eva"},{"family":"Gans","given":"Rijk O. B."},{"family":"Borst","given":"Martin H.","non-dropping-particle":"de"},{"family":"Berg","given":"Else","non-dropping-particle":"van den"},{"family":"Soedamah-Muthu","given":"Sabita S."},{"family":"Kromhout","given":"Daan"},{"family":"Navis","given":"Gerjan J."},{"family":"Bakker","given":"Stephan J. L."}],"issued":{"date-parts":[["2018",10]]}}}],"schema":"https://github.com/citation-style-language/schema/raw/master/csl-citation.json"} </w:instrText>
      </w:r>
      <w:r>
        <w:fldChar w:fldCharType="separate"/>
      </w:r>
      <w:r w:rsidR="00CE2429" w:rsidRPr="00CE2429">
        <w:rPr>
          <w:rFonts w:ascii="Calibri" w:hAnsi="Calibri" w:cs="Calibri"/>
          <w:vertAlign w:val="superscript"/>
        </w:rPr>
        <w:t>173</w:t>
      </w:r>
      <w:r>
        <w:fldChar w:fldCharType="end"/>
      </w:r>
      <w:r w:rsidRPr="00524CA4">
        <w:t xml:space="preserve">. </w:t>
      </w:r>
    </w:p>
    <w:p w14:paraId="3CDF6316" w14:textId="14984F2A" w:rsidR="00ED6CD4" w:rsidRPr="00524CA4" w:rsidRDefault="00ED6CD4" w:rsidP="00194333">
      <w:r w:rsidRPr="00524CA4">
        <w:t xml:space="preserve">Regarding the optimal pharmacological treatment strategy, there are no large scale head-to-head RCTs comparing different antihypertensive agents in KTRs. The best available evidence comes from meta-analyses which reviewed the smaller RCTs available. The most consistent finding is a possible protective effect of calcium channel blockers (CCBs) with up to 42% graft loss reduction </w:t>
      </w:r>
      <w:r>
        <w:fldChar w:fldCharType="begin"/>
      </w:r>
      <w:r w:rsidR="006528EA">
        <w:instrText xml:space="preserve"> ADDIN ZOTERO_ITEM CSL_CITATION {"citationID":"29K6OU3b","properties":{"formattedCitation":"\\super 162,174,175\\nosupersub{}","plainCitation":"162,174,175","noteIndex":0},"citationItems":[{"id":18981,"uris":["http://zotero.org/users/3444308/items/SE8M6YAI"],"itemData":{"id":18981,"type":"article-journal","abstract":"BACKGROUND: In some nontransplant populations, effects of different antihypertensive drug classes vary. Relative effects in kidney transplant recipients are uncertain.\nOBJECTIVES: To assess comparative effects of different classes of antihypertensive agents in kidney transplant recipients.\nSEARCH STRATEGY: MEDLINE, EMBASE, the Cochrane Central Register of Controlled Trials, conference proceedings and reference lists of identified studies were searched.\nSELECTION CRITERIA: Randomised controlled trials of any antihypertensive agent applied to kidney transplant recipients for at least two weeks were included.\nDATA COLLECTION AND ANALYSIS: Data was extracted by two investigators independently. Study quality, transplant outcomes and other patient centred outcomes were assessed using random effects meta-analysis. Risk ratios (RR) for dichotomous outcomes and mean difference (MD) for continuous outcomes, both with 95% confidence intervals (CI) were calculated. Stratified analyses and meta-regression were used to investigate heterogeneity.\nMAIN RESULTS: We identified 60 studies, enrolling 3802 recipients. Twenty-nine studies (2262 participants) compared calcium channel blockers (CCB) to placebo/no treatment, 10 studies (445 participants) compared angiotensin converting enzyme inhibitors (ACEi) to placebo/no treatment and seven studies (405 participants) compared CCB to ACEi. CCB compared to placebo/no treatment (plus additional agents in either arm as required) reduced graft loss (RR 0.75, 95% CI 0.57 to 0.99) and improved glomerular filtration rate (GFR), (MD, 4.45 mL/min, 95% CI 2.22 to 6.68). Data on ACEi versus placebo/no treatment were inconclusive for GFR (MD -8.07 mL/min, 95% CI -18.57 to 2.43), and variable for graft loss, precluding meta-analysis. In direct comparison with CCB, ACEi decreased GFR (MD -11.48 mL/min, 95% CI -5.75 to -7.21), proteinuria (MD -0.28 g/24 h, 95% CI -0.47 to -0.10), haemoglobin (MD -12.96 g/L, 95% CI -5.72 to -10.21) and increased hyperkalaemia (RR 3.74, 95% CI 1.89 to 7.43). Graft loss data were inconclusive (RR 7.37, 95% CI 0.39 to 140.35). Other drug comparisons were compared in small numbers of participants and studies.\nAUTHORS' CONCLUSIONS: These data suggest that CCB may be preferred as first line agents for hypertensive kidney transplant recipients. ACEi have some detrimental effects in kidney transplant recipients. More high quality studies reporting patient centred outcomes are required.","container-title":"The Cochrane Database of Systematic Reviews","DOI":"10.1002/14651858.CD003598.pub2","ISSN":"1469-493X","issue":"3","journalAbbreviation":"Cochrane Database Syst Rev","language":"eng","note":"PMID: 19588343\nPMCID: PMC7163284","page":"CD003598","source":"PubMed","title":"Antihypertensive treatment for kidney transplant recipients","volume":"2009","author":[{"family":"Cross","given":"Nicholas B."},{"family":"Webster","given":"Angela C."},{"family":"Masson","given":"Philip"},{"family":"O'Connell","given":"Philip J."},{"family":"Craig","given":"Jonathan C."}],"issued":{"date-parts":[["2009",7,8]]}}},{"id":18996,"uris":["http://zotero.org/users/3444308/items/CZKC8CCF"],"itemData":{"id":18996,"type":"article-journal","container-title":"Kidney International","DOI":"10.1016/j.kint.2020.11.003","ISSN":"1523-1755","issue":"3S","journalAbbreviation":"Kidney Int","language":"eng","note":"PMID: 33637192","page":"S1-S87","source":"PubMed","title":"KDIGO 2021 Clinical Practice Guideline for the Management of Blood Pressure in Chronic Kidney Disease","volume":"99","author":[{"literal":"Kidney Disease: Improving Global Outcomes (KDIGO) Blood Pressure Work Group"}],"issued":{"date-parts":[["2021",3]]}}},{"id":18980,"uris":["http://zotero.org/users/3444308/items/NDGUNZBQ"],"itemData":{"id":18980,"type":"article-journal","abstract":"BACKGROUND: We conducted a systematic review and meta-analysis to compare benefits and harms of different antihypertensive drug classes in kidney transplant recipients, as post-transplant hypertension (HTN) associates with increased cardiovascular (CV) morbidity and mortality.\nMETHODS: The Ovid-MEDLINE, PubMed and CENTRAL databases were searched for randomized controlled trials (RCTs) comparing all main antihypertensive agents versus placebo/no treatment, routine treatment.\nRESULTS: The search identified 71 RCTs. Calcium channel blockers (CCBs) (26 trials) reduced the risk for graft loss {risk ratio [RR] 0.58 [95% confidence interval (CI) 0.38-0.89]}, increased glomerular filtration rate (GFR) [mean difference (MD) 3.08</w:instrText>
      </w:r>
      <w:r w:rsidR="006528EA">
        <w:rPr>
          <w:rFonts w:ascii="Arial" w:hAnsi="Arial" w:cs="Arial"/>
        </w:rPr>
        <w:instrText> </w:instrText>
      </w:r>
      <w:r w:rsidR="006528EA">
        <w:instrText>mL/min (95% CI 0.38-5.78)] and reduced blood pressure (BP). Angiotensin-converting enzyme inhibitors (ACEIs) (13 trials) reduced the risk for graft loss [RR 0.62 (95% CI 0.40-0.96)] but decreased renal function and increased the risk for hyperkalaemia. Angiotensin receptor blockers (ARBs) (10 trials) did not modify the risk of death, graft loss and non-fatal CV events and increased the risk for hyperkalaemia. When pooling ACEI and ARB data, the risk for graft failure was lower in renin-angiotensin system (RAS) blockade as compared with control treatments. In direct comparison with ACEIs or ARBs (11 trials), CCBs increased GFR [MD 11.07</w:instrText>
      </w:r>
      <w:r w:rsidR="006528EA">
        <w:rPr>
          <w:rFonts w:ascii="Arial" w:hAnsi="Arial" w:cs="Arial"/>
        </w:rPr>
        <w:instrText> </w:instrText>
      </w:r>
      <w:r w:rsidR="006528EA">
        <w:instrText xml:space="preserve">mL/min (95% CI 6.04-16.09)] and reduced potassium levels but were not more effective in reducing BP. There are few available data on mortality, graft loss and rejection. Very few studies performed comparisons with other active drugs.\nCONCLUSIONS: CCBs could be the preferred first-step antihypertensive agents in kidney transplant patients, as they improve graft function and reduce graft loss. No definite patient or graft survival benefits were associated with RAS inhibitor use over conventional treatment.","container-title":"Nephrology, Dialysis, Transplantation: Official Publication of the European Dialysis and Transplant Association - European Renal Association","DOI":"10.1093/ndt/gfz092","ISSN":"1460-2385","issue":"5","journalAbbreviation":"Nephrol Dial Transplant","language":"eng","note":"PMID: 31143926","page":"878-887","source":"PubMed","title":"Comparative effectiveness of different antihypertensive agents in kidney transplantation: a systematic review and meta-analysis","title-short":"Comparative effectiveness of different antihypertensive agents in kidney transplantation","volume":"35","author":[{"family":"Pisano","given":"Anna"},{"family":"Bolignano","given":"Davide"},{"family":"Mallamaci","given":"Francesca"},{"family":"D'Arrigo","given":"Graziella"},{"family":"Halimi","given":"Jean-Michel"},{"family":"Persu","given":"Alexandre"},{"family":"Wuerzner","given":"Gregoire"},{"family":"Sarafidis","given":"Pantelis"},{"family":"Watschinger","given":"Bruno"},{"family":"Burnier","given":"Michel"},{"family":"Zoccali","given":"Carmine"}],"issued":{"date-parts":[["2020",5,1]]}}}],"schema":"https://github.com/citation-style-language/schema/raw/master/csl-citation.json"} </w:instrText>
      </w:r>
      <w:r>
        <w:fldChar w:fldCharType="separate"/>
      </w:r>
      <w:r w:rsidR="00CE2429" w:rsidRPr="00CE2429">
        <w:rPr>
          <w:rFonts w:ascii="Calibri" w:hAnsi="Calibri" w:cs="Calibri"/>
          <w:vertAlign w:val="superscript"/>
        </w:rPr>
        <w:t>162,174,175</w:t>
      </w:r>
      <w:r>
        <w:fldChar w:fldCharType="end"/>
      </w:r>
      <w:r w:rsidRPr="00524CA4">
        <w:t xml:space="preserve">, which may be related to a counter-acting effect on vasoconstrictive action of CNIs. </w:t>
      </w:r>
    </w:p>
    <w:p w14:paraId="670A2B52" w14:textId="10405359" w:rsidR="00ED6CD4" w:rsidRPr="00524CA4" w:rsidRDefault="00ED6CD4" w:rsidP="00194333">
      <w:r w:rsidRPr="00524CA4">
        <w:t xml:space="preserve">There is less consistency about the effects (beneficial or adverse events) of angiotensin-converting enzyme inhibitors (ACEI) and angiotensin receptor blockers (ARBs) in KTRs beyond BP lowering. </w:t>
      </w:r>
      <w:r>
        <w:fldChar w:fldCharType="begin"/>
      </w:r>
      <w:r w:rsidR="006528EA">
        <w:instrText xml:space="preserve"> ADDIN ZOTERO_ITEM CSL_CITATION {"citationID":"8TZG5BT1","properties":{"formattedCitation":"\\super 162,175\\nosupersub{}","plainCitation":"162,175","noteIndex":0},"citationItems":[{"id":18996,"uris":["http://zotero.org/users/3444308/items/CZKC8CCF"],"itemData":{"id":18996,"type":"article-journal","container-title":"Kidney International","DOI":"10.1016/j.kint.2020.11.003","ISSN":"1523-1755","issue":"3S","journalAbbreviation":"Kidney Int","language":"eng","note":"PMID: 33637192","page":"S1-S87","source":"PubMed","title":"KDIGO 2021 Clinical Practice Guideline for the Management of Blood Pressure in Chronic Kidney Disease","volume":"99","author":[{"literal":"Kidney Disease: Improving Global Outcomes (KDIGO) Blood Pressure Work Group"}],"issued":{"date-parts":[["2021",3]]}}},{"id":18980,"uris":["http://zotero.org/users/3444308/items/NDGUNZBQ"],"itemData":{"id":18980,"type":"article-journal","abstract":"BACKGROUND: We conducted a systematic review and meta-analysis to compare benefits and harms of different antihypertensive drug classes in kidney transplant recipients, as post-transplant hypertension (HTN) associates with increased cardiovascular (CV) morbidity and mortality.\nMETHODS: The Ovid-MEDLINE, PubMed and CENTRAL databases were searched for randomized controlled trials (RCTs) comparing all main antihypertensive agents versus placebo/no treatment, routine treatment.\nRESULTS: The search identified 71 RCTs. Calcium channel blockers (CCBs) (26 trials) reduced the risk for graft loss {risk ratio [RR] 0.58 [95% confidence interval (CI) 0.38-0.89]}, increased glomerular filtration rate (GFR) [mean difference (MD) 3.08</w:instrText>
      </w:r>
      <w:r w:rsidR="006528EA">
        <w:rPr>
          <w:rFonts w:ascii="Arial" w:hAnsi="Arial" w:cs="Arial"/>
        </w:rPr>
        <w:instrText> </w:instrText>
      </w:r>
      <w:r w:rsidR="006528EA">
        <w:instrText>mL/min (95% CI 0.38-5.78)] and reduced blood pressure (BP). Angiotensin-converting enzyme inhibitors (ACEIs) (13 trials) reduced the risk for graft loss [RR 0.62 (95% CI 0.40-0.96)] but decreased renal function and increased the risk for hyperkalaemia. Angiotensin receptor blockers (ARBs) (10 trials) did not modify the risk of death, graft loss and non-fatal CV events and increased the risk for hyperkalaemia. When pooling ACEI and ARB data, the risk for graft failure was lower in renin-angiotensin system (RAS) blockade as compared with control treatments. In direct comparison with ACEIs or ARBs (11 trials), CCBs increased GFR [MD 11.07</w:instrText>
      </w:r>
      <w:r w:rsidR="006528EA">
        <w:rPr>
          <w:rFonts w:ascii="Arial" w:hAnsi="Arial" w:cs="Arial"/>
        </w:rPr>
        <w:instrText> </w:instrText>
      </w:r>
      <w:r w:rsidR="006528EA">
        <w:instrText xml:space="preserve">mL/min (95% CI 6.04-16.09)] and reduced potassium levels but were not more effective in reducing BP. There are few available data on mortality, graft loss and rejection. Very few studies performed comparisons with other active drugs.\nCONCLUSIONS: CCBs could be the preferred first-step antihypertensive agents in kidney transplant patients, as they improve graft function and reduce graft loss. No definite patient or graft survival benefits were associated with RAS inhibitor use over conventional treatment.","container-title":"Nephrology, Dialysis, Transplantation: Official Publication of the European Dialysis and Transplant Association - European Renal Association","DOI":"10.1093/ndt/gfz092","ISSN":"1460-2385","issue":"5","journalAbbreviation":"Nephrol Dial Transplant","language":"eng","note":"PMID: 31143926","page":"878-887","source":"PubMed","title":"Comparative effectiveness of different antihypertensive agents in kidney transplantation: a systematic review and meta-analysis","title-short":"Comparative effectiveness of different antihypertensive agents in kidney transplantation","volume":"35","author":[{"family":"Pisano","given":"Anna"},{"family":"Bolignano","given":"Davide"},{"family":"Mallamaci","given":"Francesca"},{"family":"D'Arrigo","given":"Graziella"},{"family":"Halimi","given":"Jean-Michel"},{"family":"Persu","given":"Alexandre"},{"family":"Wuerzner","given":"Gregoire"},{"family":"Sarafidis","given":"Pantelis"},{"family":"Watschinger","given":"Bruno"},{"family":"Burnier","given":"Michel"},{"family":"Zoccali","given":"Carmine"}],"issued":{"date-parts":[["2020",5,1]]}}}],"schema":"https://github.com/citation-style-language/schema/raw/master/csl-citation.json"} </w:instrText>
      </w:r>
      <w:r>
        <w:fldChar w:fldCharType="separate"/>
      </w:r>
      <w:r w:rsidR="00CE2429" w:rsidRPr="00CE2429">
        <w:rPr>
          <w:rFonts w:ascii="Calibri" w:hAnsi="Calibri" w:cs="Calibri"/>
          <w:vertAlign w:val="superscript"/>
        </w:rPr>
        <w:t>162,175</w:t>
      </w:r>
      <w:r>
        <w:fldChar w:fldCharType="end"/>
      </w:r>
      <w:r w:rsidRPr="00524CA4">
        <w:t xml:space="preserve">. However, this might </w:t>
      </w:r>
      <w:r>
        <w:t xml:space="preserve">result from a lack of well-designed large-scale trials in this population, given that the antiproteinuric, </w:t>
      </w:r>
      <w:proofErr w:type="spellStart"/>
      <w:r>
        <w:t>renoprotective</w:t>
      </w:r>
      <w:proofErr w:type="spellEnd"/>
      <w:r>
        <w:t xml:space="preserve">, and cardioprotective actions are </w:t>
      </w:r>
      <w:r w:rsidRPr="00524CA4">
        <w:t xml:space="preserve">well-established in </w:t>
      </w:r>
      <w:r>
        <w:t xml:space="preserve">the </w:t>
      </w:r>
      <w:r w:rsidRPr="00524CA4">
        <w:t>non-transplant population</w:t>
      </w:r>
      <w:r>
        <w:t>,</w:t>
      </w:r>
      <w:r w:rsidRPr="00524CA4">
        <w:t xml:space="preserve"> including CKD patients. </w:t>
      </w:r>
      <w:r>
        <w:t xml:space="preserve"> </w:t>
      </w:r>
      <w:r w:rsidRPr="00524CA4">
        <w:t xml:space="preserve">Therefore, though a dihydropyridine CCB could be a first-line agent, priority should be given to a patient-tailored approach achieving optimal BP control with </w:t>
      </w:r>
      <w:r>
        <w:t xml:space="preserve">the </w:t>
      </w:r>
      <w:r w:rsidRPr="00524CA4">
        <w:t xml:space="preserve">least side-effects. </w:t>
      </w:r>
    </w:p>
    <w:p w14:paraId="0C2CD417" w14:textId="61785614" w:rsidR="00ED6CD4" w:rsidRPr="00524CA4" w:rsidRDefault="00ED6CD4" w:rsidP="00194333">
      <w:r w:rsidRPr="00524CA4">
        <w:t>For those presenting with resistant hypertension, along with considering the possibility of transplant renal artery stenosis and rarer causes of secondary hypertension</w:t>
      </w:r>
      <w:r>
        <w:t>,</w:t>
      </w:r>
      <w:r w:rsidRPr="00524CA4">
        <w:t xml:space="preserve"> e.g. primary aldosteronism or phaeochromocytoma, adherence should be discussed with the patient</w:t>
      </w:r>
      <w:r>
        <w:t xml:space="preserve"> </w:t>
      </w:r>
      <w:r>
        <w:fldChar w:fldCharType="begin"/>
      </w:r>
      <w:r w:rsidR="002D20B5">
        <w:instrText xml:space="preserve"> ADDIN ZOTERO_ITEM CSL_CITATION {"citationID":"w3XvyNJS","properties":{"formattedCitation":"\\super 172\\nosupersub{}","plainCitation":"172","noteIndex":0},"citationItems":[{"id":18983,"uris":["http://zotero.org/users/3444308/items/2UJI8MGJ"],"itemData":{"id":18983,"type":"report","abstract":"This guideline covers identifying and treating primary hypertension (high blood pressure) in people aged 18 and over, including people with type 2 diabetes. It aims to reduce the risk of cardiovascular problems such as heart attacks and strokes by helping healthcare professionals to diagnose hypertension accurately and treat it effectively","language":"eng","publisher":"NICE","title":"Hypertension in adults: diagnosis and management","title-short":"Overview | Hypertension in adults","URL":"https://www.nice.org.uk/guidance/ng136","author":[{"literal":"National Institute for Health and Care Excellence"}],"accessed":{"date-parts":[["2025",10,23]]},"issued":{"date-parts":[["2019",8,28]]}}}],"schema":"https://github.com/citation-style-language/schema/raw/master/csl-citation.json"} </w:instrText>
      </w:r>
      <w:r>
        <w:fldChar w:fldCharType="separate"/>
      </w:r>
      <w:r w:rsidR="00CE2429" w:rsidRPr="00CE2429">
        <w:rPr>
          <w:rFonts w:ascii="Calibri" w:hAnsi="Calibri" w:cs="Calibri"/>
          <w:vertAlign w:val="superscript"/>
        </w:rPr>
        <w:t>172</w:t>
      </w:r>
      <w:r>
        <w:fldChar w:fldCharType="end"/>
      </w:r>
      <w:r w:rsidRPr="00524CA4">
        <w:t>. This is of particular importance for KTRs</w:t>
      </w:r>
      <w:r>
        <w:t xml:space="preserve"> because polypharmacy is a significant concern for a large proportion of the population, especially in the first </w:t>
      </w:r>
      <w:proofErr w:type="gramStart"/>
      <w:r>
        <w:t>months</w:t>
      </w:r>
      <w:proofErr w:type="gramEnd"/>
      <w:r>
        <w:t xml:space="preserve"> post-transplant</w:t>
      </w:r>
      <w:r w:rsidRPr="00524CA4">
        <w:t xml:space="preserve">. In this context, support from </w:t>
      </w:r>
      <w:r>
        <w:t>a pharmacy service</w:t>
      </w:r>
      <w:r w:rsidRPr="00524CA4">
        <w:t xml:space="preserve"> in the transplant centre or community may be warranted and helpful. </w:t>
      </w:r>
    </w:p>
    <w:p w14:paraId="18AEAC6A" w14:textId="0E52C4A2" w:rsidR="00ED6CD4" w:rsidRPr="00524CA4" w:rsidRDefault="009817B9" w:rsidP="009817B9">
      <w:pPr>
        <w:pStyle w:val="GuidelineHeadings"/>
      </w:pPr>
      <w:r>
        <w:lastRenderedPageBreak/>
        <w:t xml:space="preserve">Guideline 5.2 </w:t>
      </w:r>
      <w:r w:rsidR="00932D5D">
        <w:t>–</w:t>
      </w:r>
      <w:r>
        <w:t xml:space="preserve"> Dyslipidaemia</w:t>
      </w:r>
    </w:p>
    <w:p w14:paraId="5F6324BB" w14:textId="6249DF75" w:rsidR="00ED6CD4" w:rsidRPr="009817B9" w:rsidRDefault="00ED6CD4" w:rsidP="009817B9">
      <w:r w:rsidRPr="009817B9">
        <w:t xml:space="preserve">Dyslipidaemia is common among KTRs, mainly driven by immunosuppressive agents such as corticosteroids, ciclosporin (more so than tacrolimus), sirolimus and everolimus </w:t>
      </w:r>
      <w:r w:rsidRPr="009817B9">
        <w:fldChar w:fldCharType="begin"/>
      </w:r>
      <w:r w:rsidR="006528EA">
        <w:instrText xml:space="preserve"> ADDIN ZOTERO_ITEM CSL_CITATION {"citationID":"1sU6ZIcY","properties":{"formattedCitation":"\\super 176\\nosupersub{}","plainCitation":"176","noteIndex":0},"citationItems":[{"id":18979,"uris":["http://zotero.org/users/3444308/items/GLPCRZ9B"],"itemData":{"id":18979,"type":"article-journal","abstract":"Cardiovascular disease is one of the major causes of morbidity and mortality following solid organ transplantation. Many of the current immunosuppressive drugs are associated with an increase of one or more risk factors for the development of atherosclerosis. This review compares the mechanism by which individual immunosuppressive agents may impact on these risk factors and the differential contribution of cyclosporine, tacrolimus, mycophenolate, azathioprine, and Rapamycin to these individual risk factors. Attention to the potential cardiovascular toxicities of individual immunosuppressive agents may help design strategies for maintenance of immunosuppression tailored to individual patients.","container-title":"American Journal of Transplantation: Official Journal of the American Society of Transplantation and the American Society of Transplant Surgeons","DOI":"10.1034/j.1600-6143.2002.20902.x","ISSN":"1600-6135","issue":"9","journalAbbreviation":"Am J Transplant","language":"eng","note":"PMID: 12392286","page":"807-818","source":"PubMed","title":"Cardiovascular toxicities of immunosuppressive agents","volume":"2","author":[{"family":"Miller","given":"Leslie W."}],"issued":{"date-parts":[["2002",10]]}}}],"schema":"https://github.com/citation-style-language/schema/raw/master/csl-citation.json"} </w:instrText>
      </w:r>
      <w:r w:rsidRPr="009817B9">
        <w:fldChar w:fldCharType="separate"/>
      </w:r>
      <w:r w:rsidR="00CE2429" w:rsidRPr="00CE2429">
        <w:rPr>
          <w:rFonts w:ascii="Aptos" w:hAnsi="Aptos" w:cs="Times New Roman"/>
          <w:vertAlign w:val="superscript"/>
        </w:rPr>
        <w:t>176</w:t>
      </w:r>
      <w:r w:rsidRPr="009817B9">
        <w:fldChar w:fldCharType="end"/>
      </w:r>
      <w:r w:rsidRPr="009817B9">
        <w:t xml:space="preserve">, which have a negative impact on lipid metabolism. Abnormalities observed may include any of the </w:t>
      </w:r>
      <w:proofErr w:type="gramStart"/>
      <w:r w:rsidRPr="009817B9">
        <w:t>following;</w:t>
      </w:r>
      <w:proofErr w:type="gramEnd"/>
      <w:r w:rsidRPr="009817B9">
        <w:t xml:space="preserve"> increase in levels of total cholesterol (TC), very-low-density lipoprotein (VLDL)-cholesterol, low-density lipoprotein (LDL)-cholesterol and triglycerides (TG), decrease in high-density lipoprotein (HDL)-cholesterol and change in size and consistency of LDL towards the more atherogenic small-dense LDL particles. </w:t>
      </w:r>
    </w:p>
    <w:p w14:paraId="11D35A2E" w14:textId="4DF1B35A" w:rsidR="00ED6CD4" w:rsidRPr="009817B9" w:rsidRDefault="00ED6CD4" w:rsidP="009817B9">
      <w:r w:rsidRPr="009817B9">
        <w:t xml:space="preserve">It is well-established that individuals with moderate to severe renal impairment are considered at high or very high cardiovascular disease risk, and risk estimate prediction tools do not apply </w:t>
      </w:r>
      <w:r w:rsidRPr="009817B9">
        <w:fldChar w:fldCharType="begin"/>
      </w:r>
      <w:r w:rsidR="006528EA">
        <w:instrText xml:space="preserve"> ADDIN ZOTERO_ITEM CSL_CITATION {"citationID":"tgf2Dm8q","properties":{"formattedCitation":"\\super 177,178\\nosupersub{}","plainCitation":"177,178","noteIndex":0},"citationItems":[{"id":18978,"uris":["http://zotero.org/users/3444308/items/QU2JD824"],"itemData":{"id":18978,"type":"report","abstract":"This guideline covers identifying and assessing risk of cardiovascular disease (CVD) in adults without established CVD. It covers lifestyle changes and lipid-lowering treatment (including statins) for primary and secondary prevention of CVD, and includes guidance for people who also have diabetes or chronic kidney disease","language":"eng","publisher":"NICE","title":"Cardiovascular disease: risk assessment and reduction, including lipid modification","title-short":"Overview | Cardiovascular disease","URL":"https://www.nice.org.uk/guidance/ng238","author":[{"literal":"National Institute for Health and Care Excellence"}],"accessed":{"date-parts":[["2025",10,23]]},"issued":{"date-parts":[["2023",12,14]]}}},{"id":19074,"uris":["http://zotero.org/users/3444308/items/63M7QQ7Z"],"itemData":{"id":19074,"type":"article-journal","container-title":"European Heart Journal","DOI":"10.1093/eurheartj/ehab484","ISSN":"1522-9645","issue":"34","journalAbbreviation":"Eur Heart J","language":"eng","note":"PMID: 34458905","page":"3227-3337","source":"PubMed","title":"2021 ESC Guidelines on cardiovascular disease prevention in clinical practice","volume":"42","author":[{"family":"Visseren","given":"Frank L. J."},{"family":"Mach","given":"François"},{"family":"Smulders","given":"Yvo M."},{"family":"Carballo","given":"David"},{"family":"Koskinas","given":"Konstantinos C."},{"family":"Bäck","given":"Maria"},{"family":"Benetos","given":"Athanase"},{"family":"Biffi","given":"Alessandro"},{"family":"Boavida","given":"José-Manuel"},{"family":"Capodanno","given":"Davide"},{"family":"Cosyns","given":"Bernard"},{"family":"Crawford","given":"Carolyn"},{"family":"Davos","given":"Constantinos H."},{"family":"Desormais","given":"Ileana"},{"family":"Di Angelantonio","given":"Emanuele"},{"family":"Franco","given":"Oscar H."},{"family":"Halvorsen","given":"Sigrun"},{"family":"Hobbs","given":"F. D. Richard"},{"family":"Hollander","given":"Monika"},{"family":"Jankowska","given":"Ewa A."},{"family":"Michal","given":"Matthias"},{"family":"Sacco","given":"Simona"},{"family":"Sattar","given":"Naveed"},{"family":"Tokgozoglu","given":"Lale"},{"family":"Tonstad","given":"Serena"},{"family":"Tsioufis","given":"Konstantinos P."},{"family":"Dis","given":"Ineke","non-dropping-particle":"van"},{"family":"Gelder","given":"Isabelle C.","non-dropping-particle":"van"},{"family":"Wanner","given":"Christoph"},{"family":"Williams","given":"Bryan"},{"literal":"ESC National Cardiac Societies"},{"literal":"ESC Scientific Document Group"}],"issued":{"date-parts":[["2021",9,7]]}}}],"schema":"https://github.com/citation-style-language/schema/raw/master/csl-citation.json"} </w:instrText>
      </w:r>
      <w:r w:rsidRPr="009817B9">
        <w:fldChar w:fldCharType="separate"/>
      </w:r>
      <w:r w:rsidR="00CE2429" w:rsidRPr="00CE2429">
        <w:rPr>
          <w:rFonts w:ascii="Aptos" w:hAnsi="Aptos" w:cs="Times New Roman"/>
          <w:vertAlign w:val="superscript"/>
        </w:rPr>
        <w:t>177,178</w:t>
      </w:r>
      <w:r w:rsidRPr="009817B9">
        <w:fldChar w:fldCharType="end"/>
      </w:r>
      <w:r w:rsidRPr="009817B9">
        <w:rPr>
          <w:color w:val="0F4761" w:themeColor="accent1" w:themeShade="BF"/>
        </w:rPr>
        <w:t xml:space="preserve">. </w:t>
      </w:r>
      <w:r w:rsidRPr="009817B9">
        <w:t xml:space="preserve">Moreover, the European Society of Cardiology (ESC) in their 2019 Dyslipidaemia guidelines acknowledge the dyslipidaemia burden in solid organ and allogenic </w:t>
      </w:r>
      <w:proofErr w:type="spellStart"/>
      <w:r w:rsidRPr="009817B9">
        <w:t>haemopoetic</w:t>
      </w:r>
      <w:proofErr w:type="spellEnd"/>
      <w:r w:rsidRPr="009817B9">
        <w:t xml:space="preserve"> stem cell transplant recipients, and they recommend that it is managed with statins as in non-transplant patients at high or very high risk for atherosclerotic cardiovascular disease, with specific attention in addressing the cause of the lipid abnormalities and avoiding interactions between drugs. This recommendation is in keeping with the 2014 KDIGO Guidelines 24552851 In terms of LDL-cholesterol targets, this would translate to aiming for </w:t>
      </w:r>
      <w:proofErr w:type="gramStart"/>
      <w:r w:rsidRPr="009817B9">
        <w:t>a</w:t>
      </w:r>
      <w:proofErr w:type="gramEnd"/>
      <w:r w:rsidRPr="009817B9">
        <w:t xml:space="preserve"> LDL &lt; 1.8 or 1.4 mmol/l for primary prevention. However, the 2021 ESC Cardiovascular disease prevention guidelines recommend a </w:t>
      </w:r>
      <w:proofErr w:type="gramStart"/>
      <w:r w:rsidRPr="009817B9">
        <w:t>step-wise</w:t>
      </w:r>
      <w:proofErr w:type="gramEnd"/>
      <w:r w:rsidRPr="009817B9">
        <w:t xml:space="preserve"> approach in terms of LDL-cholesterol targets. Though, there is no specific mention to transplant recipients, the recommendation for CKD patients i.e. aiming a LDL-cholesterol target of &lt;2.6mmol/L (100mg/dL) and &gt;/=50% LDL-C reduction as a first step, is probably a reasonable and pragmatic approach to apply to KTRs, balancing aggressive cardiovascular risk reduction with possible drug interactions and polypharmacy </w:t>
      </w:r>
      <w:r w:rsidRPr="009817B9">
        <w:fldChar w:fldCharType="begin"/>
      </w:r>
      <w:r w:rsidR="006528EA">
        <w:instrText xml:space="preserve"> ADDIN ZOTERO_ITEM CSL_CITATION {"citationID":"2g0akopK","properties":{"formattedCitation":"\\super 178\\nosupersub{}","plainCitation":"178","noteIndex":0},"citationItems":[{"id":19074,"uris":["http://zotero.org/users/3444308/items/63M7QQ7Z"],"itemData":{"id":19074,"type":"article-journal","container-title":"European Heart Journal","DOI":"10.1093/eurheartj/ehab484","ISSN":"1522-9645","issue":"34","journalAbbreviation":"Eur Heart J","language":"eng","note":"PMID: 34458905","page":"3227-3337","source":"PubMed","title":"2021 ESC Guidelines on cardiovascular disease prevention in clinical practice","volume":"42","author":[{"family":"Visseren","given":"Frank L. J."},{"family":"Mach","given":"François"},{"family":"Smulders","given":"Yvo M."},{"family":"Carballo","given":"David"},{"family":"Koskinas","given":"Konstantinos C."},{"family":"Bäck","given":"Maria"},{"family":"Benetos","given":"Athanase"},{"family":"Biffi","given":"Alessandro"},{"family":"Boavida","given":"José-Manuel"},{"family":"Capodanno","given":"Davide"},{"family":"Cosyns","given":"Bernard"},{"family":"Crawford","given":"Carolyn"},{"family":"Davos","given":"Constantinos H."},{"family":"Desormais","given":"Ileana"},{"family":"Di Angelantonio","given":"Emanuele"},{"family":"Franco","given":"Oscar H."},{"family":"Halvorsen","given":"Sigrun"},{"family":"Hobbs","given":"F. D. Richard"},{"family":"Hollander","given":"Monika"},{"family":"Jankowska","given":"Ewa A."},{"family":"Michal","given":"Matthias"},{"family":"Sacco","given":"Simona"},{"family":"Sattar","given":"Naveed"},{"family":"Tokgozoglu","given":"Lale"},{"family":"Tonstad","given":"Serena"},{"family":"Tsioufis","given":"Konstantinos P."},{"family":"Dis","given":"Ineke","non-dropping-particle":"van"},{"family":"Gelder","given":"Isabelle C.","non-dropping-particle":"van"},{"family":"Wanner","given":"Christoph"},{"family":"Williams","given":"Bryan"},{"literal":"ESC National Cardiac Societies"},{"literal":"ESC Scientific Document Group"}],"issued":{"date-parts":[["2021",9,7]]}}}],"schema":"https://github.com/citation-style-language/schema/raw/master/csl-citation.json"} </w:instrText>
      </w:r>
      <w:r w:rsidRPr="009817B9">
        <w:fldChar w:fldCharType="separate"/>
      </w:r>
      <w:r w:rsidR="00CE2429" w:rsidRPr="00CE2429">
        <w:rPr>
          <w:rFonts w:ascii="Aptos" w:hAnsi="Aptos" w:cs="Times New Roman"/>
          <w:vertAlign w:val="superscript"/>
        </w:rPr>
        <w:t>178</w:t>
      </w:r>
      <w:r w:rsidRPr="009817B9">
        <w:fldChar w:fldCharType="end"/>
      </w:r>
      <w:r w:rsidRPr="009817B9">
        <w:t xml:space="preserve">. Depending on other comorbidities and history of cardiovascular disease, a more intensified treatment approach may be warranted, aiming for an LDL-C &lt;1.8 or even 1.4 mmol/l. </w:t>
      </w:r>
    </w:p>
    <w:p w14:paraId="081A65A1" w14:textId="29C0E907" w:rsidR="00ED6CD4" w:rsidRPr="009817B9" w:rsidRDefault="00ED6CD4" w:rsidP="009817B9">
      <w:r w:rsidRPr="009817B9">
        <w:t xml:space="preserve">Nevertheless, the beneficial effects of statins in renal transplant patients are not clearly established, and good quality data are limited. In the Assessment of </w:t>
      </w:r>
      <w:proofErr w:type="spellStart"/>
      <w:r w:rsidRPr="009817B9">
        <w:t>Lescol</w:t>
      </w:r>
      <w:proofErr w:type="spellEnd"/>
      <w:r w:rsidRPr="009817B9">
        <w:t xml:space="preserve"> in Renal Transplantation (ALERT) study </w:t>
      </w:r>
      <w:r w:rsidRPr="009817B9">
        <w:fldChar w:fldCharType="begin"/>
      </w:r>
      <w:r w:rsidR="006528EA">
        <w:instrText xml:space="preserve"> ADDIN ZOTERO_ITEM CSL_CITATION {"citationID":"jFfrGz6W","properties":{"formattedCitation":"\\super 179\\nosupersub{}","plainCitation":"179","noteIndex":0},"citationItems":[{"id":18977,"uris":["http://zotero.org/users/3444308/items/86HF626I"],"itemData":{"id":18977,"type":"article-journal","abstract":"BACKGROUND: Renal transplant recipients are at increased risk of premature cardiovascular disease. Although statins reduce cardiovascular risk in the general population, their efficacy and safety in renal transplant recipients have not been established. We investigated the effects of fluvastatin on cardiac and renal endpoints in this population.\nMETHODS: We did a multicentre, randomised, double-blind, placebo-controlled trial in 2102 renal transplant recipients with total cholesterol 4.0-9.0 mmol/L. We randomly assigned patients fluvastatin (n=1050) or placebo (n=1052) and follow up was for 5-6 years. The primary endpoint was the occurrence of a major adverse cardiac event, defined as cardiac death, non-fatal myocardial infarction (MI), or coronary intervention procedure. Secondary endpoints were individual cardiac events, combined cardiac death or non-fatal MI, cerebrovascular events, non-cardiovascular death, all-cause mortality, and graft loss or doubling of serum creatinine. Analysis was by intention to treat.\nFINDINGS: After a mean follow-up of 5.1 years, fluvastatin lowered LDL cholesterol concentrations by 32%. Risk reduction with fluvastatin for the primary endpoint (risk ratio 0.83 [95% CI 0.64-1.06], p=0.139) was not significant, although there were fewer cardiac deaths or non-fatal MI (70 vs 104, 0.65 [0.48-0.88] p=0.005) in the fluvastatin group than in the placebo group. Coronary intervention procedures and other secondary endpoints did not differ significantly between groups.\nINTERPRETATION: Although cardiac deaths and non-fatal MI seemed to be reduced, fluvastatin did not generally reduce rates of coronary intervention procedures or mortality. Overall effects of fluvastatin were similar to those of statins in other populations.","container-title":"Lancet (London, England)","DOI":"10.1016/S0140-6736(03)13638-0","ISSN":"1474-547X","issue":"9374","journalAbbreviation":"Lancet","language":"eng","note":"PMID: 12814712","page":"2024-2031","source":"PubMed","title":"Effect of fluvastatin on cardiac outcomes in renal transplant recipients: a multicentre, randomised, placebo-controlled trial","title-short":"Effect of fluvastatin on cardiac outcomes in renal transplant recipients","volume":"361","author":[{"family":"Holdaas","given":"Hallvard"},{"family":"Fellström","given":"Bengt"},{"family":"Jardine","given":"Alan G."},{"family":"Holme","given":"Ingar"},{"family":"Nyberg","given":"Gudrun"},{"family":"Fauchald","given":"Per"},{"family":"Grönhagen-Riska","given":"Carola"},{"family":"Madsen","given":"Søren"},{"family":"Neumayer","given":"Hans-Hellmut"},{"family":"Cole","given":"Edward"},{"family":"Maes","given":"Bart"},{"family":"Ambühl","given":"Patrice"},{"family":"Olsson","given":"Anders G."},{"family":"Hartmann","given":"Anders"},{"family":"Solbu","given":"Dag O."},{"family":"Pedersen","given":"Terje R."},{"literal":"Assessment of LEscol in Renal Transplantation (ALERT) Study Investigators"}],"issued":{"date-parts":[["2003",6,14]]}}}],"schema":"https://github.com/citation-style-language/schema/raw/master/csl-citation.json"} </w:instrText>
      </w:r>
      <w:r w:rsidRPr="009817B9">
        <w:fldChar w:fldCharType="separate"/>
      </w:r>
      <w:r w:rsidR="00CE2429" w:rsidRPr="00CE2429">
        <w:rPr>
          <w:rFonts w:ascii="Aptos" w:hAnsi="Aptos" w:cs="Times New Roman"/>
          <w:vertAlign w:val="superscript"/>
        </w:rPr>
        <w:t>179</w:t>
      </w:r>
      <w:r w:rsidRPr="009817B9">
        <w:fldChar w:fldCharType="end"/>
      </w:r>
      <w:r w:rsidRPr="009817B9">
        <w:t xml:space="preserve">, 2102 transplant recipients with elevated baseline cholesterol but no history of cardiovascular disease were randomised to fluvastatin or placebo. After a mean 5.1 year follow up period, cardiac death and non-fatal myocardial infarction rates were significantly reduced in the fluvastatin group by 38% and 32%, respectively. A reduction in the primary endpoint of major cardiovascular event i.e. cardiac death, non-fatal myocardial infarction or coronary intervention, was noted but only became significant in an open label extension study </w:t>
      </w:r>
      <w:r w:rsidRPr="009817B9">
        <w:fldChar w:fldCharType="begin"/>
      </w:r>
      <w:r w:rsidR="006528EA">
        <w:instrText xml:space="preserve"> ADDIN ZOTERO_ITEM CSL_CITATION {"citationID":"kpGX9rgZ","properties":{"formattedCitation":"\\super 180\\nosupersub{}","plainCitation":"180","noteIndex":0},"citationItems":[{"id":19269,"uris":["http://zotero.org/users/3444308/items/DHHKS4D6"],"itemData":{"id":19269,"type":"article-journal","abstract":"Renal transplant recipients (RTR) have an increased risk of premature cardiovascular disease. The ALERT study is the first trial to evaluate the effect of statin therapy on cardiac outcomes following renal transplantation. Patients initially randomized to fluvastatin or placebo in the 5-6 year ALERT study were offered open-label fluvastatin XL 80 mg/day in a 2-year extension to the original study. The primary endpoint was time to first major adverse cardiac event (MACE). Of 1787 patients who completed ALERT, 1652 (92%) were followed in the extension. Mean total follow-up was 6.7 years. Mean LDL-cholesterol was 98 mg/dL (2.5 mmol/L) at last follow-up compared to a pre-study level of 159 mg/dL (4.1 mmol/L). Patients randomized to fluvastatin had a reduced risk of MACE (hazards ratio [HR] 0.79, 95% CI 0.63-0.99, p = 0.036), and a 29% reduction in cardiac death or definite non-fatal MI (HR 0.71, 95% CI 0.55-0.93, p = 0.014). Total mortality and graft loss did not differ significantly between groups. Fluvastatin produces a safe and effective reduction in LDL-cholesterol associated with reduced risk of MACE in RTR. The lipid-lowering and cardiovascular benefits of fluvastatin are comparable to those of statins in other patient groups, and support use of fluvastatin in RTR.","container-title":"American Journal of Transplantation: Official Journal of the American Society of Transplantation and the American Society of Transplant Surgeons","DOI":"10.1111/j.1600-6143.2005.01105.x","ISSN":"1600-6135","issue":"12","journalAbbreviation":"Am J Transplant","language":"eng","note":"PMID: 16303007","page":"2929-2936","source":"PubMed","title":"Long-term cardiac outcomes in renal transplant recipients receiving fluvastatin: the ALERT extension study","title-short":"Long-term cardiac outcomes in renal transplant recipients receiving fluvastatin","volume":"5","author":[{"family":"Holdaas","given":"H."},{"family":"Fellström","given":"B."},{"family":"Cole","given":"E."},{"family":"Nyberg","given":"G."},{"family":"Olsson","given":"A. G."},{"family":"Pedersen","given":"T. R."},{"family":"Madsen","given":"S."},{"family":"Grönhagen-Riska","given":"C."},{"family":"Neumayer","given":"H.-H."},{"family":"Maes","given":"B."},{"family":"Ambühl","given":"P."},{"family":"Hartmann","given":"A."},{"family":"Staffler","given":"B."},{"family":"Jardine","given":"A. G."},{"literal":"Assessment of LEscol in Renal Transplantation (ALERT) Study Investigators"}],"issued":{"date-parts":[["2005",12]]}}}],"schema":"https://github.com/citation-style-language/schema/raw/master/csl-citation.json"} </w:instrText>
      </w:r>
      <w:r w:rsidRPr="009817B9">
        <w:fldChar w:fldCharType="separate"/>
      </w:r>
      <w:r w:rsidR="00CE2429" w:rsidRPr="00CE2429">
        <w:rPr>
          <w:rFonts w:ascii="Aptos" w:hAnsi="Aptos" w:cs="Times New Roman"/>
          <w:vertAlign w:val="superscript"/>
        </w:rPr>
        <w:t>180</w:t>
      </w:r>
      <w:r w:rsidRPr="009817B9">
        <w:fldChar w:fldCharType="end"/>
      </w:r>
      <w:r w:rsidRPr="009817B9">
        <w:t xml:space="preserve">. Nevertheless, it should be noted that the fluvastatin dose was increased halfway the duration of the original study following emerging safety data on dosing, and as a result, much lower LDL levels were achieved after the first two years. A systematic review reported that statins were effective in favourably modifying the lipid profile in kidney transplant recipients (11 studies), and may have cardiovascular benefits, </w:t>
      </w:r>
      <w:r w:rsidRPr="009817B9">
        <w:lastRenderedPageBreak/>
        <w:t xml:space="preserve">though the latter was mainly driven by the inclusion of ALERT and concluded that further studies are required </w:t>
      </w:r>
      <w:r w:rsidRPr="009817B9">
        <w:fldChar w:fldCharType="begin"/>
      </w:r>
      <w:r w:rsidR="006528EA">
        <w:instrText xml:space="preserve"> ADDIN ZOTERO_ITEM CSL_CITATION {"citationID":"n7Xs9Ipk","properties":{"formattedCitation":"\\super 181\\nosupersub{}","plainCitation":"181","noteIndex":0},"citationItems":[{"id":19268,"uris":["http://zotero.org/users/3444308/items/L78GIXJL"],"itemData":{"id":19268,"type":"article-journal","abstract":"BACKGROUND: People with chronic kidney disease (CKD) have higher risks of cardiovascular disease compared to the general population. Specifically, cardiovascular deaths account most deaths in kidney transplant recipients. Statins are a potentially beneficial intervention for kidney transplant patients given their established benefits in patients at risk of cardiovascular disease in the general population. This is an update of a review first published in 2009.\nOBJECTIVES: We aimed to evaluate the benefits (reductions in all-cause and cardiovascular mortality, major cardiovascular events, myocardial infarction and stroke, and progression of CKD to requiring dialysis) and harms (muscle or liver dysfunction, withdrawal, cancer) of statins compared to placebo, no treatment, standard care, or another statin in adults with CKD who have a functioning kidney transplant.\nSEARCH METHODS: We searched the Cochrane Renal Group's Specialised Register to 29 February 2012 through contact with the Trials Search Co-ordinator using search terms relevant to this review.\nSELECTION CRITERIA: We included randomised controlled trials (RCTs) and quasi-RCTs that compared the effects of statins with placebo, no treatment, standard care, or statins on mortality, cardiovascular events, kidney function and toxicity in kidney transplant recipients.\nDATA COLLECTION AND ANALYSIS: Two authors independently extracted data and assessed risk of bias. Treatment effects were expressed as mean difference (MD) for continuous outcomes (lipids, glomerular filtration rate (GFR), proteinuria) and relative risk (RR) for dichotomous outcomes (major cardiovascular events, mortality, fatal or non-fatal myocardial infarction, fatal or non-fatal stroke, elevated muscle or liver enzymes, withdrawal due to adverse events, cancer, end-stage kidney disease (ESKD), acute allograft rejection) together with 95% confidence intervals (CI).\nMAIN RESULTS: We identified 22 studies (3465 participants); 17 studies (3282 participants) compared statin with placebo or no treatment, and five studies (183 participants) compared two different statin regimens.From data generally derived from a single high-quality study, it was found that statins may reduce major cardiovascular events (1 study, 2102 participants: RR 0.84, CI 0.66 to 1.06), cardiovascular mortality (4 studies, 2322 participants: RR 0.68, CI 0.45 to 1.01), and fatal or non-fatal myocardial infarction (1 study, 2102 participants: RR 0.70, CI 0.48 to 1.01); although effect estimates lack precision and include the possibility of no effect.Statins had uncertain effects on all-cause mortality (6 studies, 2760 participants: RR 1.08, CI 0.63 to 1.83); fatal or non-fatal stroke (1 study, 2102 participants: RR 1.18, CI 0.85 to 1.63); creatine kinase elevation (3 studies, 2233 participants: RR 0.86, CI 0.39 to 1.89); liver enzyme elevation (4 studies, 608 participants: RR 0.62, CI 0.33 to 1.19); withdrawal due to adverse events (9 studies, 2810 participants: RR 0.89, CI 0.74 to 1.06); and cancer (1 study, 2094 participants: RR 0.94, CI 0.82 to 1.07).Statins significantly reduced serum total cholesterol (12 studies, 3070 participants: MD -42.43 mg/dL, CI -51.22 to -33.65); low-density lipoprotein cholesterol (11 studies, 3004 participants: MD -43.19 mg/dL, CI -52.59 to -33.78); serum triglycerides (11 studies, 3012 participants: MD -27.28 mg/dL, CI -34.29 to -20.27); and lowered high-density lipoprotein cholesterol (11 studies, 3005 participants: MD -5.69 mg/dL, CI -10.35 to -1.03).Statins had uncertain effects on kidney function: ESKD (6 studies, 2740 participants: RR 1.14, CI 0.94 to 1.37); proteinuria (2 studies, 136 participants: MD -0.04 g/24 h, CI -0.17 to 0.25); acute allograft rejection (4 studies, 582 participants: RR 0.88, CI 0.61 to 1.28); and GFR (1 study, 62 participants: MD -1.00 mL/min, CI -9.96 to 7.96).Due to heterogeneity in comparisons, data directly comparing differing statin regimens could not be meta-analysed. Evidence for statins in people who have had a kidney transplant were sparse and lower quality due to imprecise effect estimates and provided limited systematic evaluation of treatment harm.\nAUTHORS' CONCLUSIONS: Statins may reduce cardiovascular events in kidney transplant recipients, although treatment effects are imprecise. Statin treatment has uncertain effects on overall mortality, stroke, kidney function, and toxicity outcomes in kidney transplant recipients. Additional studies would improve our confidence in the treatment benefits and harms of statins on cardiovascular events in this clinical setting.","container-title":"The Cochrane Database of Systematic Reviews","DOI":"10.1002/14651858.CD005019.pub4","ISSN":"1469-493X","issue":"1","journalAbbreviation":"Cochrane Database Syst Rev","language":"eng","note":"PMID: 24470059\nPMCID: PMC8860132","page":"CD005019","source":"PubMed","title":"HMG CoA reductase inhibitors (statins) for kidney transplant recipients","volume":"2014","author":[{"family":"Palmer","given":"Suetonia C."},{"family":"Navaneethan","given":"Sankar D."},{"family":"Craig","given":"Jonathan C."},{"family":"Perkovic","given":"Vlado"},{"family":"Johnson","given":"David W."},{"family":"Nigwekar","given":"Sagar U."},{"family":"Hegbrant","given":"Jorgen"},{"family":"Strippoli","given":"Giovanni Fm"}],"issued":{"date-parts":[["2014",1,28]]}}}],"schema":"https://github.com/citation-style-language/schema/raw/master/csl-citation.json"} </w:instrText>
      </w:r>
      <w:r w:rsidRPr="009817B9">
        <w:fldChar w:fldCharType="separate"/>
      </w:r>
      <w:r w:rsidR="00CE2429" w:rsidRPr="00CE2429">
        <w:rPr>
          <w:rFonts w:ascii="Aptos" w:hAnsi="Aptos" w:cs="Times New Roman"/>
          <w:vertAlign w:val="superscript"/>
        </w:rPr>
        <w:t>181</w:t>
      </w:r>
      <w:r w:rsidRPr="009817B9">
        <w:fldChar w:fldCharType="end"/>
      </w:r>
      <w:r w:rsidRPr="009817B9">
        <w:t xml:space="preserve">. </w:t>
      </w:r>
    </w:p>
    <w:p w14:paraId="259BAD78" w14:textId="739EDE13" w:rsidR="00ED6CD4" w:rsidRPr="009817B9" w:rsidRDefault="00ED6CD4" w:rsidP="009817B9">
      <w:r w:rsidRPr="009817B9">
        <w:t xml:space="preserve">Over the last few years, some retrospective studies have failed to demonstrate a cardiovascular benefit from statin use </w:t>
      </w:r>
      <w:r w:rsidRPr="009817B9">
        <w:fldChar w:fldCharType="begin"/>
      </w:r>
      <w:r w:rsidR="006528EA">
        <w:instrText xml:space="preserve"> ADDIN ZOTERO_ITEM CSL_CITATION {"citationID":"yeZuQYWx","properties":{"formattedCitation":"\\super 182\\uc0\\u8211{}184\\nosupersub{}","plainCitation":"182–184","noteIndex":0},"citationItems":[{"id":19267,"uris":["http://zotero.org/users/3444308/items/ISK7JILW"],"itemData":{"id":19267,"type":"article-journal","abstract":"BACKGROUND: Statins achieve potent LDL lowering in the general population leading to a significant cardiovascular (CV) risk reduction. In renal transplant recipients (RTR) statins are included in treatment guidelines, however, conclusive evidence of improved cardiovascular outcomes has not been uniformly provided and concerns have been raised about simultaneous use of statins and the immunosuppressant cyclosporine. This study aimed to elucidate the effect of statins on a compound CV endpoint, comprised of ischaemic CV events and CV mortality in RTR, with subgroup analysis focussing on cyclosporine users.\nMETHOD: 622 included RTR (follow-up 5.4 years) were matched based on propensity scores and dichotomized by statin use. Survival analysis was conducted.\nRESULTS: Cox regression showed that statin use was not significantly associated with the compound CV endpoint in a fully adjusted model (HR = 0.81, 95% CI = 0.53-1.24, P = .33). Subgroup analyses in RTR using cyclosporine revealed a strong positive association of statin use with the CV compound outcome in a fully adjusted model (HR = 6.60, 95% CI 1.75-24.9, P = .005). Furthermore, statin use was positively correlated with cyclosporine trough levels (correlation coefficient 0.11, P = .04).\nCONCLUSION: In conclusion, statin use does not significantly decrease incident CV events in an overall RTR cohort, but is independently associated with CV-specific mortality and events in cyclosporine using RTR, possibly due to a bilateral pharmacological interaction.","container-title":"European Journal of Clinical Investigation","DOI":"10.1111/eci.13594","ISSN":"1365-2362","issue":"11","journalAbbreviation":"Eur J Clin Invest","language":"eng","note":"PMID: 34042174\nPMCID: PMC8596424","page":"e13594","source":"PubMed","title":"Statin use and incident cardiovascular events in renal transplant recipients","volume":"51","author":[{"family":"Anderson","given":"Josephine L. C."},{"family":"Giet","given":"Markus","non-dropping-particle":"van der"},{"family":"Gomes Neto","given":"Antonio W."},{"family":"Bakker","given":"Stephan J. L."},{"family":"Tietge","given":"Uwe J. F."}],"issued":{"date-parts":[["2021",11]]}}},{"id":19266,"uris":["http://zotero.org/users/3444308/items/HEPASXNR"],"itemData":{"id":19266,"type":"article-journal","abstract":"BACKGROUND: Statins are recommended in kidney transplant recipients (KTRs)-a population with a high risk of major cardiovascular (CV) events. However, the literature data on the effectiveness of statins in KTRs are sparse and inconclusive. The present study's objective was to evaluate the association between statin exposure and atherosclerotic CV events in KTRs and the biochemical effectiveness of statins on the lipid profile.\nMETHODS: A total of 318 consecutive KTRs managed at a single center between 2006 and 2019 were retrospectively included. Those exposed to statins after transplantation were incident users. In all users, statins were indicated for primary CV prevention. Lipid profiles, the occurrence of any atherosclerotic CV events (stroke, myocardial infarction, other atherosclerotic CV events and atherosclerotic CV deaths) were documented comprehensively. We applied Cox models that included statin exposure as a time-dependent covariate fitted with time-varying inverse probability treatment weighting (IPTW) to assess the effectiveness of statins on atherosclerotic CV events and on all CV events. We built linear mixed models to assess the biochemical effectiveness of statins.\nRESULTS: During a median (interquartile range) follow-up period of 6.0 (3.9-10.0) years, 27 atherosclerotic CV events occurred in 26 patients. In the Cox models fitted with time-varying IPTW, exposure to statins was not associated with a decrease in atherosclerotic CV events; the hazard ratio was 1.16 (95% confidence interval 0.53-2.53) (P = .700). In the linear mixed models, statin exposure was associated with significant decrease over time in triglyceride and low-density lipoprotein cholesterol concentrations (P &lt; .001). These results were consistent when stratified for the intensity of statin therapy.\nCONCLUSION: Even though the lipid profile improved, statin exposure was not associated with a decrease in CV events in this real-life, single-center, retrospective, long-term follow-up study of a KTR cohort. Larger, controlled studies are needed to confirm or refute these results.","container-title":"Nephrology, Dialysis, Transplantation: Official Publication of the European Dialysis and Transplant Association - European Renal Association","DOI":"10.1093/ndt/gfad217","ISSN":"1460-2385","issue":"5","journalAbbreviation":"Nephrol Dial Transplant","language":"eng","note":"PMID: 37791395","page":"818-829","source":"PubMed","title":"Statin therapy and the incidence of atherosclerotic cardiovascular events after kidney transplantation","volume":"39","author":[{"family":"Nazoiri","given":"Charifa"},{"family":"Liabeuf","given":"Sophie"},{"family":"Brazier","given":"François"},{"family":"Nowak","given":"Alban"},{"family":"Bennis","given":"Youssef"},{"family":"Laville","given":"Solène M."},{"family":"Bodeau","given":"Sandra"},{"family":"Gras-Champel","given":"Valérie"},{"family":"Masmoudi","given":"Kamel"},{"family":"Choukroun","given":"Gabriel"},{"family":"Batteux","given":"Benjamin"}],"issued":{"date-parts":[["2024",4,26]]}}},{"id":19265,"uris":["http://zotero.org/users/3444308/items/F9L2GAD4"],"itemData":{"id":19265,"type":"article-journal","abstract":"Cardiovascular disease remains a leading cause of morbidity and mortality after kidney transplantation (KT). Although statins reduce cardiovascular risk and have renal benefits in the general population, their effects on KT recipients are not well-established. We studied the effects of early statin use (within 1-year post-transplantation) on long-term outcomes in 714 KT recipients from the Korean cohort study for outcome in patients with KT. Compared with the control group, statin group recipients were significantly older, had a higher body mass index, and had a higher prevalence of diabetes mellitus. During a median follow-up of 85 months, 74 graft losses occurred (54 death-censored graft losses and 20 deaths). Early statin use was independently associated with lower mortality (hazard ratio, 0.280; 95% confidence interval 0.111-0.703) and lower death-censored graft loss (hazard ratio, 0.350; 95% confidence interval 0.198-0.616). Statin therapy significantly reduced low-density lipoprotein cholesterol levels but did not decrease the risk of major adverse cardiovascular events. Biopsy-proven rejection and graft renal function were not significantly different between statin and control groups. Our findings suggest that early statin use is an effective strategy for reducing low-density lipoprotein cholesterol and improving patient and graft survival after KT.","container-title":"Scientific Reports","DOI":"10.1038/s41598-024-52513-6","ISSN":"2045-2322","issue":"1","journalAbbreviation":"Sci Rep","language":"eng","note":"PMID: 38263253\nPMCID: PMC10805738","page":"2002","source":"PubMed","title":"Benefits of statin therapy within a year after kidney transplantation","volume":"14","author":[{"family":"Yim","given":"Seung Hyuk"},{"family":"Kim","given":"Hyun Jeong"},{"family":"Ro","given":"Han"},{"family":"Ryu","given":"Jung-Hwa"},{"family":"Kim","given":"Myung-Gyu"},{"family":"Park","given":"Jae Berm"},{"family":"Kim","given":"Chan-Duck"},{"family":"Han","given":"Seungyeup"},{"family":"Lee","given":"Sik"},{"family":"Yang","given":"Jaesok"},{"family":"Huh","given":"Kyu Ha"},{"family":"Kim","given":"Myoung Soo"},{"family":"Lee","given":"Juhan"}],"issued":{"date-parts":[["2024",1,23]]}}}],"schema":"https://github.com/citation-style-language/schema/raw/master/csl-citation.json"} </w:instrText>
      </w:r>
      <w:r w:rsidRPr="009817B9">
        <w:fldChar w:fldCharType="separate"/>
      </w:r>
      <w:r w:rsidR="00CE2429" w:rsidRPr="00CE2429">
        <w:rPr>
          <w:rFonts w:ascii="Aptos" w:hAnsi="Aptos" w:cs="Times New Roman"/>
          <w:vertAlign w:val="superscript"/>
        </w:rPr>
        <w:t>182–184</w:t>
      </w:r>
      <w:r w:rsidRPr="009817B9">
        <w:fldChar w:fldCharType="end"/>
      </w:r>
      <w:r w:rsidRPr="009817B9">
        <w:t xml:space="preserve">, despite improvements in lipids </w:t>
      </w:r>
      <w:r w:rsidRPr="009817B9">
        <w:fldChar w:fldCharType="begin"/>
      </w:r>
      <w:r w:rsidR="006528EA">
        <w:instrText xml:space="preserve"> ADDIN ZOTERO_ITEM CSL_CITATION {"citationID":"gxGTNSDV","properties":{"formattedCitation":"\\super 183,184\\nosupersub{}","plainCitation":"183,184","noteIndex":0},"citationItems":[{"id":19266,"uris":["http://zotero.org/users/3444308/items/HEPASXNR"],"itemData":{"id":19266,"type":"article-journal","abstract":"BACKGROUND: Statins are recommended in kidney transplant recipients (KTRs)-a population with a high risk of major cardiovascular (CV) events. However, the literature data on the effectiveness of statins in KTRs are sparse and inconclusive. The present study's objective was to evaluate the association between statin exposure and atherosclerotic CV events in KTRs and the biochemical effectiveness of statins on the lipid profile.\nMETHODS: A total of 318 consecutive KTRs managed at a single center between 2006 and 2019 were retrospectively included. Those exposed to statins after transplantation were incident users. In all users, statins were indicated for primary CV prevention. Lipid profiles, the occurrence of any atherosclerotic CV events (stroke, myocardial infarction, other atherosclerotic CV events and atherosclerotic CV deaths) were documented comprehensively. We applied Cox models that included statin exposure as a time-dependent covariate fitted with time-varying inverse probability treatment weighting (IPTW) to assess the effectiveness of statins on atherosclerotic CV events and on all CV events. We built linear mixed models to assess the biochemical effectiveness of statins.\nRESULTS: During a median (interquartile range) follow-up period of 6.0 (3.9-10.0) years, 27 atherosclerotic CV events occurred in 26 patients. In the Cox models fitted with time-varying IPTW, exposure to statins was not associated with a decrease in atherosclerotic CV events; the hazard ratio was 1.16 (95% confidence interval 0.53-2.53) (P = .700). In the linear mixed models, statin exposure was associated with significant decrease over time in triglyceride and low-density lipoprotein cholesterol concentrations (P &lt; .001). These results were consistent when stratified for the intensity of statin therapy.\nCONCLUSION: Even though the lipid profile improved, statin exposure was not associated with a decrease in CV events in this real-life, single-center, retrospective, long-term follow-up study of a KTR cohort. Larger, controlled studies are needed to confirm or refute these results.","container-title":"Nephrology, Dialysis, Transplantation: Official Publication of the European Dialysis and Transplant Association - European Renal Association","DOI":"10.1093/ndt/gfad217","ISSN":"1460-2385","issue":"5","journalAbbreviation":"Nephrol Dial Transplant","language":"eng","note":"PMID: 37791395","page":"818-829","source":"PubMed","title":"Statin therapy and the incidence of atherosclerotic cardiovascular events after kidney transplantation","volume":"39","author":[{"family":"Nazoiri","given":"Charifa"},{"family":"Liabeuf","given":"Sophie"},{"family":"Brazier","given":"François"},{"family":"Nowak","given":"Alban"},{"family":"Bennis","given":"Youssef"},{"family":"Laville","given":"Solène M."},{"family":"Bodeau","given":"Sandra"},{"family":"Gras-Champel","given":"Valérie"},{"family":"Masmoudi","given":"Kamel"},{"family":"Choukroun","given":"Gabriel"},{"family":"Batteux","given":"Benjamin"}],"issued":{"date-parts":[["2024",4,26]]}}},{"id":19265,"uris":["http://zotero.org/users/3444308/items/F9L2GAD4"],"itemData":{"id":19265,"type":"article-journal","abstract":"Cardiovascular disease remains a leading cause of morbidity and mortality after kidney transplantation (KT). Although statins reduce cardiovascular risk and have renal benefits in the general population, their effects on KT recipients are not well-established. We studied the effects of early statin use (within 1-year post-transplantation) on long-term outcomes in 714 KT recipients from the Korean cohort study for outcome in patients with KT. Compared with the control group, statin group recipients were significantly older, had a higher body mass index, and had a higher prevalence of diabetes mellitus. During a median follow-up of 85 months, 74 graft losses occurred (54 death-censored graft losses and 20 deaths). Early statin use was independently associated with lower mortality (hazard ratio, 0.280; 95% confidence interval 0.111-0.703) and lower death-censored graft loss (hazard ratio, 0.350; 95% confidence interval 0.198-0.616). Statin therapy significantly reduced low-density lipoprotein cholesterol levels but did not decrease the risk of major adverse cardiovascular events. Biopsy-proven rejection and graft renal function were not significantly different between statin and control groups. Our findings suggest that early statin use is an effective strategy for reducing low-density lipoprotein cholesterol and improving patient and graft survival after KT.","container-title":"Scientific Reports","DOI":"10.1038/s41598-024-52513-6","ISSN":"2045-2322","issue":"1","journalAbbreviation":"Sci Rep","language":"eng","note":"PMID: 38263253\nPMCID: PMC10805738","page":"2002","source":"PubMed","title":"Benefits of statin therapy within a year after kidney transplantation","volume":"14","author":[{"family":"Yim","given":"Seung Hyuk"},{"family":"Kim","given":"Hyun Jeong"},{"family":"Ro","given":"Han"},{"family":"Ryu","given":"Jung-Hwa"},{"family":"Kim","given":"Myung-Gyu"},{"family":"Park","given":"Jae Berm"},{"family":"Kim","given":"Chan-Duck"},{"family":"Han","given":"Seungyeup"},{"family":"Lee","given":"Sik"},{"family":"Yang","given":"Jaesok"},{"family":"Huh","given":"Kyu Ha"},{"family":"Kim","given":"Myoung Soo"},{"family":"Lee","given":"Juhan"}],"issued":{"date-parts":[["2024",1,23]]}}}],"schema":"https://github.com/citation-style-language/schema/raw/master/csl-citation.json"} </w:instrText>
      </w:r>
      <w:r w:rsidRPr="009817B9">
        <w:fldChar w:fldCharType="separate"/>
      </w:r>
      <w:r w:rsidR="00CE2429" w:rsidRPr="00CE2429">
        <w:rPr>
          <w:rFonts w:ascii="Aptos" w:hAnsi="Aptos" w:cs="Times New Roman"/>
          <w:vertAlign w:val="superscript"/>
        </w:rPr>
        <w:t>183,184</w:t>
      </w:r>
      <w:r w:rsidRPr="009817B9">
        <w:fldChar w:fldCharType="end"/>
      </w:r>
      <w:r w:rsidRPr="009817B9">
        <w:t xml:space="preserve">. Nevertheless, there are several reports of improved overall survival in association with statin use in KTRs, including a large US KTR cohort (n=58264); </w:t>
      </w:r>
      <w:r w:rsidRPr="009817B9">
        <w:fldChar w:fldCharType="begin"/>
      </w:r>
      <w:r w:rsidR="006528EA">
        <w:instrText xml:space="preserve"> ADDIN ZOTERO_ITEM CSL_CITATION {"citationID":"t9D4vdIF","properties":{"formattedCitation":"\\super 184\\uc0\\u8211{}186\\nosupersub{}","plainCitation":"184–186","noteIndex":0},"citationItems":[{"id":19264,"uris":["http://zotero.org/users/3444308/items/76ZNDVGL"],"itemData":{"id":19264,"type":"article-journal","abstract":"SIGNIFICANCE STATEMENT: Cardiovascular diseases account for 32% of deaths among kidney transplant recipients. Statin therapy is common in this population. However, its effect on mortality prevention remains unclear among kidney transplant recipients, whose clinical risk profile might be unique because of concomitant immunosuppressive therapy. In this national study of 58,264 single-kidney transplant recipients, statin use was associated with a 5% decrease in mortality. More importantly, this protective association was stronger among those who used a mammalian target of rapamycin (mTOR) inhibitor for immunosuppression (27% decrease in mTOR inhibitor users versus 5% in nonusers). Our results suggest that statin therapy may reduce mortality in kidney transplant recipients and that the strength of this protective association may vary by immunosuppression regimen.\nBACKGROUND: Cardiovascular diseases are the leading cause of mortality in kidney transplant (KT) recipients, accounting for 32% of deaths. Statins are widely used in KT recipients, but effectiveness for preventing mortality remains unclear in this population, especially because of interaction between statins and immunosuppressive agents. We analyzed a national cohort to assess the real-world effectiveness of statins for reducing all-cause mortality in KT recipients.\nMETHODS: We studied statin use and mortality among 58,264 adults (18 years or older) who received single kidneys between 2006 and 2016 and had Medicare part A/B/D. Statin use was ascertained from Medicare prescription drug claims and deaths from Center for Medicare and Medicaid Services records. We estimated the association of statin use with mortality using multivariable Cox models, with statin use as a time-varying exposure and immunosuppression regimen as effect modifiers.\nRESULTS: Statin use increased from 45.5% at KT to 58.2% at 1-year post-KT to 70.9% at 5-year post-KT. We observed 9785 deaths over 236,944 person-years. Overall, statin use was significantly associated with lower mortality (adjusted hazard ratio [aHR], 0.95; 95% confidence interval [CI], 0.90 to 0.99). The strength of this protective association varied by calcineurin inhibitor use (among tacrolimus users, aHR, 0.97; 95% CI, 0.92 to 1.03 versus among calcineurin nonusers, aHR, 0.72; 95% CI, 0.60 to 0.87; interaction P =0.002), mammalian target of rapamycin (mTOR) inhibitor use (among mTOR inhibitor users, aHR, 0.73; 95% CI, 0.57 to 0.92 versus among nonusers, aHR, 0.95; 95% CI, 0.91 to 1.00; interaction P =0.03), and mycophenolate use (among mycophenolate users, aHR, 0.96; 95% CI, 0.91 to 1.02 versus among nonusers, aHR, 0.76; 95% CI, 0.64 to 0.89; interaction P =0.002).\nCONCLUSION: Real-world evidence supports statin therapy for reducing all-cause mortality in KT recipients. Effectiveness might be greater when combined with mTOR inhibitor-based immunosuppression.","container-title":"Journal of the American Society of Nephrology: JASN","DOI":"10.1681/ASN.0000000000000112","ISSN":"1533-3450","issue":"6","journalAbbreviation":"J Am Soc Nephrol","language":"eng","note":"PMID: 36890643\nPMCID: PMC10278772","page":"1069-1077","source":"PubMed","title":"Statins in Kidney Transplant Recipients: Usage, All-Cause Mortality, and Interactions with Maintenance Immunosuppressive Agents","title-short":"Statins in Kidney Transplant Recipients","volume":"34","author":[{"family":"Bae","given":"Sunjae"},{"family":"Ahn","given":"JiYoon B."},{"family":"Joseph","given":"Corey"},{"family":"Whisler","given":"Ryan"},{"family":"Schnitzler","given":"Mark A."},{"family":"Lentine","given":"Krista L."},{"family":"Kadosh","given":"Bernard S."},{"family":"Segev","given":"Dorry L."},{"family":"McAdams-DeMarco","given":"Mara A."}],"issued":{"date-parts":[["2023",6,1]]}}},{"id":19263,"uris":["http://zotero.org/users/3444308/items/WLY3DZPD"],"itemData":{"id":19263,"type":"article-journal","abstract":"The efficacy of statins for the prevention of cardiovascular events is well established in the general population but remains unknown in renal transplant recipients. In this study, the association of statin use with patient and graft survival was investigated in a cohort of 2041 first-time recipients of renal allografts between 1990 and 2003. Multivariable Cox regression demonstrated that statin use was independently associated with lower mortality rates. Twelve-year survival rates were 73% for statin users and 64% for nonusers (P = 0.055). The adjusted hazard ratio for all-cause mortality associated with statin use was 0.64 (95% confidence interval 0.48 to 0.86). Graft survival rates during the same time period were 76% for statin users and 70% for nonusers (P = 0.055). The adjusted hazard ratio for graft survival associated with statin use was 0.76 (95% confidence interval 0.55 to 1.04). Results from marginal structural models were virtually identical. In summary, statin use was associated with prolonged patient survival, but no difference in graft survival was detected. Although these results are encouraging, a definitive causal relationship can be determined only from randomized clinical trials.","container-title":"Journal of the American Society of Nephrology: JASN","DOI":"10.1681/ASN.2008010101","ISSN":"1533-3450","issue":"11","journalAbbreviation":"J Am Soc Nephrol","language":"eng","note":"PMID: 18650477\nPMCID: PMC2573011","page":"2211-2218","source":"PubMed","title":"Statin use is associated with prolonged survival of renal transplant recipients","volume":"19","author":[{"family":"Wiesbauer","given":"Franz"},{"family":"Heinze","given":"Georg"},{"family":"Mitterbauer","given":"Christa"},{"family":"Harnoncourt","given":"Franz"},{"family":"Hörl","given":"Walter H."},{"family":"Oberbauer","given":"Rainer"}],"issued":{"date-parts":[["2008",11]]}}},{"id":19265,"uris":["http://zotero.org/users/3444308/items/F9L2GAD4"],"itemData":{"id":19265,"type":"article-journal","abstract":"Cardiovascular disease remains a leading cause of morbidity and mortality after kidney transplantation (KT). Although statins reduce cardiovascular risk and have renal benefits in the general population, their effects on KT recipients are not well-established. We studied the effects of early statin use (within 1-year post-transplantation) on long-term outcomes in 714 KT recipients from the Korean cohort study for outcome in patients with KT. Compared with the control group, statin group recipients were significantly older, had a higher body mass index, and had a higher prevalence of diabetes mellitus. During a median follow-up of 85 months, 74 graft losses occurred (54 death-censored graft losses and 20 deaths). Early statin use was independently associated with lower mortality (hazard ratio, 0.280; 95% confidence interval 0.111-0.703) and lower death-censored graft loss (hazard ratio, 0.350; 95% confidence interval 0.198-0.616). Statin therapy significantly reduced low-density lipoprotein cholesterol levels but did not decrease the risk of major adverse cardiovascular events. Biopsy-proven rejection and graft renal function were not significantly different between statin and control groups. Our findings suggest that early statin use is an effective strategy for reducing low-density lipoprotein cholesterol and improving patient and graft survival after KT.","container-title":"Scientific Reports","DOI":"10.1038/s41598-024-52513-6","ISSN":"2045-2322","issue":"1","journalAbbreviation":"Sci Rep","language":"eng","note":"PMID: 38263253\nPMCID: PMC10805738","page":"2002","source":"PubMed","title":"Benefits of statin therapy within a year after kidney transplantation","volume":"14","author":[{"family":"Yim","given":"Seung Hyuk"},{"family":"Kim","given":"Hyun Jeong"},{"family":"Ro","given":"Han"},{"family":"Ryu","given":"Jung-Hwa"},{"family":"Kim","given":"Myung-Gyu"},{"family":"Park","given":"Jae Berm"},{"family":"Kim","given":"Chan-Duck"},{"family":"Han","given":"Seungyeup"},{"family":"Lee","given":"Sik"},{"family":"Yang","given":"Jaesok"},{"family":"Huh","given":"Kyu Ha"},{"family":"Kim","given":"Myoung Soo"},{"family":"Lee","given":"Juhan"}],"issued":{"date-parts":[["2024",1,23]]}}}],"schema":"https://github.com/citation-style-language/schema/raw/master/csl-citation.json"} </w:instrText>
      </w:r>
      <w:r w:rsidRPr="009817B9">
        <w:fldChar w:fldCharType="separate"/>
      </w:r>
      <w:r w:rsidR="00CE2429" w:rsidRPr="00CE2429">
        <w:rPr>
          <w:rFonts w:ascii="Aptos" w:hAnsi="Aptos" w:cs="Times New Roman"/>
          <w:vertAlign w:val="superscript"/>
        </w:rPr>
        <w:t>184–186</w:t>
      </w:r>
      <w:r w:rsidRPr="009817B9">
        <w:fldChar w:fldCharType="end"/>
      </w:r>
      <w:r w:rsidRPr="009817B9">
        <w:t xml:space="preserve">, while others have not confirmed it </w:t>
      </w:r>
      <w:r w:rsidRPr="009817B9">
        <w:fldChar w:fldCharType="begin"/>
      </w:r>
      <w:r w:rsidR="006528EA">
        <w:instrText xml:space="preserve"> ADDIN ZOTERO_ITEM CSL_CITATION {"citationID":"wTesA6NC","properties":{"formattedCitation":"\\super 187\\nosupersub{}","plainCitation":"187","noteIndex":0},"citationItems":[{"id":19262,"uris":["http://zotero.org/users/3444308/items/W2IHBQKC"],"itemData":{"id":19262,"type":"article-journal","abstract":"BACKGROUND: The beneficial effects of early statin use in kidney transplant recipients, especially those on tacrolimus-based immunosuppression, are not well established. We evaluated the predictors of statin use following kidney transplantation and examined its association with patient and allograft survival.\nMETHODS: We examined 615 consecutive patients who underwent kidney transplant at our institution between January 1998 and January 2002. Statin use was assessed at baseline and 3, 6, 9, and 12 months following kidney transplant. Patients were followed for allograft and patient survival.\nRESULTS: 36% of the 615 kidney transplant recipients were treated with statin treatment. Statin use increased over the course of the study period. Older age, elevated body mass index, higher triglyceride levels, hypercholesterolemia, diabetes, history of myocardial infarction were associated with higher rates of statin use; elevated alkaline phosphatase levels and CMV IgG seropositivity were associated with less statin use. Older age, elevated BMI and hypercholesterolemia remained significant predictors of increased statin use after accounting for covariates using multiple regression. The early use of statins was not associated with improvements in unadjusted patient survival [HR 0.99; 95%CI 0.72-1.37] or graft survival [HR 0.97; 95% CI 0.76-1.24]. The risks of death and graft survival were not consistently reduced with exposure to statin using either adjusted models or propensity scores in Cox Proportional Hazards models.\nCONCLUSIONS: In a kidney transplant population primarily receiving tacrolimus-based immunosuppression, early statin use was not associated with significantly improved graft or patient survival.","container-title":"BMC nephrology","DOI":"10.1186/1471-2369-11-5","ISSN":"1471-2369","journalAbbreviation":"BMC Nephrol","language":"eng","note":"PMID: 20359353\nPMCID: PMC2855559","page":"5","source":"PubMed","title":"HMG-CoA reductase inhibitors in kidney transplant recipients receiving tacrolimus: statins not associated with improved patient or graft survival","title-short":"HMG-CoA reductase inhibitors in kidney transplant recipients receiving tacrolimus","volume":"11","author":[{"family":"Younas","given":"Nizar"},{"family":"Wu","given":"Christine M."},{"family":"Shapiro","given":"Ron"},{"family":"McCauley","given":"Jerry"},{"family":"Johnston","given":"James"},{"family":"Tan","given":"Henkie"},{"family":"Basu","given":"Amit"},{"family":"Schaefer","given":"Heidi"},{"family":"Smetanka","given":"Cynthia"},{"family":"Winkelmayer","given":"Wolfgang C."},{"family":"Unruh","given":"Mark"}],"issued":{"date-parts":[["2010",4,1]]}}}],"schema":"https://github.com/citation-style-language/schema/raw/master/csl-citation.json"} </w:instrText>
      </w:r>
      <w:r w:rsidRPr="009817B9">
        <w:fldChar w:fldCharType="separate"/>
      </w:r>
      <w:r w:rsidR="00CE2429" w:rsidRPr="00CE2429">
        <w:rPr>
          <w:rFonts w:ascii="Aptos" w:hAnsi="Aptos" w:cs="Times New Roman"/>
          <w:vertAlign w:val="superscript"/>
        </w:rPr>
        <w:t>187</w:t>
      </w:r>
      <w:r w:rsidRPr="009817B9">
        <w:fldChar w:fldCharType="end"/>
      </w:r>
      <w:r w:rsidR="009817B9">
        <w:t>.</w:t>
      </w:r>
    </w:p>
    <w:p w14:paraId="605AA657" w14:textId="16241950" w:rsidR="00ED6CD4" w:rsidRPr="009817B9" w:rsidRDefault="00ED6CD4" w:rsidP="009817B9">
      <w:r w:rsidRPr="009817B9">
        <w:t xml:space="preserve">As recommended in the previous version of this guideline, an initial assessment of the lipid profile should be performed no earlier than three months post-transplant, so that a relative stability in doses of immunosuppressive agents has been achieved. Thereafter, measurements should be performed at the same intervals as in the general population, i.e. 8 +/- 4 weeks after any statin dose initiation or change, or annually for routine monitoring. Non-fasting samples can be taken instead of fasting </w:t>
      </w:r>
      <w:r w:rsidRPr="009817B9">
        <w:fldChar w:fldCharType="begin"/>
      </w:r>
      <w:r w:rsidR="006528EA">
        <w:instrText xml:space="preserve"> ADDIN ZOTERO_ITEM CSL_CITATION {"citationID":"FU2XhVkZ","properties":{"formattedCitation":"\\super 178\\nosupersub{}","plainCitation":"178","noteIndex":0},"citationItems":[{"id":19074,"uris":["http://zotero.org/users/3444308/items/63M7QQ7Z"],"itemData":{"id":19074,"type":"article-journal","container-title":"European Heart Journal","DOI":"10.1093/eurheartj/ehab484","ISSN":"1522-9645","issue":"34","journalAbbreviation":"Eur Heart J","language":"eng","note":"PMID: 34458905","page":"3227-3337","source":"PubMed","title":"2021 ESC Guidelines on cardiovascular disease prevention in clinical practice","volume":"42","author":[{"family":"Visseren","given":"Frank L. J."},{"family":"Mach","given":"François"},{"family":"Smulders","given":"Yvo M."},{"family":"Carballo","given":"David"},{"family":"Koskinas","given":"Konstantinos C."},{"family":"Bäck","given":"Maria"},{"family":"Benetos","given":"Athanase"},{"family":"Biffi","given":"Alessandro"},{"family":"Boavida","given":"José-Manuel"},{"family":"Capodanno","given":"Davide"},{"family":"Cosyns","given":"Bernard"},{"family":"Crawford","given":"Carolyn"},{"family":"Davos","given":"Constantinos H."},{"family":"Desormais","given":"Ileana"},{"family":"Di Angelantonio","given":"Emanuele"},{"family":"Franco","given":"Oscar H."},{"family":"Halvorsen","given":"Sigrun"},{"family":"Hobbs","given":"F. D. Richard"},{"family":"Hollander","given":"Monika"},{"family":"Jankowska","given":"Ewa A."},{"family":"Michal","given":"Matthias"},{"family":"Sacco","given":"Simona"},{"family":"Sattar","given":"Naveed"},{"family":"Tokgozoglu","given":"Lale"},{"family":"Tonstad","given":"Serena"},{"family":"Tsioufis","given":"Konstantinos P."},{"family":"Dis","given":"Ineke","non-dropping-particle":"van"},{"family":"Gelder","given":"Isabelle C.","non-dropping-particle":"van"},{"family":"Wanner","given":"Christoph"},{"family":"Williams","given":"Bryan"},{"literal":"ESC National Cardiac Societies"},{"literal":"ESC Scientific Document Group"}],"issued":{"date-parts":[["2021",9,7]]}}}],"schema":"https://github.com/citation-style-language/schema/raw/master/csl-citation.json"} </w:instrText>
      </w:r>
      <w:r w:rsidRPr="009817B9">
        <w:fldChar w:fldCharType="separate"/>
      </w:r>
      <w:r w:rsidR="00CE2429" w:rsidRPr="00CE2429">
        <w:rPr>
          <w:rFonts w:ascii="Aptos" w:hAnsi="Aptos" w:cs="Times New Roman"/>
          <w:vertAlign w:val="superscript"/>
        </w:rPr>
        <w:t>178</w:t>
      </w:r>
      <w:r w:rsidRPr="009817B9">
        <w:fldChar w:fldCharType="end"/>
      </w:r>
      <w:r w:rsidRPr="009817B9">
        <w:t>.</w:t>
      </w:r>
    </w:p>
    <w:p w14:paraId="39EBC8D6" w14:textId="18D65274" w:rsidR="00ED6CD4" w:rsidRPr="009817B9" w:rsidRDefault="00ED6CD4" w:rsidP="009817B9">
      <w:r w:rsidRPr="009817B9">
        <w:t>The choice and dose of statin is more likely to be selected based on safety and the immunosuppressive regimen rather than potency in lowering LDL cholesterol.</w:t>
      </w:r>
    </w:p>
    <w:p w14:paraId="68108477" w14:textId="003D67A1" w:rsidR="00ED6CD4" w:rsidRPr="009817B9" w:rsidRDefault="00ED6CD4" w:rsidP="009817B9">
      <w:r w:rsidRPr="009817B9">
        <w:t>Statins are metabolised by the cytochrome P450 microsomal enzyme system and concurrent therapy with inhibitors of this system, such as ciclosporin, and less so tacrolimus, can lead to greater statin exposure and a higher risk of side effects such as myopathy. This risk appears to be greater with simvastatin and is lowest with fluvastatin, pravastatin</w:t>
      </w:r>
      <w:r w:rsidRPr="009817B9">
        <w:rPr>
          <w:noProof/>
          <w:vertAlign w:val="superscript"/>
        </w:rPr>
        <w:t xml:space="preserve"> </w:t>
      </w:r>
      <w:r w:rsidRPr="009817B9">
        <w:rPr>
          <w:noProof/>
        </w:rPr>
        <w:t xml:space="preserve">and rosuvastatin </w:t>
      </w:r>
      <w:r w:rsidRPr="009817B9">
        <w:rPr>
          <w:noProof/>
        </w:rPr>
        <w:fldChar w:fldCharType="begin"/>
      </w:r>
      <w:r w:rsidR="006528EA">
        <w:rPr>
          <w:noProof/>
        </w:rPr>
        <w:instrText xml:space="preserve"> ADDIN ZOTERO_ITEM CSL_CITATION {"citationID":"ujlcFk1K","properties":{"formattedCitation":"\\super 188\\nosupersub{}","plainCitation":"188","noteIndex":0},"citationItems":[{"id":19261,"uris":["http://zotero.org/users/3444308/items/NX4PDZVC"],"itemData":{"id":19261,"type":"article-journal","abstract":"Cardiovascular disease is the leading cause of mortality in kidney transplant recipients. Dyslipidemia is a common finding after renal transplantation and a significant risk factor in the development of coronary heart disease. Although a causal relationship with cardiovascular mortality has not been proven in the transplant population, it is reasonable to extrapolate data from the general population and aggressively treat posttransplant dyslipidemia. Statins are considered the agents of choice, though their use may be complicated by drug misadventures. Pravastatin, fluvastatin and pitavastatin are considered to be the safest statins to use in this population; however, given their low-potency, a high-potency statin, such as atorvastatin, may be necessary in patients with significant dyslipidemia. In this article, we discuss the etiology of and treatment strategies for dyslipidemia in renal transplant recipients based on a literature review of potential therapeutic adverse effects and benefits in this population. We will also evaluate the reasons for and consequences of the latest Food and Drug Administration (FDA) warnings regarding the use of simvastatin.","container-title":"American Journal of Transplantation: Official Journal of the American Society of Transplantation and the American Society of Transplant Surgeons","DOI":"10.1111/j.1600-6143.2012.04084.x","ISSN":"1600-6143","issue":"8","journalAbbreviation":"Am J Transplant","language":"eng","note":"PMID: 22578270","page":"1975-1982","source":"PubMed","title":"Dyslipidemia and its therapeutic challenges in renal transplantation","volume":"12","author":[{"family":"Riella","given":"L. V."},{"family":"Gabardi","given":"S."},{"family":"Chandraker","given":"A."}],"issued":{"date-parts":[["2012",8]]}}}],"schema":"https://github.com/citation-style-language/schema/raw/master/csl-citation.json"} </w:instrText>
      </w:r>
      <w:r w:rsidRPr="009817B9">
        <w:rPr>
          <w:noProof/>
        </w:rPr>
        <w:fldChar w:fldCharType="separate"/>
      </w:r>
      <w:r w:rsidR="00CE2429" w:rsidRPr="00CE2429">
        <w:rPr>
          <w:rFonts w:ascii="Aptos" w:hAnsi="Aptos" w:cs="Times New Roman"/>
          <w:vertAlign w:val="superscript"/>
        </w:rPr>
        <w:t>188</w:t>
      </w:r>
      <w:r w:rsidRPr="009817B9">
        <w:rPr>
          <w:noProof/>
        </w:rPr>
        <w:fldChar w:fldCharType="end"/>
      </w:r>
      <w:r w:rsidRPr="009817B9">
        <w:t xml:space="preserve">. If targets are not achieved or the patient is intolerant to statins, referral to a specialist centre is recommended. Ezetimibe can also be used, either as an adjunct to statin treatment, if targets are not achieved or as monotherapy in case of intolerance to statins; it appears to be safe and effective in renal transplant recipients; </w:t>
      </w:r>
      <w:r w:rsidRPr="009817B9">
        <w:fldChar w:fldCharType="begin"/>
      </w:r>
      <w:r w:rsidR="006528EA">
        <w:instrText xml:space="preserve"> ADDIN ZOTERO_ITEM CSL_CITATION {"citationID":"0X7avNJ5","properties":{"formattedCitation":"\\super 189,190\\nosupersub{}","plainCitation":"189,190","noteIndex":0},"citationItems":[{"id":19259,"uris":["http://zotero.org/users/3444308/items/D7LMTUUW"],"itemData":{"id":19259,"type":"article-journal","abstract":"A retrospective review was conducted to determine the safety and efficacy of ezetimibe as a treatment option for renal transplant recipients. We evaluated the medical records of 34 adult renal transplant recipients receiving ezetimibe as monotherapy or combination therapy. Fasting lipid profiles were obtained at baseline and at 1-6 months post-ezetimibe initiation. Twenty patients received cyclosporine, 12 patients received tacrolimus, 1 patient received either sirolimus or no calcineurin therapy at the time of ezetimibe initiation. Monotherapy was started in 8 patients, who had all previously failed statins, and combination therapy was utilized in 26 patients. Monotherapy or combination therapy resulted in a mean reduction in total cholesterol of 23.3%, triglycerides 40.2%, low-density lipoproteins 16.8% and high-density lipoproteins 4.8% after 3.1 months of therapy. Ezetimibe as combination or monotherapy is a safe and effective treatment option for dyslipidemia in renal transplant recipients without changes in calcineurin inhibitor levels or renal function.","container-title":"American Journal of Transplantation: Official Journal of the American Society of Transplantation and the American Society of Transplant Surgeons","DOI":"10.1111/j.1600-6143.2006.01263.x","ISSN":"1600-6135","issue":"4","journalAbbreviation":"Am J Transplant","language":"eng","note":"PMID: 16539634","page":"770-774","source":"PubMed","title":"A retrospective analysis of ezetimibe treatment in renal transplant recipients","volume":"6","author":[{"family":"Buchanan","given":"C."},{"family":"Smith","given":"L."},{"family":"Corbett","given":"J."},{"family":"Nelson","given":"E."},{"family":"Shihab","given":"F."}],"issued":{"date-parts":[["2006",4]]}}},{"id":19260,"uris":["http://zotero.org/users/3444308/items/LTPN9XHL"],"itemData":{"id":19260,"type":"article-journal","abstract":"BACKGROUND: Ezetimibe has shown efficacy in the therapy of hypercholesterolemia in renal transplant patients. This is the first study investigating the effect of ezetimibe on renal function in kidney transplant recipients.\nMETHODS: Fifty-six patients with statin-resistant hypercholesterolemia (total cholesterol &gt;200 mg/dl) after renal transplantation received additional ezetimibe therapy (10 mg/day) for 12 months. A group receiving statin therapy (n=28) served as controls in this prospective study.\nRESULTS: Total cholesterol and LDL cholesterol concentrations decreased significantly in the ezetimibe-treated patients but remained stable in the control group (delta total cholesterol: -24+/-49 mg/dl vs 19+/-49 mg/dl, P&lt;0.01; delta LDL: -30+/-39 mg/dl vs -3+/-31 mg/dl, P&lt;0.01). Mean creatinine clearance remained stable in ezetimibe-treated patients but decreased significantly in control group (delta Cockcroft-Gault: 0.9+/-7.3 ml/min vs - 4.8+/-12.8 ml/min, P=0.025; delta Modification of Diet in Renal Disease: -0.4+/-6.2 ml/min/1.73 m(2) vs 4.7+/-8.8 ml/min/1.73 m(2), P=0.033).\nCONCLUSIONS: The data of our prospective case-control study suggest that ezetimibe appears to ameliorate the decline of renal function after renal transplantation.","container-title":"Nephrology, Dialysis, Transplantation: Official Publication of the European Dialysis and Transplant Association - European Renal Association","DOI":"10.1093/ndt/gfm620","ISSN":"0931-0509","issue":"1","journalAbbreviation":"Nephrol Dial Transplant","language":"eng","note":"PMID: 17956887","page":"369-373","source":"PubMed","title":"Ezetimibe treatment in hypercholesterolemic kidney transplant patients is safe and effective and reduces the decline of renal allograft function: a pilot study","title-short":"Ezetimibe treatment in hypercholesterolemic kidney transplant patients is safe and effective and reduces the decline of renal allograft function","volume":"23","author":[{"family":"Türk","given":"Tobias R."},{"family":"Voropaeva","given":"Eva"},{"family":"Kohnle","given":"Matthias"},{"family":"Nürnberger","given":"Jens"},{"family":"Philipp","given":"Thomas"},{"family":"Kribben","given":"Andreas"},{"family":"Heemann","given":"Uwe"},{"family":"Witzke","given":"Oliver"}],"issued":{"date-parts":[["2008",1]]}}}],"schema":"https://github.com/citation-style-language/schema/raw/master/csl-citation.json"} </w:instrText>
      </w:r>
      <w:r w:rsidRPr="009817B9">
        <w:fldChar w:fldCharType="separate"/>
      </w:r>
      <w:r w:rsidR="00CE2429" w:rsidRPr="00CE2429">
        <w:rPr>
          <w:rFonts w:ascii="Aptos" w:hAnsi="Aptos" w:cs="Times New Roman"/>
          <w:vertAlign w:val="superscript"/>
        </w:rPr>
        <w:t>189,190</w:t>
      </w:r>
      <w:r w:rsidRPr="009817B9">
        <w:fldChar w:fldCharType="end"/>
      </w:r>
      <w:r w:rsidRPr="009817B9">
        <w:t xml:space="preserve">. </w:t>
      </w:r>
    </w:p>
    <w:p w14:paraId="69523067" w14:textId="618448CB" w:rsidR="00ED6CD4" w:rsidRPr="009817B9" w:rsidRDefault="00ED6CD4" w:rsidP="009817B9">
      <w:r w:rsidRPr="009817B9">
        <w:t>Over the recent years, several new lipid-modifying agents have been developed; Proprotein convertase subtilisin/</w:t>
      </w:r>
      <w:proofErr w:type="spellStart"/>
      <w:r w:rsidRPr="009817B9">
        <w:t>kexin</w:t>
      </w:r>
      <w:proofErr w:type="spellEnd"/>
      <w:r w:rsidRPr="009817B9">
        <w:t xml:space="preserve"> type 9 inhibitors are in use and there is a small case series in transplant patients which suggested effective and safe use of </w:t>
      </w:r>
      <w:proofErr w:type="spellStart"/>
      <w:r w:rsidRPr="009817B9">
        <w:t>evolocumab</w:t>
      </w:r>
      <w:proofErr w:type="spellEnd"/>
      <w:r w:rsidRPr="009817B9">
        <w:t xml:space="preserve"> </w:t>
      </w:r>
      <w:r w:rsidRPr="009817B9">
        <w:fldChar w:fldCharType="begin"/>
      </w:r>
      <w:r w:rsidR="006528EA">
        <w:instrText xml:space="preserve"> ADDIN ZOTERO_ITEM CSL_CITATION {"citationID":"IlFUZSlk","properties":{"formattedCitation":"\\super 191\\nosupersub{}","plainCitation":"191","noteIndex":0},"citationItems":[{"id":19258,"uris":["http://zotero.org/users/3444308/items/X3CQQ5TM"],"itemData":{"id":19258,"type":"article-journal","container-title":"Transplantation","DOI":"10.1097/TP.0000000000004942","ISSN":"1534-6080","issue":"5","journalAbbreviation":"Transplantation","language":"eng","note":"PMID: 38317278","page":"e74-e76","source":"PubMed","title":"Management of Dyslipidemia With Evolocumab in Kidney Transplant Recipients","volume":"108","author":[{"family":"Amaro","given":"José Manuel"},{"family":"Villanego","given":"Florentino"},{"family":"Orellana","given":"Cristhian David"},{"family":"Vigara","given":"Luis Alberto"},{"family":"Alonso","given":"Marta"},{"family":"García","given":"Teresa"},{"family":"Mazuecos","given":"Auxiliadora"}],"issued":{"date-parts":[["2024",5,1]]}}}],"schema":"https://github.com/citation-style-language/schema/raw/master/csl-citation.json"} </w:instrText>
      </w:r>
      <w:r w:rsidRPr="009817B9">
        <w:fldChar w:fldCharType="separate"/>
      </w:r>
      <w:r w:rsidR="00CE2429" w:rsidRPr="00CE2429">
        <w:rPr>
          <w:rFonts w:ascii="Aptos" w:hAnsi="Aptos" w:cs="Times New Roman"/>
          <w:vertAlign w:val="superscript"/>
        </w:rPr>
        <w:t>191</w:t>
      </w:r>
      <w:r w:rsidRPr="009817B9">
        <w:fldChar w:fldCharType="end"/>
      </w:r>
      <w:r w:rsidRPr="009817B9">
        <w:t xml:space="preserve">. </w:t>
      </w:r>
    </w:p>
    <w:p w14:paraId="1117C9D2" w14:textId="1E9ED209" w:rsidR="00ED6CD4" w:rsidRPr="009817B9" w:rsidRDefault="00ED6CD4" w:rsidP="009817B9">
      <w:r w:rsidRPr="009817B9">
        <w:t xml:space="preserve">Fibrates have a high risk of side effects and are best avoided in renal transplant recipients. There is insufficient evidence regarding the effect of omega 3 in KTRs, though it has been reported that they might increase exposure to sirolimus </w:t>
      </w:r>
      <w:r w:rsidRPr="009817B9">
        <w:fldChar w:fldCharType="begin"/>
      </w:r>
      <w:r w:rsidR="006528EA">
        <w:instrText xml:space="preserve"> ADDIN ZOTERO_ITEM CSL_CITATION {"citationID":"3V6Sa0xR","properties":{"formattedCitation":"\\super 192\\nosupersub{}","plainCitation":"192","noteIndex":0},"citationItems":[{"id":19257,"uris":["http://zotero.org/users/3444308/items/QMFP9ZYC"],"itemData":{"id":19257,"type":"article-journal","container-title":"Transplantation","DOI":"10.1097/TP.0b013e3181c280df","ISSN":"1534-6080","issue":"1","journalAbbreviation":"Transplantation","language":"eng","note":"PMID: 20061930","page":"126-127","source":"PubMed","title":"Omega-3 polyunsaturated fatty acids affect sirolimus exposure in kidney transplant recipients on calcineurin inhibitor-free regimen","volume":"89","author":[{"family":"Cortinovis","given":"Monica"},{"family":"Gotti","given":"Eliana"},{"family":"Remuzzi","given":"Giuseppe"},{"family":"Perico","given":"Norberto"},{"family":"Cattaneo","given":"Dario"},{"family":"Baldelli","given":"Sara"}],"issued":{"date-parts":[["2010",1,15]]}}}],"schema":"https://github.com/citation-style-language/schema/raw/master/csl-citation.json"} </w:instrText>
      </w:r>
      <w:r w:rsidRPr="009817B9">
        <w:fldChar w:fldCharType="separate"/>
      </w:r>
      <w:r w:rsidR="00CE2429" w:rsidRPr="00CE2429">
        <w:rPr>
          <w:rFonts w:ascii="Aptos" w:hAnsi="Aptos" w:cs="Times New Roman"/>
          <w:vertAlign w:val="superscript"/>
        </w:rPr>
        <w:t>192</w:t>
      </w:r>
      <w:r w:rsidRPr="009817B9">
        <w:fldChar w:fldCharType="end"/>
      </w:r>
    </w:p>
    <w:p w14:paraId="52560834" w14:textId="5E8B691D" w:rsidR="00ED6CD4" w:rsidRPr="00524CA4" w:rsidRDefault="008D64B6" w:rsidP="008D64B6">
      <w:pPr>
        <w:pStyle w:val="GuidelineHeadings"/>
      </w:pPr>
      <w:r>
        <w:t xml:space="preserve">Guideline 5.3 </w:t>
      </w:r>
      <w:r w:rsidR="00932D5D">
        <w:t>–</w:t>
      </w:r>
      <w:r>
        <w:t xml:space="preserve"> </w:t>
      </w:r>
      <w:r w:rsidRPr="008D64B6">
        <w:t>Diabetes mellitus</w:t>
      </w:r>
    </w:p>
    <w:p w14:paraId="094986A7" w14:textId="0F83043F" w:rsidR="00ED6CD4" w:rsidRPr="00413B0E" w:rsidRDefault="00ED6CD4" w:rsidP="00413B0E">
      <w:r w:rsidRPr="00413B0E">
        <w:t xml:space="preserve">Overall, diabetes mellitus, either pre-existing or newly diagnosed after transplant, is a common occurrence among kidney transplant recipients, and a significant health concern for both patients and health care professionals.  Diabetes mellitus is the leading cause of end-stage renal disease and, even those who proceed to receive a transplant have reduced survival compared to non-diabetic transplant recipients </w:t>
      </w:r>
      <w:r w:rsidRPr="00413B0E">
        <w:fldChar w:fldCharType="begin"/>
      </w:r>
      <w:r w:rsidR="006528EA">
        <w:instrText xml:space="preserve"> ADDIN ZOTERO_ITEM CSL_CITATION {"citationID":"ykskOC0N","properties":{"formattedCitation":"\\super 193\\nosupersub{}","plainCitation":"193","noteIndex":0},"citationItems":[{"id":19253,"uris":["http://zotero.org/users/3444308/items/3JFD5R6Q"],"itemData":{"id":19253,"type":"article-journal","abstract":"BACKGROUND: Overall survival for younger patients with type 2 diabetes without kidney disease has improved substantially over time, but whether a similar pattern of improvement is observed in diabetic kidney transplant recipients remained uncertain. We aimed to compare patient outcomes between diabetic and non-diabetic transplant recipients, and to determine the effect of age and era on patient survival.\nMETHODS: This population cohort study included all primary kidney-only transplant recipients included in the Australia and New Zealand Dialysis and Transplant registry between Jan 1, 1994, and Dec 31, 2012. The primary outcomes were all-cause mortality and death with functioning graft. Associations between outcomes and diabetes status were examined using adjusted Cox regression, and interactions between diabetes status and transplant era and recipient age were examined.\nFINDINGS: Of 10</w:instrText>
      </w:r>
      <w:r w:rsidR="006528EA">
        <w:rPr>
          <w:rFonts w:ascii="Arial" w:hAnsi="Arial" w:cs="Arial"/>
        </w:rPr>
        <w:instrText> </w:instrText>
      </w:r>
      <w:r w:rsidR="006528EA">
        <w:instrText>714 transplant recipients, 985 (9%) had type 2 diabetes. Mortality rates in the first 10 years after transplantation were higher in recipients with diabetes (25</w:instrText>
      </w:r>
      <w:r w:rsidR="006528EA">
        <w:rPr>
          <w:rFonts w:ascii="Aptos" w:hAnsi="Aptos" w:cs="Aptos"/>
        </w:rPr>
        <w:instrText>·</w:instrText>
      </w:r>
      <w:r w:rsidR="006528EA">
        <w:instrText>3 per 100 recipients) compared to those without diabetes (11</w:instrText>
      </w:r>
      <w:r w:rsidR="006528EA">
        <w:rPr>
          <w:rFonts w:ascii="Aptos" w:hAnsi="Aptos" w:cs="Aptos"/>
        </w:rPr>
        <w:instrText>·</w:instrText>
      </w:r>
      <w:r w:rsidR="006528EA">
        <w:instrText xml:space="preserve">5 per 100 recipients). Compared with recipients without diabetes, the adjusted hazard ratios (HR) for all-cause mortality and death with a functioning graft in recipients with diabetes were 1·60 (95% CI 1·37-1·86; p&lt;0·0001) and 1·54 (1·28-1·85 p&lt;0·0001), respectively. The association between diabetes status, all-cause mortality, and death with a functioning graft was modified by recipient age (pinteraction&lt;0·0001), with the highest risk in recipients with diabetes aged younger than 40 years (adjusted HR 5·16 [95% CI 2·84-9·35], p&lt;0·0001; and 9·83 [4·51-21·43], p&lt;0·0001; for all-cause mortality and death with a functioning graft, respectively). Risk was increased to a lesser extent in recipients with diabetes aged older than 55 years (adjusted HR 1·41 [95% CI 1·17-1·71; p=0·002] and 1·27 [1·02-1·59; p=0·03], for all-cause mortality and death with a functioning graft, respectively). Transplant era did not modify the association between diabetes status and mortality.\nINTERPRETATION: Kidney transplant recipients with type 2 diabetes had substantially poorer patient survival, with 5-year mortality rates exceeding those for non-diabetic recipients by over two times. The magnitude of this survival disadvantage was greatest in recipients with diabetes aged less than 40 years. By contrast with the general population, there was no evidence of improvement in mortality over time among people with type 2 diabetes following kidney transplantation.\nFUNDING: None.","container-title":"The Lancet. Diabetes &amp; Endocrinology","DOI":"10.1016/S2213-8587(16)30317-5","ISSN":"2213-8595","issue":"1","journalAbbreviation":"Lancet Diabetes Endocrinol","language":"eng","note":"PMID: 28010785","page":"26-33","source":"PubMed","title":"Long-term outcomes of kidney transplantation in people with type 2 diabetes: a population cohort study","title-short":"Long-term outcomes of kidney transplantation in people with type 2 diabetes","volume":"5","author":[{"family":"Lim","given":"Wai H."},{"family":"Wong","given":"Germaine"},{"family":"Pilmore","given":"Helen L."},{"family":"McDonald","given":"Stephen P."},{"family":"Chadban","given":"Steven J."}],"issued":{"date-parts":[["2017",1]]}}}],"schema":"https://github.com/citation-style-language/schema/raw/master/csl-citation.json"} </w:instrText>
      </w:r>
      <w:r w:rsidRPr="00413B0E">
        <w:fldChar w:fldCharType="separate"/>
      </w:r>
      <w:r w:rsidR="00CE2429" w:rsidRPr="00CE2429">
        <w:rPr>
          <w:rFonts w:ascii="Aptos" w:hAnsi="Aptos" w:cs="Times New Roman"/>
          <w:vertAlign w:val="superscript"/>
        </w:rPr>
        <w:t>193</w:t>
      </w:r>
      <w:r w:rsidRPr="00413B0E">
        <w:fldChar w:fldCharType="end"/>
      </w:r>
      <w:r w:rsidRPr="00413B0E">
        <w:t xml:space="preserve">. Additionally, kidney transplant recipients without known pre-existing diabetes, may present with post-transplant diabetes mellitus </w:t>
      </w:r>
      <w:r w:rsidRPr="00413B0E">
        <w:lastRenderedPageBreak/>
        <w:t xml:space="preserve">(PTDM) </w:t>
      </w:r>
      <w:proofErr w:type="spellStart"/>
      <w:r w:rsidRPr="00413B0E">
        <w:t>ie</w:t>
      </w:r>
      <w:proofErr w:type="spellEnd"/>
      <w:r w:rsidRPr="00413B0E">
        <w:t>.  diabetes diagnosed in the post transplantation setting (regardless of whether it was present but undetected prior to transplantation or not). Even after the 2003 Consensus which defined specific diagnostic criteria</w:t>
      </w:r>
      <w:r w:rsidR="002D20B5">
        <w:fldChar w:fldCharType="begin"/>
      </w:r>
      <w:r w:rsidR="002D20B5">
        <w:instrText xml:space="preserve"> ADDIN ZOTERO_ITEM CSL_CITATION {"citationID":"jfEBdVoe","properties":{"formattedCitation":"\\super 194\\nosupersub{}","plainCitation":"194","noteIndex":0},"citationItems":[{"id":20137,"uris":["http://zotero.org/users/3444308/items/WDAYYCSP"],"itemData":{"id":20137,"type":"article-journal","container-title":"Transplantation","DOI":"10.1097/01.TP.0000069952.49242.3E","ISSN":"0041-1337","issue":"10 Suppl","journalAbbreviation":"Transplantation","language":"eng","note":"PMID: 12775942","page":"SS3-24","source":"PubMed","title":"New-onset diabetes after transplantation: 2003 International consensus guidelines. Proceedings of an international expert panel meeting. Barcelona, Spain, 19 February 2003","title-short":"New-onset diabetes after transplantation","volume":"75","author":[{"family":"Davidson","given":"Jaime"},{"family":"Wilkinson","given":"Alan"},{"family":"Dantal","given":"Jacques"},{"family":"Dotta","given":"Francesco"},{"family":"Haller","given":"Hermann"},{"family":"Hernández","given":"Domingo"},{"family":"Kasiske","given":"Bertram L."},{"family":"Kiberd","given":"Bryce"},{"family":"Krentz","given":"Andrew"},{"family":"Legendre","given":"Christophe"},{"family":"Marchetti","given":"Piero"},{"family":"Markell","given":"Mariana"},{"family":"Woude","given":"Fokko J.","non-dropping-particle":"van der"},{"family":"Wheeler","given":"David C."},{"literal":"International Expert Panel"}],"issued":{"date-parts":[["2003",5,27]]}}}],"schema":"https://github.com/citation-style-language/schema/raw/master/csl-citation.json"} </w:instrText>
      </w:r>
      <w:r w:rsidR="002D20B5">
        <w:fldChar w:fldCharType="separate"/>
      </w:r>
      <w:r w:rsidR="002D20B5" w:rsidRPr="002D20B5">
        <w:rPr>
          <w:rFonts w:ascii="Aptos" w:hAnsi="Aptos" w:cs="Times New Roman"/>
          <w:vertAlign w:val="superscript"/>
        </w:rPr>
        <w:t>194</w:t>
      </w:r>
      <w:r w:rsidR="002D20B5">
        <w:fldChar w:fldCharType="end"/>
      </w:r>
      <w:r w:rsidRPr="00413B0E">
        <w:t>, the reported incidence of PTDM in solid organ transplant recipients seems to vary between 10-40%</w:t>
      </w:r>
      <w:r w:rsidR="006528EA">
        <w:fldChar w:fldCharType="begin"/>
      </w:r>
      <w:r w:rsidR="002D20B5">
        <w:instrText xml:space="preserve"> ADDIN ZOTERO_ITEM CSL_CITATION {"citationID":"xQrvrhlh","properties":{"formattedCitation":"\\super 195\\nosupersub{}","plainCitation":"195","noteIndex":0},"citationItems":[{"id":20130,"uris":["http://zotero.org/users/3444308/items/JLT8Y28E"],"itemData":{"id":20130,"type":"article-journal","abstract":"Post-transplant diabetes mellitus (PTDM) is common after solid organ transplantation (SOT) and associated with increased morbidity and mortality for allograft recipients. Despite the significant burden of disease, there is a paucity of literature with regards to detection, prevention and management. Evidence from the general population with diabetes may not be translatable to the unique context of SOT. In light of emerging clinical evidence and novel anti-diabetic agents, there is an urgent need for updated guidance and recommendations in this high-risk cohort. The Association of British Clinical Diabetologists (ABCD) and Renal Association (RA) Diabetic Kidney Disease Clinical Speciality Group has undertaken a systematic review and critical appraisal of the available evidence. Areas of focus are; (1) epidemiology, (2) pathogenesis, (3) detection, (4) management, (5) modification of immunosuppression, (6) prevention, and (7) PTDM in the non-renal setting. Evidence-graded recommendations are provided for the detection, management and prevention of PTDM, with suggested areas for future research and potential audit standards. The guidelines are endorsed by Diabetes UK, the British Transplantation Society and the Royal College of Physicians of London. The full guidelines are available freely online for the diabetes, renal and transplantation community using the link below. The aim of this review article is to introduce an abridged version of this new clinical guideline ( https://abcd.care/sites/abcd.care/files/site_uploads/Resources/Position-Papers/ABCD-RA%20PTDM%20v14.pdf).","container-title":"Diabetic Medicine: A Journal of the British Diabetic Association","DOI":"10.1111/dme.14523","ISSN":"1464-5491","issue":"6","journalAbbreviation":"Diabet Med","language":"eng","note":"PMID: 33434362","page":"e14523","source":"PubMed","title":"Association of British Clinical Diabetologists and Renal Association guidelines on the detection and management of diabetes post solid organ transplantation","volume":"38","author":[{"family":"Chowdhury","given":"Tahseen A."},{"family":"Wahba","given":"Mona"},{"family":"Mallik","given":"Ritwika"},{"family":"Peracha","given":"Javeria"},{"family":"Patel","given":"Dipesh"},{"family":"De","given":"Parijat"},{"family":"Fogarty","given":"Damian"},{"family":"Frankel","given":"Andrew"},{"family":"Karalliedde","given":"Janaka"},{"family":"Mark","given":"Patrick B."},{"family":"Montero","given":"Rosa M."},{"family":"Pokrajac","given":"Ana"},{"family":"Zac-Varghese","given":"Sagen"},{"family":"Bain","given":"Stephen C."},{"family":"Dasgupta","given":"Indranil"},{"family":"Banerjee","given":"Debasish"},{"family":"Winocour","given":"Peter"},{"family":"Sharif","given":"Adnan"}],"issued":{"date-parts":[["2021",6]]}}}],"schema":"https://github.com/citation-style-language/schema/raw/master/csl-citation.json"} </w:instrText>
      </w:r>
      <w:r w:rsidR="006528EA">
        <w:fldChar w:fldCharType="separate"/>
      </w:r>
      <w:r w:rsidR="002D20B5" w:rsidRPr="002D20B5">
        <w:rPr>
          <w:rFonts w:ascii="Aptos" w:hAnsi="Aptos" w:cs="Times New Roman"/>
          <w:vertAlign w:val="superscript"/>
        </w:rPr>
        <w:t>195</w:t>
      </w:r>
      <w:r w:rsidR="006528EA">
        <w:fldChar w:fldCharType="end"/>
      </w:r>
      <w:r w:rsidRPr="00413B0E">
        <w:t xml:space="preserve">, though most recent studies in kidney transplant recipients report an incidence between 25-30% </w:t>
      </w:r>
      <w:r w:rsidRPr="00413B0E">
        <w:fldChar w:fldCharType="begin"/>
      </w:r>
      <w:r w:rsidR="002D20B5">
        <w:instrText xml:space="preserve"> ADDIN ZOTERO_ITEM CSL_CITATION {"citationID":"uYY1jGF2","properties":{"formattedCitation":"\\super 196,197\\nosupersub{}","plainCitation":"196,197","noteIndex":0},"citationItems":[{"id":19251,"uris":["http://zotero.org/users/3444308/items/CPSA75HT"],"itemData":{"id":19251,"type":"article-journal","abstract":"AIM: To determine the incidence and associated factors of new-onset diabetes after transplantation (NODAT) in a Portuguese central hospital.\nMETHODS: This single-center retrospective study involved consecutive adult nondiabetic transplant recipients, who had undergone kidney transplantation between January 2012 and March 2016. NODAT was diagnosed according to the criteria of the American Diabetes Association. Data were collected from an institutional database of the Nephrology and Kidney Transplantation Department (Santa Maria Hospital, Lisbon, Portugal) and augmented with data of laboratorial parameters collected from the corresponding patient electronic medical records. Exclusion criteria were preexisting diabetes mellitus, missing information and follow-up period of less than 12 mo. Data on demographic and clinical characteristics as well as anthropometric and laboratorial parameters were also collected. Patients were divided into two groups: With and without NODAT - for statistical comparison.\nRESULTS: A total of 156 patients received kidney transplant during the study period, 125 of who were included in our analysis. NODAT was identified in 27.2% of the patients (n = 34; 53% female; mean age: 49.5 ± 10.8 years; median follow-up: 36.4 ± 2.5 mo). The incidence in the first year was 24.8%. The median time to diagnosis was 3.68 ± 5.7 mo after transplantation, and 76.5% of the patients developed NODAT in the first 3 mo. In the group that did not develop NODAT (n = 91), 47% were female, with mean age of 46.4 ± 13.5 years and median follow-up of 35.5 ± 1.6 mo. In the NODAT group, the pretransplant fasting plasma glucose (FPG) levels were significantly higher [101 (96.1-105.7) mg/dL vs 92 (91.4-95.8) mg/dL, P = 0.007] and pretransplant impaired fasting glucose (IFG) was significantly more frequent (51.5% vs 27.7%, P = 0.01). Higher pretransplant FPG levels and pretransplant IFG were found to be predictive risk factors for NODAT development [odds ratio (OR): 1.059, P = 0.003; OR: 2.772, P = 0.017, respectively].\nCONCLUSION: NODAT incidence was high in our renal transplant recipients, particularly in the first 3 mo posttransplant, and higher pretransplant FPG level and IFG were risk factors.","container-title":"World Journal of Diabetes","DOI":"10.4239/wjd.v9.i7.132","ISSN":"1948-9358","issue":"7","journalAbbreviation":"World J Diabetes","language":"eng","note":"PMID: 30079149\nPMCID: PMC6068739","page":"132-137","source":"PubMed","title":"New-onset diabetes after kidney transplantation: Incidence and associated factors","title-short":"New-onset diabetes after kidney transplantation","volume":"9","author":[{"family":"Gomes","given":"Vânia"},{"family":"Ferreira","given":"Florbela"},{"family":"Guerra","given":"José"},{"family":"Bugalho","given":"Maria João"}],"issued":{"date-parts":[["2018",7,15]]}}},{"id":19252,"uris":["http://zotero.org/users/3444308/items/TAW6F6KP"],"itemData":{"id":19252,"type":"article-journal","abstract":"INTRODUCTION: Kidney transplantation is associated with an increased risk of posttransplant diabetes mellitus (PTDM), impacting recipient and graft survivals. The incidence of PTDM ranges from 15% to 30%, with most cases occurring in the first year post-transplant. Some clinical and laboratory characteristics pre- and post-transplant may be associated with a higher PTDM incidence in a more extended follow-up period. This study aimed to analyze the prevalence of PTDM among renal transplant recipients without previous DM diagnosis during a five-year post-transplant follow-up, as well as clinical and laboratory characteristics associated with a higher incidence of PTDM during this period.\nMATERIAL AND METHODS: Single-center retrospective cohort including kidney transplant recipients older than 18 years with a functioning graft over six months of follow-up between January and December 2018. Exclusion criteria were recipients younger than 18 years at kidney transplantation, previous diabetes mellitus diagnosis, and death with a functioning graft or graft failure within six months post-transplant.\nRESULTS: From 117 kidney transplants performed during the period, 71 (60.7%) fulfilled the inclusion criteria, 18 (25.3%) had PTDM diagnosis, and most (n=16, 88.9%) during the 1st year post-transplant. The need for insulin therapy during the hospital stay was significantly higher in the PTDM group (n=11, 61.1% vs. n=14, 26.4%, PTDM vs. non-PTDM). Other PTDM risk factors, such as older age, high body mass index, HLA mismatches, and cytomegalovirus or hepatitis C virus infections, were not associated with PTDM occurrence in this series. During 5-year post-transplant follow-up, the graft function remained stable in both groups.\nCONCLUSION: The accumulated incidence of PTDM in this series was similar to the reported in other studies. The perioperative hyperglycemia with the need for treatment with insulin before hospital discharge was associated with PTDM.","container-title":"Frontiers in Clinical Diabetes and Healthcare","DOI":"10.3389/fcdhc.2024.1336896","ISSN":"2673-6616","journalAbbreviation":"Front Clin Diabetes Healthc","language":"eng","note":"PMID: 38352660\nPMCID: PMC10863447","page":"1336896","source":"PubMed","title":"Post-transplant diabetes mellitus: risk factors and outcomes in a 5-year follow-up","title-short":"Post-transplant diabetes mellitus","volume":"5","author":[{"family":"Rossi","given":"Matheus Rizzato"},{"family":"Mazzali","given":"Marilda"},{"family":"Sousa","given":"Marcos Vinicius","non-dropping-particle":"de"}],"issued":{"date-parts":[["2024"]]}}}],"schema":"https://github.com/citation-style-language/schema/raw/master/csl-citation.json"} </w:instrText>
      </w:r>
      <w:r w:rsidRPr="00413B0E">
        <w:fldChar w:fldCharType="separate"/>
      </w:r>
      <w:r w:rsidR="002D20B5" w:rsidRPr="002D20B5">
        <w:rPr>
          <w:rFonts w:ascii="Aptos" w:hAnsi="Aptos" w:cs="Times New Roman"/>
          <w:vertAlign w:val="superscript"/>
        </w:rPr>
        <w:t>196,197</w:t>
      </w:r>
      <w:r w:rsidRPr="00413B0E">
        <w:fldChar w:fldCharType="end"/>
      </w:r>
      <w:r w:rsidRPr="00413B0E">
        <w:t>.</w:t>
      </w:r>
    </w:p>
    <w:p w14:paraId="64BF67C4" w14:textId="1F25F1AD" w:rsidR="00ED6CD4" w:rsidRPr="00413B0E" w:rsidRDefault="00ED6CD4" w:rsidP="00413B0E">
      <w:r w:rsidRPr="00413B0E">
        <w:t xml:space="preserve">Despite some discrepancies in literature, mainly driven by limitations in study design and definitions, it appears that overall, PTDM is associated with increased cardiovascular and all-cause mortality as well as an increased risk of graft loss </w:t>
      </w:r>
      <w:r w:rsidRPr="00413B0E">
        <w:fldChar w:fldCharType="begin"/>
      </w:r>
      <w:r w:rsidR="002D20B5">
        <w:instrText xml:space="preserve"> ADDIN ZOTERO_ITEM CSL_CITATION {"citationID":"vwdheEae","properties":{"formattedCitation":"\\super 198\\nosupersub{}","plainCitation":"198","noteIndex":0},"citationItems":[{"id":19250,"uris":["http://zotero.org/users/3444308/items/MNEHSDUS"],"itemData":{"id":19250,"type":"article-journal","abstract":"Post-transplantation diabetes mellitus (PTDM) remains a leading complication after solid organ transplantation. Previous international PTDM consensus meetings in 2003 and 2013 provided standardized frameworks to reduce heterogeneity in diagnosis, risk stratification and management. However, the last decade has seen significant advancements in our PTDM knowledge complemented by rapidly changing treatment algorithms for management of diabetes in the general population. In view of these developments, and to ensure reduced variation in clinical practice, a 3rd international PTDM Consensus Meeting was planned and held from 6-8 May 2022 in Vienna, Austria involving global delegates with PTDM expertise to update the previous reports. This update includes opinion statements concerning optimal diagnostic tools, recognition of prediabetes (impaired fasting glucose and/or impaired glucose tolerance), new mechanistic insights, immunosuppression modification, evidence-based strategies to prevent PTDM, treatment hierarchy for incorporating novel glucose-lowering agents and suggestions for the future direction of PTDM research to address unmet needs. Due to the paucity of good quality evidence, consensus meeting participants agreed that making GRADE (Grading of Recommendations, Assessment, Development, and Evaluations) recommendations would be flawed. Although kidney-allograft centric, we suggest that these opinion statements can be appraised by the transplantation community for implementation across different solid organ transplant cohorts. Acknowledging the paucity of published literature, this report reflects consensus expert opinion. Attaining evidence is desirable to ensure establishment of optimized care for any solid organ transplant recipient at risk of, or who develops, PTDM as we strive to improve long-term outcomes.","container-title":"Nephrology, Dialysis, Transplantation: Official Publication of the European Dialysis and Transplant Association - European Renal Association","DOI":"10.1093/ndt/gfad258","ISSN":"1460-2385","issue":"3","journalAbbreviation":"Nephrol Dial Transplant","language":"eng","note":"PMID: 38171510\nPMCID: PMC11024828","page":"531-549","source":"PubMed","title":"International consensus on post-transplantation diabetes mellitus","volume":"39","author":[{"family":"Sharif","given":"Adnan"},{"family":"Chakkera","given":"Harini"},{"family":"Vries","given":"Aiko P. J.","non-dropping-particle":"de"},{"family":"Eller","given":"Kathrin"},{"family":"Guthoff","given":"Martina"},{"family":"Haller","given":"Maria C."},{"family":"Hornum","given":"Mads"},{"family":"Nordheim","given":"Espen"},{"family":"Kautzky-Willer","given":"Alexandra"},{"family":"Krebs","given":"Michael"},{"family":"Kukla","given":"Aleksandra"},{"family":"Kurnikowski","given":"Amelie"},{"family":"Schwaiger","given":"Elisabeth"},{"family":"Montero","given":"Nuria"},{"family":"Pascual","given":"Julio"},{"family":"Jenssen","given":"Trond G."},{"family":"Porrini","given":"Esteban"},{"family":"Hecking","given":"Manfred"}],"issued":{"date-parts":[["2024",2,28]]}}}],"schema":"https://github.com/citation-style-language/schema/raw/master/csl-citation.json"} </w:instrText>
      </w:r>
      <w:r w:rsidRPr="00413B0E">
        <w:fldChar w:fldCharType="separate"/>
      </w:r>
      <w:r w:rsidR="002D20B5" w:rsidRPr="002D20B5">
        <w:rPr>
          <w:rFonts w:ascii="Aptos" w:hAnsi="Aptos" w:cs="Times New Roman"/>
          <w:vertAlign w:val="superscript"/>
        </w:rPr>
        <w:t>198</w:t>
      </w:r>
      <w:r w:rsidRPr="00413B0E">
        <w:fldChar w:fldCharType="end"/>
      </w:r>
      <w:r w:rsidRPr="00413B0E">
        <w:t xml:space="preserve">. Data regarding links to microvascular complications are very limited. From the available evidence, it appears that patients with PTDM are affected to a lesser degree than those with type 1 or 2 diabetes. Two small cohort studies with long follow-up and PTDM duration, reported that none of the patients were affected by diabetic retinopathy </w:t>
      </w:r>
      <w:r w:rsidRPr="00413B0E">
        <w:fldChar w:fldCharType="begin"/>
      </w:r>
      <w:r w:rsidR="002D20B5">
        <w:instrText xml:space="preserve"> ADDIN ZOTERO_ITEM CSL_CITATION {"citationID":"4kYpGULE","properties":{"formattedCitation":"\\super 199,200\\nosupersub{}","plainCitation":"199,200","noteIndex":0},"citationItems":[{"id":19248,"uris":["http://zotero.org/users/3444308/items/D7JIK3FZ"],"itemData":{"id":19248,"type":"article-journal","abstract":"INTRODUCTION: The incidence of post-transplant diabetes mellitus (PTDM) ranges from 2.5% to 20% in kidney transplant recipients. Diabetic retinopathy (DR), diabetic kidney disease (DKD), and distal symmetric polyneuropathy (DSPN) are the microvascular complications frequently seen in both type 1 and 2 diabetes mellitus (DM). However, the data regarding these complications in patients with PTDM is lacking.\nMETHOD: A retrospective and prospective observational study of PTDM conducted at a tertiary care hospital from November 2018 to December 2020. 115 kidney transplant recipients who had PTDM of ≥5 years duration were included and analysed.\nRESULTS: The mean duration of PTDM was 8.8 ± 3.0 years, and the mean of all available HbA1c values was 7.0 ± 0.9%. while none of the patients had evidence of diabetic retinopathy on direct ophthalmoscopy, 37.4% of patients (n = 43) had DSPN and this was associated with the duration of PTDM and age. The mean estimated glomerular filtration rate (eGFR) was 59.24 ± 21.82 ml/min/1.73m2, and patients had a median proteinuria of 620 mg/day (IQR 1290). Out of 115 patients, 20% of them (n = 23) underwent graft kidney biopsy, and 10 biopsies were diagnosed as de-novo DKD. Patients with biopsy proven DKD had a mean PTDM duration of 143.3 ± 52.4 months; a mean HbA1c level of 7.9 ± 1.3%; a mean eGFR of 44.8 ± 21.8 ml/min; and a median proteinuria of 2653 mg (IQR 2758). An additional analysis of all 23 biopsied patients showed that HbA1c level and degree of proteinuria were significantly associated with de-novo DKD.\nCONCLUSION: PTDM in transplant patients had milder microvascular complications than usually expected in Type 1/2 diabetes in non-transplant patients. DR was not strongly associated with DKD in PTDM patients. Furthermore, de-novo DKD development was associated with poor glycaemic control and increased proteinuria.","container-title":"Transplant Immunology","DOI":"10.1016/j.trim.2024.102012","ISSN":"1878-5492","journalAbbreviation":"Transpl Immunol","language":"eng","note":"PMID: 38403198","page":"102012","source":"PubMed","title":"Micro-vascular complications of post-transplant diabetes mellitus in renal transplant recipients- an observational study","volume":"83","author":[{"family":"Abdullah","given":"null"},{"family":"Momin","given":"Indrajeet"},{"family":"Kaul","given":"Anupma"},{"family":"Bhadauria","given":"Dharmendra"},{"family":"Prasad","given":"Narayan"},{"family":"Behera","given":"Manas"},{"family":"Patel","given":"Manas"},{"family":"Kushwaha","given":"Ravi"},{"family":"Yachha","given":"Monika"},{"family":"Srivastava","given":"Aneesh"}],"issued":{"date-parts":[["2024",4]]}}},{"id":19249,"uris":["http://zotero.org/users/3444308/items/3Z8QEWZX"],"itemData":{"id":19249,"type":"article-journal","abstract":"OBJECTIVE: To assesses microvascular complications in renal transplant recipients with posttransplant diabetes mellitus (PTDM).\nRESEARCH DESIGN AND METHODS: In this observational study, patients with ≥5 years of PTDM were included from a cohort of 895 kidney recipients transplanted from 2000 through 2011. Diabetic retinopathy was evaluated by fundus photographs and optical coherence tomography (OCT). Diabetes kidney disease was evaluated by protein to creatinine ratio (PCR) and estimated glomerular filtration rate (eGFR). Distal polyneuropathy was assessed by Michigan Protocol and 10 g-monofilament feet examinations. The Ewing protocol identified cardiovascular autonomic neuropathy. Renal transplant recipients without PTDM diagnosis (NPTDM) were considered controls.\nRESULTS: After 144.5 months of follow-up, 135 (15%) patients developed PTDM, and 64 had a PTDM duration ≥5 years. None of the patients with PTDM presented diabetic retinopathy at fundus photographs, but thinning of inner retinal layers was observed with OCT. More than 60% of patients with PTDM had distal polyneuropathy (OR, 1.55; 95% CI, 1.26 to 1.91; P &lt; 0.001). Cardiovascular reflex tests abnormalities were similar between patients with PTDM and NPTDM (P = 0.26). During the first year and 8.5 ± 3.0 years after renal transplantation, eGFR and PCR did not differ significantly between patients with PTDM or NPTDM.\nCONCLUSIONS: This longitudinal study assesses microvascular complications in renal transplant patients with PTDM. A lower than expected prevalence as well as a different clinical course of the complications was observed. PTDM seems to be a unique type of diabetes, and its consequences may be milder than expected in type 1 and type 2 diabetes.","container-title":"The Journal of Clinical Endocrinology and Metabolism","DOI":"10.1210/jc.2018-01521","ISSN":"1945-7197","issue":"2","journalAbbreviation":"J Clin Endocrinol Metab","language":"eng","note":"PMID: 30289492","page":"557-567","source":"PubMed","title":"Microvascular Complications of Posttransplant Diabetes Mellitus in Kidney Transplant Recipients: A Longitudinal Study","title-short":"Microvascular Complications of Posttransplant Diabetes Mellitus in Kidney Transplant Recipients","volume":"104","author":[{"family":"Londero","given":"Thizá Massaia"},{"family":"Giaretta","given":"Luana Seminotti"},{"family":"Farenzena","given":"Luisa Penso"},{"family":"Manfro","given":"Roberto Ceratti"},{"family":"Canani","given":"Luis Henrique"},{"family":"Lavinsky","given":"Daniel"},{"family":"Leitão","given":"Cristiane Bauermann"},{"family":"Bauer","given":"Andrea Carla"}],"issued":{"date-parts":[["2019",2,1]]}}}],"schema":"https://github.com/citation-style-language/schema/raw/master/csl-citation.json"} </w:instrText>
      </w:r>
      <w:r w:rsidRPr="00413B0E">
        <w:fldChar w:fldCharType="separate"/>
      </w:r>
      <w:r w:rsidR="002D20B5" w:rsidRPr="002D20B5">
        <w:rPr>
          <w:rFonts w:ascii="Aptos" w:hAnsi="Aptos" w:cs="Times New Roman"/>
          <w:vertAlign w:val="superscript"/>
        </w:rPr>
        <w:t>199,200</w:t>
      </w:r>
      <w:r w:rsidRPr="00413B0E">
        <w:fldChar w:fldCharType="end"/>
      </w:r>
      <w:r w:rsidRPr="00413B0E">
        <w:t xml:space="preserve">, while it affected up to 20% of a smaller cohort (n=41) </w:t>
      </w:r>
      <w:r w:rsidRPr="00413B0E">
        <w:fldChar w:fldCharType="begin"/>
      </w:r>
      <w:r w:rsidR="002D20B5">
        <w:instrText xml:space="preserve"> ADDIN ZOTERO_ITEM CSL_CITATION {"citationID":"Iyxj2K1x","properties":{"formattedCitation":"\\super 201\\nosupersub{}","plainCitation":"201","noteIndex":0},"citationItems":[{"id":19247,"uris":["http://zotero.org/users/3444308/items/5HVQSGKJ"],"itemData":{"id":19247,"type":"article-journal","abstract":"CONTEXT: The paucity of data on microvascular complications in patients with posttransplant diabetes (PTDM) is an obstacle to developing follow-up algorithms.\nOBJECTIVE: To evaluate diabetic microvascular complications in patients with long-standing PTDM.\nMETHODS: In patients with ≥5-year history of PTDM and age-matched renal transplant recipients without PTDM (NDM), diabetic peripheral neuropathy was evaluated using the Michigan Neuropathy Screening Instrument, the CASE IV device, and in vivo corneal confocal microscopy (CCM). Cardiac autonomic neuropathy tests were performed using heart rate variability. Nephropathy screening was assessed using spot urine albumin/creatinine ratio and eGFR calculation. Diabetic retinopathy was evaluated by fundus examination and photography, and optical coherence tomography.\nRESULTS: This study included 41 patients with PTDM and 45 NDM patients. The median follow-up was 107.5 months in the PTDM group. Peripheral neuropathy was significantly higher in the PTDM group than in the NDM group (P = .02). In the PTDM patients with peripheral neuropathy, corneal nerve fiber density examined by CCM was significantly lower than in PTDM patients without neuropathy (P = .001). Parasympathetic involvement was observed in 58.5% of the PTDM group and 22% of the NDM group (P = .001). Sympathetic involvement was present in 65.9% of the PTDM group and 29.3% of the NDM group (P = .001). Retinopathy was observed in 19.5% of patients in the PTDM group and in none of the NDM patients (P &lt; .001). Renal functions were similar between the study groups.\nCONCLUSION: Cardiac autonomic neuropathy and diabetic retinopathy can affect patients with PTDM at a high rate. Diabetic retinopathy is a threat to the vision of PTDM patients. Diabetic peripheral neuropathy can be detected early in PTDM patients by CCM.","container-title":"The Journal of Clinical Endocrinology and Metabolism","DOI":"10.1210/clinem/dgad738","ISSN":"1945-7197","issue":"8","journalAbbreviation":"J Clin Endocrinol Metab","language":"eng","note":"PMID: 38101939\nPMCID: PMC11244200","page":"e1623-e1633","source":"PubMed","title":"Evaluation of Microvascular Complications in Kidney Recipients With Posttransplant Diabetes Mellitus","volume":"109","author":[{"family":"Çelik Kavaklılar","given":"Başak"},{"family":"Aybı Özdemir","given":"Özge"},{"family":"Yıldırım","given":"Tolga"},{"family":"Dikmetaş","given":"Özlem"},{"family":"Toprak","given":"Hilal"},{"family":"Hekimsoy","given":"Vedat"},{"family":"İşler","given":"Alperen Onur"},{"family":"Yılmaz","given":"Rahmi"},{"family":"Kadayıfçılar","given":"Sibel"},{"family":"Erdem","given":"Yunus"},{"family":"Erbas","given":"Tomris"},{"family":"Ünlütürk","given":"Uğur"}],"issued":{"date-parts":[["2024",7,12]]}}}],"schema":"https://github.com/citation-style-language/schema/raw/master/csl-citation.json"} </w:instrText>
      </w:r>
      <w:r w:rsidRPr="00413B0E">
        <w:fldChar w:fldCharType="separate"/>
      </w:r>
      <w:r w:rsidR="002D20B5" w:rsidRPr="002D20B5">
        <w:rPr>
          <w:rFonts w:ascii="Aptos" w:hAnsi="Aptos" w:cs="Times New Roman"/>
          <w:vertAlign w:val="superscript"/>
        </w:rPr>
        <w:t>201</w:t>
      </w:r>
      <w:r w:rsidRPr="00413B0E">
        <w:fldChar w:fldCharType="end"/>
      </w:r>
      <w:r w:rsidRPr="00413B0E">
        <w:t xml:space="preserve">. Peripheral neuropathy is probably the commonest </w:t>
      </w:r>
      <w:r w:rsidR="000315AF" w:rsidRPr="00413B0E">
        <w:t>microvascular</w:t>
      </w:r>
      <w:r w:rsidRPr="00413B0E">
        <w:t xml:space="preserve"> complication detected in patients with PTDM </w:t>
      </w:r>
      <w:r w:rsidRPr="00413B0E">
        <w:fldChar w:fldCharType="begin"/>
      </w:r>
      <w:r w:rsidR="002D20B5">
        <w:instrText xml:space="preserve"> ADDIN ZOTERO_ITEM CSL_CITATION {"citationID":"OKT2Fav0","properties":{"formattedCitation":"\\super 199,200\\nosupersub{}","plainCitation":"199,200","noteIndex":0},"citationItems":[{"id":19248,"uris":["http://zotero.org/users/3444308/items/D7JIK3FZ"],"itemData":{"id":19248,"type":"article-journal","abstract":"INTRODUCTION: The incidence of post-transplant diabetes mellitus (PTDM) ranges from 2.5% to 20% in kidney transplant recipients. Diabetic retinopathy (DR), diabetic kidney disease (DKD), and distal symmetric polyneuropathy (DSPN) are the microvascular complications frequently seen in both type 1 and 2 diabetes mellitus (DM). However, the data regarding these complications in patients with PTDM is lacking.\nMETHOD: A retrospective and prospective observational study of PTDM conducted at a tertiary care hospital from November 2018 to December 2020. 115 kidney transplant recipients who had PTDM of ≥5 years duration were included and analysed.\nRESULTS: The mean duration of PTDM was 8.8 ± 3.0 years, and the mean of all available HbA1c values was 7.0 ± 0.9%. while none of the patients had evidence of diabetic retinopathy on direct ophthalmoscopy, 37.4% of patients (n = 43) had DSPN and this was associated with the duration of PTDM and age. The mean estimated glomerular filtration rate (eGFR) was 59.24 ± 21.82 ml/min/1.73m2, and patients had a median proteinuria of 620 mg/day (IQR 1290). Out of 115 patients, 20% of them (n = 23) underwent graft kidney biopsy, and 10 biopsies were diagnosed as de-novo DKD. Patients with biopsy proven DKD had a mean PTDM duration of 143.3 ± 52.4 months; a mean HbA1c level of 7.9 ± 1.3%; a mean eGFR of 44.8 ± 21.8 ml/min; and a median proteinuria of 2653 mg (IQR 2758). An additional analysis of all 23 biopsied patients showed that HbA1c level and degree of proteinuria were significantly associated with de-novo DKD.\nCONCLUSION: PTDM in transplant patients had milder microvascular complications than usually expected in Type 1/2 diabetes in non-transplant patients. DR was not strongly associated with DKD in PTDM patients. Furthermore, de-novo DKD development was associated with poor glycaemic control and increased proteinuria.","container-title":"Transplant Immunology","DOI":"10.1016/j.trim.2024.102012","ISSN":"1878-5492","journalAbbreviation":"Transpl Immunol","language":"eng","note":"PMID: 38403198","page":"102012","source":"PubMed","title":"Micro-vascular complications of post-transplant diabetes mellitus in renal transplant recipients- an observational study","volume":"83","author":[{"family":"Abdullah","given":"null"},{"family":"Momin","given":"Indrajeet"},{"family":"Kaul","given":"Anupma"},{"family":"Bhadauria","given":"Dharmendra"},{"family":"Prasad","given":"Narayan"},{"family":"Behera","given":"Manas"},{"family":"Patel","given":"Manas"},{"family":"Kushwaha","given":"Ravi"},{"family":"Yachha","given":"Monika"},{"family":"Srivastava","given":"Aneesh"}],"issued":{"date-parts":[["2024",4]]}}},{"id":19249,"uris":["http://zotero.org/users/3444308/items/3Z8QEWZX"],"itemData":{"id":19249,"type":"article-journal","abstract":"OBJECTIVE: To assesses microvascular complications in renal transplant recipients with posttransplant diabetes mellitus (PTDM).\nRESEARCH DESIGN AND METHODS: In this observational study, patients with ≥5 years of PTDM were included from a cohort of 895 kidney recipients transplanted from 2000 through 2011. Diabetic retinopathy was evaluated by fundus photographs and optical coherence tomography (OCT). Diabetes kidney disease was evaluated by protein to creatinine ratio (PCR) and estimated glomerular filtration rate (eGFR). Distal polyneuropathy was assessed by Michigan Protocol and 10 g-monofilament feet examinations. The Ewing protocol identified cardiovascular autonomic neuropathy. Renal transplant recipients without PTDM diagnosis (NPTDM) were considered controls.\nRESULTS: After 144.5 months of follow-up, 135 (15%) patients developed PTDM, and 64 had a PTDM duration ≥5 years. None of the patients with PTDM presented diabetic retinopathy at fundus photographs, but thinning of inner retinal layers was observed with OCT. More than 60% of patients with PTDM had distal polyneuropathy (OR, 1.55; 95% CI, 1.26 to 1.91; P &lt; 0.001). Cardiovascular reflex tests abnormalities were similar between patients with PTDM and NPTDM (P = 0.26). During the first year and 8.5 ± 3.0 years after renal transplantation, eGFR and PCR did not differ significantly between patients with PTDM or NPTDM.\nCONCLUSIONS: This longitudinal study assesses microvascular complications in renal transplant patients with PTDM. A lower than expected prevalence as well as a different clinical course of the complications was observed. PTDM seems to be a unique type of diabetes, and its consequences may be milder than expected in type 1 and type 2 diabetes.","container-title":"The Journal of Clinical Endocrinology and Metabolism","DOI":"10.1210/jc.2018-01521","ISSN":"1945-7197","issue":"2","journalAbbreviation":"J Clin Endocrinol Metab","language":"eng","note":"PMID: 30289492","page":"557-567","source":"PubMed","title":"Microvascular Complications of Posttransplant Diabetes Mellitus in Kidney Transplant Recipients: A Longitudinal Study","title-short":"Microvascular Complications of Posttransplant Diabetes Mellitus in Kidney Transplant Recipients","volume":"104","author":[{"family":"Londero","given":"Thizá Massaia"},{"family":"Giaretta","given":"Luana Seminotti"},{"family":"Farenzena","given":"Luisa Penso"},{"family":"Manfro","given":"Roberto Ceratti"},{"family":"Canani","given":"Luis Henrique"},{"family":"Lavinsky","given":"Daniel"},{"family":"Leitão","given":"Cristiane Bauermann"},{"family":"Bauer","given":"Andrea Carla"}],"issued":{"date-parts":[["2019",2,1]]}}}],"schema":"https://github.com/citation-style-language/schema/raw/master/csl-citation.json"} </w:instrText>
      </w:r>
      <w:r w:rsidRPr="00413B0E">
        <w:fldChar w:fldCharType="separate"/>
      </w:r>
      <w:r w:rsidR="002D20B5" w:rsidRPr="002D20B5">
        <w:rPr>
          <w:rFonts w:ascii="Aptos" w:hAnsi="Aptos" w:cs="Times New Roman"/>
          <w:vertAlign w:val="superscript"/>
        </w:rPr>
        <w:t>199,200</w:t>
      </w:r>
      <w:r w:rsidRPr="00413B0E">
        <w:fldChar w:fldCharType="end"/>
      </w:r>
      <w:r w:rsidRPr="00413B0E">
        <w:t xml:space="preserve"> but the actual percentage depends on the method used for diagnosis </w:t>
      </w:r>
      <w:r w:rsidRPr="00413B0E">
        <w:fldChar w:fldCharType="begin"/>
      </w:r>
      <w:r w:rsidR="002D20B5">
        <w:instrText xml:space="preserve"> ADDIN ZOTERO_ITEM CSL_CITATION {"citationID":"I2XJACxi","properties":{"formattedCitation":"\\super 201\\nosupersub{}","plainCitation":"201","noteIndex":0},"citationItems":[{"id":19247,"uris":["http://zotero.org/users/3444308/items/5HVQSGKJ"],"itemData":{"id":19247,"type":"article-journal","abstract":"CONTEXT: The paucity of data on microvascular complications in patients with posttransplant diabetes (PTDM) is an obstacle to developing follow-up algorithms.\nOBJECTIVE: To evaluate diabetic microvascular complications in patients with long-standing PTDM.\nMETHODS: In patients with ≥5-year history of PTDM and age-matched renal transplant recipients without PTDM (NDM), diabetic peripheral neuropathy was evaluated using the Michigan Neuropathy Screening Instrument, the CASE IV device, and in vivo corneal confocal microscopy (CCM). Cardiac autonomic neuropathy tests were performed using heart rate variability. Nephropathy screening was assessed using spot urine albumin/creatinine ratio and eGFR calculation. Diabetic retinopathy was evaluated by fundus examination and photography, and optical coherence tomography.\nRESULTS: This study included 41 patients with PTDM and 45 NDM patients. The median follow-up was 107.5 months in the PTDM group. Peripheral neuropathy was significantly higher in the PTDM group than in the NDM group (P = .02). In the PTDM patients with peripheral neuropathy, corneal nerve fiber density examined by CCM was significantly lower than in PTDM patients without neuropathy (P = .001). Parasympathetic involvement was observed in 58.5% of the PTDM group and 22% of the NDM group (P = .001). Sympathetic involvement was present in 65.9% of the PTDM group and 29.3% of the NDM group (P = .001). Retinopathy was observed in 19.5% of patients in the PTDM group and in none of the NDM patients (P &lt; .001). Renal functions were similar between the study groups.\nCONCLUSION: Cardiac autonomic neuropathy and diabetic retinopathy can affect patients with PTDM at a high rate. Diabetic retinopathy is a threat to the vision of PTDM patients. Diabetic peripheral neuropathy can be detected early in PTDM patients by CCM.","container-title":"The Journal of Clinical Endocrinology and Metabolism","DOI":"10.1210/clinem/dgad738","ISSN":"1945-7197","issue":"8","journalAbbreviation":"J Clin Endocrinol Metab","language":"eng","note":"PMID: 38101939\nPMCID: PMC11244200","page":"e1623-e1633","source":"PubMed","title":"Evaluation of Microvascular Complications in Kidney Recipients With Posttransplant Diabetes Mellitus","volume":"109","author":[{"family":"Çelik Kavaklılar","given":"Başak"},{"family":"Aybı Özdemir","given":"Özge"},{"family":"Yıldırım","given":"Tolga"},{"family":"Dikmetaş","given":"Özlem"},{"family":"Toprak","given":"Hilal"},{"family":"Hekimsoy","given":"Vedat"},{"family":"İşler","given":"Alperen Onur"},{"family":"Yılmaz","given":"Rahmi"},{"family":"Kadayıfçılar","given":"Sibel"},{"family":"Erdem","given":"Yunus"},{"family":"Erbas","given":"Tomris"},{"family":"Ünlütürk","given":"Uğur"}],"issued":{"date-parts":[["2024",7,12]]}}}],"schema":"https://github.com/citation-style-language/schema/raw/master/csl-citation.json"} </w:instrText>
      </w:r>
      <w:r w:rsidRPr="00413B0E">
        <w:fldChar w:fldCharType="separate"/>
      </w:r>
      <w:r w:rsidR="002D20B5" w:rsidRPr="002D20B5">
        <w:rPr>
          <w:rFonts w:ascii="Aptos" w:hAnsi="Aptos" w:cs="Times New Roman"/>
          <w:vertAlign w:val="superscript"/>
        </w:rPr>
        <w:t>201</w:t>
      </w:r>
      <w:r w:rsidRPr="00413B0E">
        <w:fldChar w:fldCharType="end"/>
      </w:r>
      <w:r w:rsidRPr="00413B0E">
        <w:t xml:space="preserve">. </w:t>
      </w:r>
    </w:p>
    <w:p w14:paraId="053B917A" w14:textId="16583C5C" w:rsidR="00ED6CD4" w:rsidRPr="00413B0E" w:rsidRDefault="00ED6CD4" w:rsidP="00413B0E">
      <w:r w:rsidRPr="00413B0E">
        <w:t xml:space="preserve">PTDM develops in the context of a combination of diminished insulin secretion and enhanced insulin resistance with a series of risk factors contributing, some of which are shared with standard type 2 diabetes, while others are transplant specific; differently, they can be categorised to modifiable vs non-modifiable </w:t>
      </w:r>
      <w:r w:rsidRPr="00413B0E">
        <w:fldChar w:fldCharType="begin"/>
      </w:r>
      <w:r w:rsidR="002D20B5">
        <w:instrText xml:space="preserve"> ADDIN ZOTERO_ITEM CSL_CITATION {"citationID":"yYHOtt06","properties":{"formattedCitation":"\\super 202\\nosupersub{}","plainCitation":"202","noteIndex":0},"citationItems":[{"id":19090,"uris":["http://zotero.org/users/3444308/items/ZVIAN87S","http://zotero.org/users/3444308/items/Z7W3DMQJ"],"itemData":{"id":19090,"type":"article-journal","abstract":"A significant percentage of people with diabetes develop chronic kidney disease and diabetes is also a leading cause of end-stage kidney disease (ESKD). The term diabetic kidney disease (DKD) includes both diabetic nephropathy (DN) and diabetes mellitus and chronic kidney disease (DM CKD). DKD is associated with high morbidity and mortality, which are predominantly related to cardiovascular disease. Hyperglycaemia is a modifiable risk factor for cardiovascular complications and progression of DKD. Recent clinical trials of people with DKD have demonstrated improvement in clinical outcomes with sodium glucose co-transporter-2 (SGLT-2) inhibitors. SGLT-2 inhibitors have significantly reduced progression of DKD and onset of ESKD and these reno-protective effects are independent of glucose lowering. At the time of this update Canagliflozin and Dapagliflozin have been approved for delaying the progression of DKD. The Association of British Clinical Diabetologists (ABCD) and UK Kidney Association (UKKA) Diabetic Kidney Disease Clinical Speciality Group have undertaken a literature review and critical appraisal of the available evidence to inform clinical practice guidelines for management of hyperglycaemia in adults with DKD. This 2021 guidance is for the variety of clinicians who treat people with DKD, including GPs and specialists in diabetes, cardiology and nephrology.","container-title":"Diabetic Medicine: A Journal of the British Diabetic Association","DOI":"10.1111/dme.14769","ISSN":"1464-5491","issue":"4","journalAbbreviation":"Diabet Med","language":"eng","note":"PMID: 35080257","page":"e14769","source":"PubMed","title":"Clinical practice guidelines for management of hyperglycaemia in adults with diabetic kidney disease","volume":"39","author":[{"family":"Karalliedde","given":"Janaka"},{"family":"Winocour","given":"Peter"},{"family":"Chowdhury","given":"Tahseen A."},{"family":"De","given":"Parijat"},{"family":"Frankel","given":"Andrew H."},{"family":"Montero","given":"Rosa M."},{"family":"Pokrajac","given":"Ana"},{"family":"Banerjee","given":"Debasish"},{"family":"Dasgupta","given":"Indranil"},{"family":"Fogarty","given":"Damian"},{"family":"Sharif","given":"Adnan"},{"family":"Wahba","given":"Mona"},{"family":"Mark","given":"Patrick B."},{"family":"Zac-Varghese","given":"Sagen"},{"family":"Patel","given":"Dipesh C."},{"family":"Bain","given":"Stephen C."}],"issued":{"date-parts":[["2022",4]]}}}],"schema":"https://github.com/citation-style-language/schema/raw/master/csl-citation.json"} </w:instrText>
      </w:r>
      <w:r w:rsidRPr="00413B0E">
        <w:fldChar w:fldCharType="separate"/>
      </w:r>
      <w:r w:rsidR="002D20B5" w:rsidRPr="002D20B5">
        <w:rPr>
          <w:rFonts w:ascii="Aptos" w:hAnsi="Aptos" w:cs="Times New Roman"/>
          <w:vertAlign w:val="superscript"/>
        </w:rPr>
        <w:t>202</w:t>
      </w:r>
      <w:r w:rsidRPr="00413B0E">
        <w:fldChar w:fldCharType="end"/>
      </w:r>
      <w:r w:rsidRPr="00413B0E">
        <w:t>. (</w:t>
      </w:r>
      <w:hyperlink r:id="rId10" w:history="1">
        <w:r w:rsidRPr="00413B0E">
          <w:rPr>
            <w:rStyle w:val="Hyperlink"/>
            <w:rFonts w:cstheme="minorHAnsi"/>
            <w:color w:val="auto"/>
          </w:rPr>
          <w:t>https://abcd.care/sites/default/files/site_uploads/Resources/Position-Papers/ABCD-RA-PTDM-v14.pdf</w:t>
        </w:r>
      </w:hyperlink>
      <w:r w:rsidRPr="00413B0E">
        <w:t xml:space="preserve">) </w:t>
      </w:r>
    </w:p>
    <w:p w14:paraId="517B030F" w14:textId="5374219E" w:rsidR="00ED6CD4" w:rsidRPr="00413B0E" w:rsidRDefault="00ED6CD4" w:rsidP="00413B0E">
      <w:pPr>
        <w:rPr>
          <w:lang w:val="en-US"/>
        </w:rPr>
      </w:pPr>
      <w:r w:rsidRPr="00413B0E">
        <w:t xml:space="preserve">Immunosuppressive regimes, namely CNIs (tacrolimus more so than cyclosporine) and </w:t>
      </w:r>
      <w:proofErr w:type="spellStart"/>
      <w:r w:rsidRPr="00413B0E">
        <w:t>glucocorticosteroids</w:t>
      </w:r>
      <w:proofErr w:type="spellEnd"/>
      <w:r w:rsidRPr="00413B0E">
        <w:t xml:space="preserve"> are well established transplant-specific contributors to the development of PTDM. Tacrolimus seems to have a dose-dependent adverse action on beta-pancreatic cells compromising both insulin secretion and synthesis, as well as peripheral sensitivity </w:t>
      </w:r>
      <w:r w:rsidRPr="00413B0E">
        <w:fldChar w:fldCharType="begin"/>
      </w:r>
      <w:r w:rsidR="002D20B5">
        <w:instrText xml:space="preserve"> ADDIN ZOTERO_ITEM CSL_CITATION {"citationID":"XO2RlMut","properties":{"formattedCitation":"\\super 203\\uc0\\u8211{}205\\nosupersub{}","plainCitation":"203–205","noteIndex":0},"citationItems":[{"id":19246,"uris":["http://zotero.org/users/3444308/items/HNGEMR39"],"itemData":{"id":19246,"type":"article-journal","abstract":"Most studies concerning the influence of tacrolimus on glucose metabolism have been performed either in animals or after organ transplantation. These clinical studies have largely been transversal with patients who were using steroids. Therefore, this prospective, longitudinal study investigated the influence of tacrolimus on glucose metabolism before and after transplantation. Eighteen Caucasian dialysis patients underwent an intravenous glucose tolerance test before and 5 d after the start of tacrolimus. Insulin sensitivity index (k(G)), insulin resistance (insulin/glucose ratio and homeostasis model assessment), and C-peptide and insulin secretion were calculated. Trough levels of tacrolimus were measured. After transplantation, the occurrence of posttransplantation diabetes mellitus (PTDM) was prospectively monitored. Statistical analysis was performed using the Wilcoxon signed ranks test and Spearman's rho for correlation. Before tacrolimus, k(G) was indeterminate in three patients. During tacrolimus, k(G) decreased in 16 of 18 patients, from a median of 1.74 mmol/L per min to 1.08 mmol/L per min (P&lt;0.0001). The correlation between C-peptide and insulin data was excellent. Insulin secretion decreased from 851.0 mU x min/L to 558.0 mU x min/L (P = 0.014), whereas insulin resistance did not change. Insulin sensitivity correlated negatively with tacrolimus trough level. After transplantation, three patients developed PTDM; before tacrolimus, two had an indeterminate and one a low normal k(G). During tacrolimus administration, k(G) decreased in almost all patients as a result of a diminished insulin secretion response to a glucose load, whereas insulin resistance did not change. Patients with an abnormal or indeterminate k(G) seem to be at risk of developing PTDM while on tacrolimus.","container-title":"Journal of the American Society of Nephrology: JASN","DOI":"10.1681/ASN.V123583","ISSN":"1046-6673","issue":"3","journalAbbreviation":"J Am Soc Nephrol","language":"eng","note":"PMID: 11181807","page":"583-588","source":"PubMed","title":"Influence of tacrolimus on glucose metabolism before and after renal transplantation: a prospective study","title-short":"Influence of tacrolimus on glucose metabolism before and after renal transplantation","volume":"12","author":[{"family":"Duijnhoven","given":"Elly M. VAN"},{"family":"Boots","given":"Johannes M. M."},{"family":"Christiaans","given":"Maarten H. L."},{"family":"Wolffenbuttel","given":"Bruce H. R."},{"family":"Hooff","given":"Johannes P. VAN"}],"issued":{"date-parts":[["2001",3]]}}},{"id":19244,"uris":["http://zotero.org/users/3444308/items/BXKU6PPW"],"itemData":{"id":19244,"type":"article-journal","abstract":"FK506, a new immunosuppressant, caused glucose intolerance in rats given daily oral doses of 1, 5, or 10 mg/kg/day for 14 days, but did not induce hyperglycemia under normal feeding. Besides the glucose intolerance, insulin secretion was impaired and insulin levels in the pancreas were lowered. Histopathologically, there was vacuolation of the Langerhans islets in the animals given 10 mg/kg. After withdrawal of the drug, these changes in pancreatic function and morphology returned to normal within 2 weeks. The findings indicate that FK506 caused dose-dependent but reversible islet toxicity in rats.","container-title":"Transplantation","DOI":"10.1097/00007890-199204000-00033","ISSN":"0041-1337","issue":"4","journalAbbreviation":"Transplantation","language":"eng","note":"PMID: 1373536","page":"889-894","source":"PubMed","title":"Morphological and functional changes of islets of Langerhans in FK506-treated rats","volume":"53","author":[{"family":"Hirano","given":"Y."},{"family":"Fujihira","given":"S."},{"family":"Ohara","given":"K."},{"family":"Katsuki","given":"S."},{"family":"Noguchi","given":"H."}],"issued":{"date-parts":[["1992",4]]}}},{"id":19245,"uris":["http://zotero.org/users/3444308/items/W5HM7JYL"],"itemData":{"id":19245,"type":"article-journal","abstract":"FK506 (tacrolimus) is a strong immunosuppressant: it has been approved as a drug for liver transplantation in Japan, the United States, and the United Kingdom. One of its main adverse effects is hyperglycemia. Thus, in this study, we investigated the mechanism and the reversibility of the hyperglycemia caused by FK506. FK506 did not affect the glucose uptake by insulin into rat strio-muscle cell line, but suppressed insulin production in rat insulinoma cells. Two-week oral administration of FK506 at 10 mg/kg/day suppressed insulin production time-dependently at the transcriptional step in pancreatic beta-cells, while glucagon content in pancreatic alpha-cells was not affected. When FK506 administration was stopped in these rats, insulin mRNA transcription and insulin production returned to normal. This recovery indicates that the adverse effect of FK506 on the pancreas is reversible. A high content of FK506 binding protein-12 (FKBP-12) in the pancreatic beta-cells was confirmed by immunostaining with anti-human FKBP-12 mAb, but the content was less in the pancreatic alpha-cells and almost negligible in the acinar cells. In contrast, a high content of calcineurin in the pancreatic alpha-cells was confirmed by using anti-calcineurin polyclonal antibody, but this content was less in the pancreatic beta-cells and not found in the acinar cells. Thus, as in the case with NF-AT in T cells, these findings point to the reduction of unidentified nuclear factors for insulin mRNA transcription caused by the binding of FK506 to FKBP-12 and a subsequent inhibition of calcineurin in the beta-cells.","container-title":"Transplantation","ISSN":"0041-1337","issue":"11","journalAbbreviation":"Transplantation","language":"eng","note":"PMID: 7539960","page":"1606-1613","source":"PubMed","title":"Transcriptional inhibition of insulin by FK506 and possible involvement of FK506 binding protein-12 in pancreatic beta-cell","volume":"59","author":[{"family":"Tamura","given":"K."},{"family":"Fujimura","given":"T."},{"family":"Tsutsumi","given":"T."},{"family":"Nakamura","given":"K."},{"family":"Ogawa","given":"T."},{"family":"Atumaru","given":"C."},{"family":"Hirano","given":"Y."},{"family":"Ohara","given":"K."},{"family":"Ohtsuka","given":"K."},{"family":"Shimomura","given":"K."}],"issued":{"date-parts":[["1995",6,15]]}}}],"schema":"https://github.com/citation-style-language/schema/raw/master/csl-citation.json"} </w:instrText>
      </w:r>
      <w:r w:rsidRPr="00413B0E">
        <w:fldChar w:fldCharType="separate"/>
      </w:r>
      <w:r w:rsidR="002D20B5" w:rsidRPr="002D20B5">
        <w:rPr>
          <w:rFonts w:ascii="Aptos" w:hAnsi="Aptos" w:cs="Times New Roman"/>
          <w:vertAlign w:val="superscript"/>
        </w:rPr>
        <w:t>203–205</w:t>
      </w:r>
      <w:r w:rsidRPr="00413B0E">
        <w:fldChar w:fldCharType="end"/>
      </w:r>
      <w:r w:rsidRPr="00413B0E">
        <w:t xml:space="preserve">. Glucocorticoids affect glucose metabolism in multiple ways; their use is associated with </w:t>
      </w:r>
      <w:r w:rsidRPr="00413B0E">
        <w:rPr>
          <w:lang w:val="el-GR"/>
        </w:rPr>
        <w:t>β-</w:t>
      </w:r>
      <w:r w:rsidRPr="00413B0E">
        <w:t xml:space="preserve">cell dysfunction, </w:t>
      </w:r>
      <w:r w:rsidRPr="00413B0E">
        <w:rPr>
          <w:lang w:val="en-US"/>
        </w:rPr>
        <w:t xml:space="preserve">increased insulin resistance, enhanced gluconeogenesis in liver and </w:t>
      </w:r>
      <w:proofErr w:type="spellStart"/>
      <w:r w:rsidRPr="00413B0E">
        <w:rPr>
          <w:lang w:val="en-US"/>
        </w:rPr>
        <w:t>adispose</w:t>
      </w:r>
      <w:proofErr w:type="spellEnd"/>
      <w:r w:rsidRPr="00413B0E">
        <w:rPr>
          <w:lang w:val="en-US"/>
        </w:rPr>
        <w:t xml:space="preserve"> tissue (lipolysis).</w:t>
      </w:r>
    </w:p>
    <w:p w14:paraId="77313CB9" w14:textId="77777777" w:rsidR="00ED6CD4" w:rsidRPr="005F2801" w:rsidRDefault="00ED6CD4" w:rsidP="00413B0E">
      <w:pPr>
        <w:pStyle w:val="GuidelineSubheadings"/>
        <w:rPr>
          <w:lang w:val="en-US"/>
        </w:rPr>
      </w:pPr>
      <w:r w:rsidRPr="005F2801">
        <w:rPr>
          <w:lang w:val="en-US"/>
        </w:rPr>
        <w:t>Diagnosis</w:t>
      </w:r>
    </w:p>
    <w:p w14:paraId="36F8C2D4" w14:textId="30469A63" w:rsidR="00ED6CD4" w:rsidRPr="00413B0E" w:rsidRDefault="00ED6CD4" w:rsidP="00413B0E">
      <w:pPr>
        <w:rPr>
          <w:shd w:val="clear" w:color="auto" w:fill="FFFFFF"/>
        </w:rPr>
      </w:pPr>
      <w:r w:rsidRPr="00524CA4">
        <w:rPr>
          <w:lang w:val="en-US"/>
        </w:rPr>
        <w:t>In 2021</w:t>
      </w:r>
      <w:r w:rsidRPr="00524CA4">
        <w:t>, the Association of British Clinical Diabetologists (ABCD) and Renal Association issued their first joint guidelines on the detection and management of PTDM in the UK. An important element of the diagnosis which was stressed was the timing after transplant</w:t>
      </w:r>
      <w:r>
        <w:t xml:space="preserve"> </w:t>
      </w:r>
      <w:r>
        <w:fldChar w:fldCharType="begin"/>
      </w:r>
      <w:r w:rsidR="002D20B5">
        <w:instrText xml:space="preserve"> ADDIN ZOTERO_ITEM CSL_CITATION {"citationID":"xOcGSRUP","properties":{"formattedCitation":"\\super 202\\nosupersub{}","plainCitation":"202","noteIndex":0},"citationItems":[{"id":19090,"uris":["http://zotero.org/users/3444308/items/ZVIAN87S","http://zotero.org/users/3444308/items/Z7W3DMQJ"],"itemData":{"id":19090,"type":"article-journal","abstract":"A significant percentage of people with diabetes develop chronic kidney disease and diabetes is also a leading cause of end-stage kidney disease (ESKD). The term diabetic kidney disease (DKD) includes both diabetic nephropathy (DN) and diabetes mellitus and chronic kidney disease (DM CKD). DKD is associated with high morbidity and mortality, which are predominantly related to cardiovascular disease. Hyperglycaemia is a modifiable risk factor for cardiovascular complications and progression of DKD. Recent clinical trials of people with DKD have demonstrated improvement in clinical outcomes with sodium glucose co-transporter-2 (SGLT-2) inhibitors. SGLT-2 inhibitors have significantly reduced progression of DKD and onset of ESKD and these reno-protective effects are independent of glucose lowering. At the time of this update Canagliflozin and Dapagliflozin have been approved for delaying the progression of DKD. The Association of British Clinical Diabetologists (ABCD) and UK Kidney Association (UKKA) Diabetic Kidney Disease Clinical Speciality Group have undertaken a literature review and critical appraisal of the available evidence to inform clinical practice guidelines for management of hyperglycaemia in adults with DKD. This 2021 guidance is for the variety of clinicians who treat people with DKD, including GPs and specialists in diabetes, cardiology and nephrology.","container-title":"Diabetic Medicine: A Journal of the British Diabetic Association","DOI":"10.1111/dme.14769","ISSN":"1464-5491","issue":"4","journalAbbreviation":"Diabet Med","language":"eng","note":"PMID: 35080257","page":"e14769","source":"PubMed","title":"Clinical practice guidelines for management of hyperglycaemia in adults with diabetic kidney disease","volume":"39","author":[{"family":"Karalliedde","given":"Janaka"},{"family":"Winocour","given":"Peter"},{"family":"Chowdhury","given":"Tahseen A."},{"family":"De","given":"Parijat"},{"family":"Frankel","given":"Andrew H."},{"family":"Montero","given":"Rosa M."},{"family":"Pokrajac","given":"Ana"},{"family":"Banerjee","given":"Debasish"},{"family":"Dasgupta","given":"Indranil"},{"family":"Fogarty","given":"Damian"},{"family":"Sharif","given":"Adnan"},{"family":"Wahba","given":"Mona"},{"family":"Mark","given":"Patrick B."},{"family":"Zac-Varghese","given":"Sagen"},{"family":"Patel","given":"Dipesh C."},{"family":"Bain","given":"Stephen C."}],"issued":{"date-parts":[["2022",4]]}}}],"schema":"https://github.com/citation-style-language/schema/raw/master/csl-citation.json"} </w:instrText>
      </w:r>
      <w:r>
        <w:fldChar w:fldCharType="separate"/>
      </w:r>
      <w:r w:rsidR="002D20B5" w:rsidRPr="002D20B5">
        <w:rPr>
          <w:rFonts w:ascii="Calibri" w:hAnsi="Calibri" w:cs="Calibri"/>
          <w:vertAlign w:val="superscript"/>
        </w:rPr>
        <w:t>202</w:t>
      </w:r>
      <w:r>
        <w:fldChar w:fldCharType="end"/>
      </w:r>
      <w:r w:rsidRPr="00524CA4">
        <w:t xml:space="preserve">. PTDM needs to be differentiated from immediate post-transplant hyperglycaemia, which is very common and occurs within the first few </w:t>
      </w:r>
      <w:proofErr w:type="gramStart"/>
      <w:r w:rsidRPr="00524CA4">
        <w:t>weeks</w:t>
      </w:r>
      <w:proofErr w:type="gramEnd"/>
      <w:r w:rsidRPr="00524CA4">
        <w:t xml:space="preserve"> post-transplant and may or may not lead to PTDM. Immediate post-transplant hyperglycaemia is primarily led by factors surrounding the surgery such as high dose intravenous steroids, peri-operative stress, pain etc and is associated with an increased risk of PTDM. Therefore, the ABCD and RA have recommended that a diagnosis of PTDM can be made no earlier than 6 weeks post-surgery with an oral glucose tolerance test </w:t>
      </w:r>
      <w:r w:rsidRPr="00524CA4">
        <w:lastRenderedPageBreak/>
        <w:t xml:space="preserve">(OGTT). Acknowledging challenges in every day clinical practice, they have also recommended that oral glucose tolerance test remains the gold standard diagnostic method for </w:t>
      </w:r>
      <w:proofErr w:type="gramStart"/>
      <w:r w:rsidRPr="00524CA4">
        <w:t xml:space="preserve">PTDM, </w:t>
      </w:r>
      <w:r w:rsidR="002D20B5">
        <w:t xml:space="preserve"> </w:t>
      </w:r>
      <w:r w:rsidRPr="00524CA4">
        <w:t>and</w:t>
      </w:r>
      <w:proofErr w:type="gramEnd"/>
      <w:r w:rsidRPr="00524CA4">
        <w:t xml:space="preserve"> should at least be “utilised for additional risk stratification and/or diagnostic clarification”. The 2024 International consensus on PTDM also highlighted the invaluable role of OGTT in the diagnosis of PTDM and recommended an – unvalidated – diagnostic algorithm, which involves early identification of </w:t>
      </w:r>
      <w:proofErr w:type="gramStart"/>
      <w:r w:rsidRPr="00524CA4">
        <w:t>at risk</w:t>
      </w:r>
      <w:proofErr w:type="gramEnd"/>
      <w:r w:rsidRPr="00524CA4">
        <w:t xml:space="preserve"> patients already from the waiting list and an early OGTT at 10-13 weeks, rather than 6. There is evidence suggesting that PTDM identified early (at 3 months) might reverse</w:t>
      </w:r>
      <w:r>
        <w:t xml:space="preserve"> </w:t>
      </w:r>
      <w:r>
        <w:fldChar w:fldCharType="begin"/>
      </w:r>
      <w:r w:rsidR="002D20B5">
        <w:instrText xml:space="preserve"> ADDIN ZOTERO_ITEM CSL_CITATION {"citationID":"dddSS5SN","properties":{"formattedCitation":"\\super 206\\nosupersub{}","plainCitation":"206","noteIndex":0},"citationItems":[{"id":19243,"uris":["http://zotero.org/users/3444308/items/DQHS8273"],"itemData":{"id":19243,"type":"article-journal","abstract":"BACKGROUND: The long-term clinical evolution of prediabetes and post-transplant diabetes mellitus (PTDM) is unknown.\nMETHODS: We analysed, in this cohort study, the reversibility, stability and progression of PTDM and prediabetes in 672 patients using repeated oral glucose tolerance tests (OGTTs) for ≤5 years.\nRESULTS: Most patients were on tacrolimus, steroids and mycophenolate. About half developed either PTDM or prediabetes. The incidence of PTDM was 32% and bimodal: early PTDM (≤3 months) and late PTDM. Early PTDM reverted in 31%; late PTDM developed in patients with post-transplant prediabetes. The use of OGTTs was necessary to detect around half of PTDM. Pretransplant obesity was a major risk factor for early PTDM, for its persistence and for late PTDM {odds ratio [OR] 1.18 [95% confidence interval (CI) 1.09-1.28]}. At 3 months, higher HbA1c promoted [OR 2.37 (95% CI 1.38-4.06)], while insulin sensitivity protected against [OR 0.64 (95% CI 0.48-0.86)] late PTDM. At 3 months, 28% had prediabetes; of these, 36% remained stable, 43% normalized and 21% developed late PTDM. Pretransplant obesity [OR 1.20 (95% CI 1.04-1.39)] and higher HbA1c [OR 3.80 (95% CI 1.45-9.94)] at 3 months promoted while insulin sensitivity protected against [OR 0.57 (95% CI 0.34-0.95)] evolution from prediabetes to late PTDM. Immunosuppressive levels or acute rejection did not influence PTDM. Most (84%) of the patients with normal tests at 3 months remained stable without evolving into PTDM; 14% developed prediabetes.\nCONCLUSIONS: PTDM and prediabetes are very common in renal transplantation. Classic metabolic factors like obesity, prediabetes and insulin resistance promote the evolution of PTDM and prediabetes. Patients with normal glucose metabolism rarely develop PTDM. OGTT is necessary to detect PTDM and prediabetes and thus should be included in clinical practice.","container-title":"Nephrology, Dialysis, Transplantation: Official Publication of the European Dialysis and Transplant Association - European Renal Association","DOI":"10.1093/ndt/gfv368","ISSN":"1460-2385","issue":"3","journalAbbreviation":"Nephrol Dial Transplant","language":"eng","note":"PMID: 26538615","page":"495-505","source":"PubMed","title":"Clinical evolution of post-transplant diabetes mellitus","volume":"31","author":[{"family":"Porrini","given":"Esteban L."},{"family":"Díaz","given":"Jose M."},{"family":"Moreso","given":"Francisco"},{"family":"Delgado Mallén","given":"Patricia I."},{"family":"Silva Torres","given":"Irene"},{"family":"Ibernon","given":"Meritxell"},{"family":"Bayés-Genís","given":"Beatriz"},{"family":"Benitez-Ruiz","given":"Rocío"},{"family":"Lampreabe","given":"Ildefonso"},{"family":"Lauzurrica","given":"Ricardo"},{"family":"Osorio","given":"Jose M."},{"family":"Osuna","given":"Antonio"},{"family":"Domínguez-Rollán","given":"Rosa"},{"family":"Ruiz","given":"Juan C."},{"family":"Jiménez-Sosa","given":"Alejandro"},{"family":"González-Rinne","given":"Ana"},{"family":"Marrero-Miranda","given":"Domingo"},{"family":"Macía","given":"Manuel"},{"family":"García","given":"Javier"},{"family":"Torres","given":"Armando"}],"issued":{"date-parts":[["2016",3]]}}}],"schema":"https://github.com/citation-style-language/schema/raw/master/csl-citation.json"} </w:instrText>
      </w:r>
      <w:r>
        <w:fldChar w:fldCharType="separate"/>
      </w:r>
      <w:r w:rsidR="002D20B5" w:rsidRPr="002D20B5">
        <w:rPr>
          <w:rFonts w:ascii="Calibri" w:hAnsi="Calibri" w:cs="Calibri"/>
          <w:vertAlign w:val="superscript"/>
        </w:rPr>
        <w:t>206</w:t>
      </w:r>
      <w:r>
        <w:fldChar w:fldCharType="end"/>
      </w:r>
      <w:r w:rsidRPr="00524CA4">
        <w:t xml:space="preserve">, though this needs to be confirmed further. The American Diabetes Association (ADA) also recommended that PTDM diagnosis should only be made once stability has achieved </w:t>
      </w:r>
      <w:r w:rsidR="005F2A89" w:rsidRPr="00524CA4">
        <w:t>post-transplant</w:t>
      </w:r>
      <w:r w:rsidRPr="00524CA4">
        <w:t>, without specifying a time frame</w:t>
      </w:r>
      <w:r>
        <w:fldChar w:fldCharType="begin"/>
      </w:r>
      <w:r w:rsidR="002D20B5">
        <w:instrText xml:space="preserve"> ADDIN ZOTERO_ITEM CSL_CITATION {"citationID":"vYDQs9sQ","properties":{"formattedCitation":"\\super 207\\nosupersub{}","plainCitation":"207","noteIndex":0},"citationItems":[{"id":19242,"uris":["http://zotero.org/users/3444308/items/VZ6XQUJU"],"itemData":{"id":19242,"type":"article-journal","abstract":"The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Care","DOI":"10.2337/dc24-S002","ISSN":"1935-5548","issue":"Suppl 1","journalAbbreviation":"Diabetes Care","language":"eng","note":"PMID: 38078589\nPMCID: PMC10725812","page":"S20-S42","source":"PubMed","title":"2. Diagnosis and Classification of Diabetes: Standards of Care in Diabetes-2024","title-short":"2. Diagnosis and Classification of Diabetes","volume":"47","author":[{"literal":"American Diabetes Association Professional Practice Committee"}],"issued":{"date-parts":[["2024",1,1]]}}}],"schema":"https://github.com/citation-style-language/schema/raw/master/csl-citation.json"} </w:instrText>
      </w:r>
      <w:r>
        <w:fldChar w:fldCharType="separate"/>
      </w:r>
      <w:r w:rsidR="002D20B5" w:rsidRPr="002D20B5">
        <w:rPr>
          <w:rFonts w:ascii="Calibri" w:hAnsi="Calibri" w:cs="Calibri"/>
          <w:vertAlign w:val="superscript"/>
        </w:rPr>
        <w:t>207</w:t>
      </w:r>
      <w:r>
        <w:fldChar w:fldCharType="end"/>
      </w:r>
      <w:r>
        <w:t>.</w:t>
      </w:r>
    </w:p>
    <w:p w14:paraId="0056FEB5" w14:textId="4D009562" w:rsidR="00ED6CD4" w:rsidRPr="00524CA4" w:rsidRDefault="00ED6CD4" w:rsidP="00413B0E">
      <w:r w:rsidRPr="00524CA4">
        <w:t>Overall, the diagnostic accuracy of HbA1c for diabetes may be impacted by a series of factors (</w:t>
      </w:r>
      <w:proofErr w:type="spellStart"/>
      <w:r w:rsidRPr="00524CA4">
        <w:t>eg.</w:t>
      </w:r>
      <w:proofErr w:type="spellEnd"/>
      <w:r w:rsidRPr="00524CA4">
        <w:t xml:space="preserve"> Anaemia, duration of glucose exposure, uraemia, acidosis etc) which might be more relevant in the early </w:t>
      </w:r>
      <w:r w:rsidR="005F2A89" w:rsidRPr="00524CA4">
        <w:t>post-transplant</w:t>
      </w:r>
      <w:r w:rsidRPr="00524CA4">
        <w:t xml:space="preserve"> period. Therefore, ABCD and RA recommended that HbA1c ≥6.5% (48mmol/mol) may be used to diagnose PTDM in clinically stable solid organ transplant recipients after the first three months post-transplantation. It was also highlighted that isolated fasting or non-fasting glucose measurements will underdiagnose PTDM in transplant recipients just like in general population, and it was suggested that combining fasting plasma glucose (FPG) ≥7mmol/L and/or HbA1c &gt;6.5% (48mmol/mol) after the first 3 months will identify </w:t>
      </w:r>
      <w:proofErr w:type="gramStart"/>
      <w:r w:rsidRPr="00524CA4">
        <w:t>the majority of</w:t>
      </w:r>
      <w:proofErr w:type="gramEnd"/>
      <w:r w:rsidRPr="00524CA4">
        <w:t xml:space="preserve"> cases.  </w:t>
      </w:r>
    </w:p>
    <w:p w14:paraId="63F763FB" w14:textId="3E7238EF" w:rsidR="00ED6CD4" w:rsidRPr="00524CA4" w:rsidRDefault="00ED6CD4" w:rsidP="00413B0E">
      <w:r w:rsidRPr="00524CA4">
        <w:t xml:space="preserve">In relation to post transplant hyperglycaemia it was recommended that afternoon capillary blood glucose monitoring (AGM) is utilised to screen and monitor.  </w:t>
      </w:r>
    </w:p>
    <w:p w14:paraId="24C38780" w14:textId="77777777" w:rsidR="00ED6CD4" w:rsidRPr="005F2801" w:rsidRDefault="00ED6CD4" w:rsidP="00413B0E">
      <w:pPr>
        <w:pStyle w:val="GuidelineSubheadings"/>
      </w:pPr>
      <w:r w:rsidRPr="005F2801">
        <w:t>Management</w:t>
      </w:r>
    </w:p>
    <w:p w14:paraId="7C3201E1" w14:textId="3C824E90" w:rsidR="00ED6CD4" w:rsidRPr="00524CA4" w:rsidRDefault="00ED6CD4" w:rsidP="00413B0E">
      <w:r w:rsidRPr="00524CA4">
        <w:t>The management of pre-existing type 2 diabetes in transplant recipients should not differ from non-transplant patients, as long as the level of renal function and infection risk (specifically in relation to SGLT2 inhibitor use) is accounted for</w:t>
      </w:r>
      <w:r>
        <w:t xml:space="preserve"> </w:t>
      </w:r>
      <w:r>
        <w:fldChar w:fldCharType="begin"/>
      </w:r>
      <w:r w:rsidR="002D20B5">
        <w:instrText xml:space="preserve"> ADDIN ZOTERO_ITEM CSL_CITATION {"citationID":"HqUbVOb3","properties":{"formattedCitation":"\\super 208\\nosupersub{}","plainCitation":"208","noteIndex":0},"citationItems":[{"id":19241,"uris":["http://zotero.org/users/3444308/items/SYBWIH87"],"itemData":{"id":19241,"type":"article-journal","abstract":"People with diabetes and chronic kidney disease (CKD) are at high risk for kidney failure, atherosclerotic cardiovascular disease, heart failure, and premature mortality. Recent clinical trials support new approaches to treat diabetes and CKD. The 2022 American Diabetes Association (ADA) Standards of Medical Care in Diabetes and the Kidney Disease: Improving Global Outcomes (KDIGO) 2022 Clinical Practice Guideline for Diabetes Management in Chronic Kidney Disease each provide evidence-based recommendations for management. A joint group of ADA and KDIGO representatives reviewed and developed a series of consensus statements to guide clinical care from the ADA and KDIGO guidelines. The published guidelines are aligned in the areas of CKD screening and diagnosis, glycemia monitoring, lifestyle therapies, treatment goals, and pharmacologic management. Recommendations include comprehensive care in which pharmacotherapy that is proven to improve kidney and cardiovascular outcomes is layered on a foundation of healthy lifestyle. Consensus statements provide specific guidance on use of renin-angiotensin system inhibitors, metformin, sodium-glucose cotransporter-2 inhibitors, glucagon-like peptide 1 receptor agonists, and a nonsteroidal mineralocorticoid receptor antagonist. These areas of consensus provide clear direction for implementation of care to improve clinical outcomes of people with diabetes and CKD.","container-title":"Kidney International","DOI":"10.1016/j.kint.2022.08.012","ISSN":"1523-1755","issue":"5","journalAbbreviation":"Kidney Int","language":"eng","note":"PMID: 36202661","page":"974-989","source":"PubMed","title":"Diabetes management in chronic kidney disease: a consensus report by the American Diabetes Association (ADA) and Kidney Disease: Improving Global Outcomes (KDIGO)","title-short":"Diabetes management in chronic kidney disease","volume":"102","author":[{"family":"Boer","given":"Ian H.","non-dropping-particle":"de"},{"family":"Khunti","given":"Kamlesh"},{"family":"Sadusky","given":"Tami"},{"family":"Tuttle","given":"Katherine R."},{"family":"Neumiller","given":"Joshua J."},{"family":"Rhee","given":"Connie M."},{"family":"Rosas","given":"Sylvia E."},{"family":"Rossing","given":"Peter"},{"family":"Bakris","given":"George"}],"issued":{"date-parts":[["2022",11]]}}}],"schema":"https://github.com/citation-style-language/schema/raw/master/csl-citation.json"} </w:instrText>
      </w:r>
      <w:r>
        <w:fldChar w:fldCharType="separate"/>
      </w:r>
      <w:r w:rsidR="002D20B5" w:rsidRPr="002D20B5">
        <w:rPr>
          <w:rFonts w:ascii="Calibri" w:hAnsi="Calibri" w:cs="Calibri"/>
          <w:vertAlign w:val="superscript"/>
        </w:rPr>
        <w:t>208</w:t>
      </w:r>
      <w:r>
        <w:fldChar w:fldCharType="end"/>
      </w:r>
      <w:r w:rsidRPr="00524CA4">
        <w:t xml:space="preserve">. Regarding PTDM, the ABCD and RA joint document provides comprehensive guidance on the management. Starting from the early </w:t>
      </w:r>
      <w:proofErr w:type="spellStart"/>
      <w:r w:rsidRPr="00524CA4">
        <w:t>post transplant</w:t>
      </w:r>
      <w:proofErr w:type="spellEnd"/>
      <w:r w:rsidRPr="00524CA4">
        <w:t xml:space="preserve"> hyperglycaemia, it is recommended that early insulin therapy is considered as there is some evidence that this might reduce risk of PTDM later on </w:t>
      </w:r>
      <w:r>
        <w:fldChar w:fldCharType="begin"/>
      </w:r>
      <w:r w:rsidR="002D20B5">
        <w:instrText xml:space="preserve"> ADDIN ZOTERO_ITEM CSL_CITATION {"citationID":"8JzPjZEg","properties":{"formattedCitation":"\\super 209\\nosupersub{}","plainCitation":"209","noteIndex":0},"citationItems":[{"id":19240,"uris":["http://zotero.org/users/3444308/items/3PDIU35A"],"itemData":{"id":19240,"type":"article-journal","abstract":"No effective interventions to reduce risk for new-onset diabetes after transplantation (NODAT), a condition associated with postoperative hyperglycemia and reduced patient and graft survival, have been established. In this 1-year, proof-of-concept clinical trial, we randomly assigned 50 renal transplant recipients to immediate-postoperative isophane insulin for evening blood glucose ≥140 mg/dl (treatment group) or short-acting insulin and/or oral antidiabetic agents for blood glucose ≥180-250 mg/dl (standard-of-care control group). We included only patients without a history of diabetes who received tacrolimus. By the third postoperative evening, all patients in the treatment group had blood glucose ≥140 mg/dl and were subsequently treated with basal insulin; during the first 3 weeks after transplantation, the mean ± SD daily insulin dosage was 17±11 IU/d. Among controls, 23 (92%) of 25 had blood glucose ≥200 mg/dl and 18 (72%) of 25 received standard-of-care antihyperglycemic treatment. Asymptomatic hypoglycemia occurred five times in the treatment group and once in the control group. Throughout follow-up, the treatment group had 73% lower odds of NODAT (odds ratio, 0.27) than the control group, and hemoglobin A1c was on average 0.38% lower in the treatment group than the control group. Twelve months after transplantation, all patients in the treatment group were insulin-independent, whereas 7 (28%) of 25 controls required antidiabetic agents. The groups did not differ for insulin sensitivity, but the treatment group showed better β-cell function throughout the 1-year follow-up. In conclusion, this study suggests regimens that include basal insulin significantly reduce the odds for NODAT after renal transplantation, presumably via insulin-mediated protection of β cells.","container-title":"Journal of the American Society of Nephrology: JASN","DOI":"10.1681/ASN.2011080835","ISSN":"1533-3450","issue":"4","journalAbbreviation":"J Am Soc Nephrol","language":"eng","note":"PMID: 22343119\nPMCID: PMC3312499","page":"739-749","source":"PubMed","title":"Early basal insulin therapy decreases new-onset diabetes after renal transplantation","volume":"23","author":[{"family":"Hecking","given":"Manfred"},{"family":"Haidinger","given":"Michael"},{"family":"Döller","given":"Dominik"},{"family":"Werzowa","given":"Johannes"},{"family":"Tura","given":"Andrea"},{"family":"Zhang","given":"Jinyao"},{"family":"Tekoglu","given":"Hilal"},{"family":"Pleiner","given":"Johannes"},{"family":"Wrba","given":"Thomas"},{"family":"Rasoul-Rockenschaub","given":"Susanne"},{"family":"Mühlbacher","given":"Ferdinand"},{"family":"Schmaldienst","given":"Sabine"},{"family":"Druml","given":"Wilfred"},{"family":"Hörl","given":"Walter H."},{"family":"Krebs","given":"Michael"},{"family":"Wolzt","given":"Michael"},{"family":"Pacini","given":"Giovanni"},{"family":"Port","given":"Friedrich K."},{"family":"Säemann","given":"Marcus D."}],"issued":{"date-parts":[["2012",4]]}}}],"schema":"https://github.com/citation-style-language/schema/raw/master/csl-citation.json"} </w:instrText>
      </w:r>
      <w:r>
        <w:fldChar w:fldCharType="separate"/>
      </w:r>
      <w:r w:rsidR="002D20B5" w:rsidRPr="002D20B5">
        <w:rPr>
          <w:rFonts w:ascii="Calibri" w:hAnsi="Calibri" w:cs="Calibri"/>
          <w:vertAlign w:val="superscript"/>
        </w:rPr>
        <w:t>209</w:t>
      </w:r>
      <w:r>
        <w:fldChar w:fldCharType="end"/>
      </w:r>
      <w:r>
        <w:t>.</w:t>
      </w:r>
    </w:p>
    <w:p w14:paraId="143F96BC" w14:textId="4A4D4D89" w:rsidR="00ED6CD4" w:rsidRPr="00524CA4" w:rsidRDefault="00ED6CD4" w:rsidP="00413B0E">
      <w:r w:rsidRPr="00524CA4">
        <w:t>Consistently with the general population, the recommended glycaemic target is around 7% (53 mmol/mol), but should take into consideration the level of renal graft function, age, co-morbidity, ability to self-manage, and patient preference; this is along the same lines with NICE guidance for type 2 diabetes which recommends involving patients in decision making regarding their target</w:t>
      </w:r>
      <w:r>
        <w:t xml:space="preserve"> </w:t>
      </w:r>
      <w:r>
        <w:fldChar w:fldCharType="begin"/>
      </w:r>
      <w:r w:rsidR="002D20B5">
        <w:instrText xml:space="preserve"> ADDIN ZOTERO_ITEM CSL_CITATION {"citationID":"fVGBwhhH","properties":{"formattedCitation":"\\super 210\\nosupersub{}","plainCitation":"210","noteIndex":0},"citationItems":[{"id":19239,"uris":["http://zotero.org/users/3444308/items/872FI6PE"],"itemData":{"id":19239,"type":"report","abstract":"This guideline covers care and management for adults (aged 18 and over) with type 2 diabetes. It focuses on patient education, dietary advice, managing cardiovascular risk, managing blood glucose levels, and identifying and managing long-term complications","language":"eng","publisher":"NICE","title":"Type 2 diabetes in adults: management","title-short":"Type 2 diabetes in adults","URL":"https://www.nice.org.uk/guidance/ng28/","author":[{"literal":"National Institute for Health and Care Excellence"}],"accessed":{"date-parts":[["2025",10,25]]},"issued":{"date-parts":[["2015",12,2]]}}}],"schema":"https://github.com/citation-style-language/schema/raw/master/csl-citation.json"} </w:instrText>
      </w:r>
      <w:r>
        <w:fldChar w:fldCharType="separate"/>
      </w:r>
      <w:r w:rsidR="002D20B5" w:rsidRPr="002D20B5">
        <w:rPr>
          <w:rFonts w:ascii="Calibri" w:hAnsi="Calibri" w:cs="Calibri"/>
          <w:vertAlign w:val="superscript"/>
        </w:rPr>
        <w:t>210</w:t>
      </w:r>
      <w:r>
        <w:fldChar w:fldCharType="end"/>
      </w:r>
      <w:r>
        <w:t>.</w:t>
      </w:r>
    </w:p>
    <w:p w14:paraId="668674EC" w14:textId="77777777" w:rsidR="00ED6CD4" w:rsidRPr="00524CA4" w:rsidRDefault="00ED6CD4" w:rsidP="00413B0E">
      <w:r w:rsidRPr="00524CA4">
        <w:t xml:space="preserve">It is recommended that </w:t>
      </w:r>
      <w:proofErr w:type="gramStart"/>
      <w:r w:rsidRPr="00524CA4">
        <w:t>overall</w:t>
      </w:r>
      <w:proofErr w:type="gramEnd"/>
      <w:r w:rsidRPr="00524CA4">
        <w:t xml:space="preserve"> the same principles of treatment should apply as per in type 2 diabetes and should be offered structured diabetes education and care including screening and management of complications. Diet and lifestyle changes play a principal role as in type 2 diabetes. </w:t>
      </w:r>
    </w:p>
    <w:p w14:paraId="78472B8C" w14:textId="5747E04F" w:rsidR="00ED6CD4" w:rsidRPr="00524CA4" w:rsidRDefault="00ED6CD4" w:rsidP="00413B0E">
      <w:r w:rsidRPr="00524CA4">
        <w:lastRenderedPageBreak/>
        <w:t>With regards to pharmacotherapy, the landscape of glucose lowering therapy in diabetes has completely changed over the recent years following robust evidence of cardiovascular and mortality benefits of SGLT2 inhibitors and GLP1 RAs which have led to changes in international guidelines for diabetes.</w:t>
      </w:r>
    </w:p>
    <w:p w14:paraId="5D5E8F1F" w14:textId="53B7338B" w:rsidR="00ED6CD4" w:rsidRPr="00524CA4" w:rsidRDefault="00ED6CD4" w:rsidP="00413B0E">
      <w:pPr>
        <w:rPr>
          <w:shd w:val="clear" w:color="auto" w:fill="FFFFFF"/>
        </w:rPr>
      </w:pPr>
      <w:r w:rsidRPr="00524CA4">
        <w:t xml:space="preserve">The 2021 ABCD – RA guidance recommended metformin as first line for patients with stable eGFR &gt;30 </w:t>
      </w:r>
      <w:proofErr w:type="spellStart"/>
      <w:r w:rsidRPr="00524CA4">
        <w:t>mls</w:t>
      </w:r>
      <w:proofErr w:type="spellEnd"/>
      <w:r w:rsidRPr="00524CA4">
        <w:t>/min/1.73m</w:t>
      </w:r>
      <w:r w:rsidRPr="00BB59C2">
        <w:rPr>
          <w:vertAlign w:val="superscript"/>
        </w:rPr>
        <w:t>2</w:t>
      </w:r>
      <w:r w:rsidRPr="00524CA4">
        <w:t xml:space="preserve"> and BMI &gt;25 kg/m</w:t>
      </w:r>
      <w:r w:rsidRPr="00BB59C2">
        <w:rPr>
          <w:vertAlign w:val="superscript"/>
        </w:rPr>
        <w:t>2</w:t>
      </w:r>
      <w:r w:rsidRPr="00524CA4">
        <w:t xml:space="preserve">, and suggested that other glucose lowering agents (namely sulfonylureas, meglitinides, DPP-4 inhibitors, pioglitazone and GLP-1 analogues) may be used as long as eGFR level and hypoglycaemia risk is accounted for. Metformin use has not been associated with any specific adverse events in transplant recipients </w:t>
      </w:r>
      <w:r>
        <w:fldChar w:fldCharType="begin"/>
      </w:r>
      <w:r w:rsidR="002D20B5">
        <w:instrText xml:space="preserve"> ADDIN ZOTERO_ITEM CSL_CITATION {"citationID":"orj7hWU7","properties":{"formattedCitation":"\\super 211\\uc0\\u8211{}213\\nosupersub{}","plainCitation":"211–213","noteIndex":0},"citationItems":[{"id":19238,"uris":["http://zotero.org/users/3444308/items/T897RJU9"],"itemData":{"id":19238,"type":"article-journal","abstract":"BACKGROUND: Post transplantation diabetes mellitus (PTDM) is a common and serious complication after renal transplantation with significant morbidity and mortality. Metformin has proven benefits in the general population and might be advantageous in the prevention and management of PTDM.\nMETHODS: Transplantation and Diabetes (Transdiab) is a single-centre, unblinded, pilot randomised controlled trial assessing the feasibility, tolerability and efficacy of metformin after renal transplantation in patients with impaired glucose tolerance (IGT). Participants had an oral glucose tolerance test (OGTT) in the 4-12</w:instrText>
      </w:r>
      <w:r w:rsidR="002D20B5">
        <w:rPr>
          <w:rFonts w:ascii="Arial" w:hAnsi="Arial" w:cs="Arial"/>
        </w:rPr>
        <w:instrText> </w:instrText>
      </w:r>
      <w:r w:rsidR="002D20B5">
        <w:instrText>weeks post-transplantation; those with IGT were randomised to standard care or standard care and metformin 500</w:instrText>
      </w:r>
      <w:r w:rsidR="002D20B5">
        <w:rPr>
          <w:rFonts w:ascii="Arial" w:hAnsi="Arial" w:cs="Arial"/>
        </w:rPr>
        <w:instrText> </w:instrText>
      </w:r>
      <w:r w:rsidR="002D20B5">
        <w:instrText>mg twice daily and followed up for 12</w:instrText>
      </w:r>
      <w:r w:rsidR="002D20B5">
        <w:rPr>
          <w:rFonts w:ascii="Arial" w:hAnsi="Arial" w:cs="Arial"/>
        </w:rPr>
        <w:instrText> </w:instrText>
      </w:r>
      <w:r w:rsidR="002D20B5">
        <w:instrText>months.\nRESULTS: Seventy eight patients had an OGTT over 24</w:instrText>
      </w:r>
      <w:r w:rsidR="002D20B5">
        <w:rPr>
          <w:rFonts w:ascii="Arial" w:hAnsi="Arial" w:cs="Arial"/>
        </w:rPr>
        <w:instrText> </w:instrText>
      </w:r>
      <w:r w:rsidR="002D20B5">
        <w:instrText xml:space="preserve">months, 25 of them had IGT, of those, 19 patients were randomised, giving a feasibility of recruitment of 24.4%. Ten patients were randomised to metformin and 9 patients to standard care. Tolerability and efficacy was similar between the 2 groups with no serious adverse events. There was no difference in secondary outcomes relating to the metabolic profile.\nCONCLUSIONS: The use of metformin post renal transplantation appeared feasible and safe. Larger randomised controlled trials (RCTs) are needed to establish and confirm the efficacy and safety of metformin post renal transplantation.\nTRIAL REGISTRATION: Australian New Zealand Clinical Trials Registry ACTRN12614001171606 . Date of registration 7/11/2014.","container-title":"BMC nephrology","DOI":"10.1186/s12882-019-1321-2","ISSN":"1471-2369","issue":"1","journalAbbreviation":"BMC Nephrol","language":"eng","note":"PMID: 31035960\nPMCID: PMC6489311","page":"147","source":"PubMed","title":"Transplantation and diabetes (Transdiab): a pilot randomised controlled trial of metformin in impaired glucose tolerance after kidney transplantation","title-short":"Transplantation and diabetes (Transdiab)","volume":"20","author":[{"family":"Alnasrallah","given":"Basil"},{"family":"Goh","given":"Tze Liang"},{"family":"Chan","given":"Lai Wan"},{"family":"Manley","given":"Paul"},{"family":"Pilmore","given":"Helen"}],"issued":{"date-parts":[["2019",4,29]]}}},{"id":19237,"uris":["http://zotero.org/users/3444308/items/XLJVINJG"],"itemData":{"id":19237,"type":"article-journal","abstract":"BACKGROUND/AIMS: Although metformin is contraindicated in patients with increased serum creatinine levels (≥1.5 mg/dl in men, ≥1.4 mg/dl in women) in the United States, its use has not been systematically examined in kidney transplant recipients. We aimed to determine the frequency of metformin use and its associations among kidney transplant recipients, and to assess allograft and patient survival associated with metformin use.\nMETHODS: In this retrospective cohort study, we linked Scientific Registry of Transplant Recipients data for all incident kidney transplants 2001-2012 and national pharmacy claims (n = 46,914). We compared recipients having one or more pharmacy claims for a metformin-containing product (n = 4,609) and recipients having one or more claims for a non-metformin glucose-lowering agent (n = 42,305).\nRESULTS: On average, metformin claims were filled later after transplant and were associated with higher estimated glomerular filtration rates before the first claim. Median serum creatinine (mg/dl) levels before the first claim were lower in recipients with metformin claims than in those with non-metformin claims (1.3 [interquartile range 1.0-1.7] vs. 1.6 [1.2-2.5], respectively; p &lt; 0.0001). Metformin was associated with lower adjusted hazards for living donor (0.55, 95% confidence interval 0.38-0.80; p = 0.002) and deceased donor (0.55, 0.44-0.70; p &lt; 0.0001) allograft survival at 3 years posttransplant, and with lower mortality.\nCONCLUSIONS: Despite metformin being contraindicated in renal dysfunction, many kidney transplant recipients receive it, and it is not associated with worse patient or allograft survival.","container-title":"American Journal of Nephrology","DOI":"10.1159/000370034","ISSN":"1421-9670","issue":"6","journalAbbreviation":"Am J Nephrol","language":"eng","note":"PMID: 25613554","page":"546-553","source":"PubMed","title":"Metformin use in kidney transplant recipients in the United States: an observational study","title-short":"Metformin use in kidney transplant recipients in the United States","volume":"40","author":[{"family":"Stephen","given":"Jenise"},{"family":"Anderson-Haag","given":"Teresa L."},{"family":"Gustafson","given":"Sally"},{"family":"Snyder","given":"Jon J."},{"family":"Kasiske","given":"Bertram L."},{"family":"Israni","given":"Ajay K."}],"issued":{"date-parts":[["2014"]]}}},{"id":19236,"uris":["http://zotero.org/users/3444308/items/PXM26YBF"],"itemData":{"id":19236,"type":"article-journal","abstract":"While guidelines support metformin as a therapeutic option for diabetic patients with mild-to-moderate renal insufficiency, the frequency and outcomes of metformin use in kidney transplant recipients are not well described. We integrated national U.S. transplant registry data with records from a large pharmaceutical claims clearinghouse (2008-2015). Associations (adjusted hazard ratio, 95% LCL aHR95% UCL ) of diabetes regimens (with and excluding metformin) in the first year post-transplant with patient and graft survival over the subsequent year were quantified by multivariate Cox regression, adjusted for recipient, donor, and transplant factors and propensity for metformin use. Among 14 144 recipients with pretransplant type 2 diabetes mellitus, 4.7% filled metformin in the first year post-transplant; most also received diabetes comedications. Compared to those who received insulin-based regimens without metformin, patients who received metformin were more likely to be female, have higher estimated glomerular filtration rates, and have undergone transplant more recently. Metformin-based regimens were associated with significantly lower adjusted all-cause (aHR 0.18 0.410.91 ), malignancy-related (aHR 0.45 0.450.99 ), and infection-related (aHR 0.12 0.320.85 ) mortality, and nonsignificant trends toward lower cardiovascular mortality, graft failure, and acute rejection. No evidence of increased adverse graft or patient outcomes was noted. Use of metformin-based diabetes treatment regimens may be safe in carefully selected kidney transplant recipients.","container-title":"Clinical Transplantation","DOI":"10.1111/ctr.13302","ISSN":"1399-0012","issue":"8","journalAbbreviation":"Clin Transplant","language":"eng","note":"PMID: 29851159\nPMCID: PMC6122956","page":"e13302","source":"PubMed","title":"Metformin use in the first year after kidney transplant, correlates, and associated outcomes in diabetic transplant recipients: A retrospective analysis of integrated registry and pharmacy claims data","title-short":"Metformin use in the first year after kidney transplant, correlates, and associated outcomes in diabetic transplant recipients","volume":"32","author":[{"family":"Vest","given":"L. S."},{"family":"Koraishy","given":"F. M."},{"family":"Zhang","given":"Z."},{"family":"Lam","given":"N. N."},{"family":"Schnitzler","given":"M. A."},{"family":"Dharnidharka","given":"V. R."},{"family":"Axelrod","given":"D."},{"family":"Naik","given":"A. S."},{"family":"Alhamad","given":"T. A."},{"family":"Kasiske","given":"B. L."},{"family":"Hess","given":"G. P."},{"family":"Lentine","given":"K. L."}],"issued":{"date-parts":[["2018",8]]}}}],"schema":"https://github.com/citation-style-language/schema/raw/master/csl-citation.json"} </w:instrText>
      </w:r>
      <w:r>
        <w:fldChar w:fldCharType="separate"/>
      </w:r>
      <w:r w:rsidR="002D20B5" w:rsidRPr="002D20B5">
        <w:rPr>
          <w:rFonts w:ascii="Calibri" w:hAnsi="Calibri" w:cs="Calibri"/>
          <w:vertAlign w:val="superscript"/>
        </w:rPr>
        <w:t>211–213</w:t>
      </w:r>
      <w:r>
        <w:fldChar w:fldCharType="end"/>
      </w:r>
      <w:r>
        <w:rPr>
          <w:shd w:val="clear" w:color="auto" w:fill="FFFFFF"/>
        </w:rPr>
        <w:t>.</w:t>
      </w:r>
    </w:p>
    <w:p w14:paraId="5AA3CF45" w14:textId="08B7D150" w:rsidR="00ED6CD4" w:rsidRPr="00524CA4" w:rsidRDefault="00ED6CD4" w:rsidP="00413B0E">
      <w:r w:rsidRPr="00524CA4">
        <w:t>With regards to SGLT2 inhibitors it was recommended that they can be used with caution in patients with stable eGFR &gt;30ml/min/1.73m</w:t>
      </w:r>
      <w:r w:rsidRPr="007102A4">
        <w:rPr>
          <w:vertAlign w:val="superscript"/>
        </w:rPr>
        <w:t>2</w:t>
      </w:r>
      <w:r w:rsidRPr="00524CA4">
        <w:t xml:space="preserve"> and low risk of urinary tract infection, and in collaboration with diabetes specialists. Nevertheless, since then further evidence has emerged especially in relation to SGLT2 inhibitors and GLP1 analogues use in non-transplant patients and their associated benefits on cardiovascular and renal outcomes. Though there are no randomised controlled trials in transplant recipients, there is accumulating evidence from observational cohorts their use is not associated with any specific safety concerns. </w:t>
      </w:r>
    </w:p>
    <w:p w14:paraId="59536A33" w14:textId="6E9B8616" w:rsidR="00ED6CD4" w:rsidRPr="00524CA4" w:rsidRDefault="00ED6CD4" w:rsidP="00413B0E">
      <w:pPr>
        <w:rPr>
          <w:shd w:val="clear" w:color="auto" w:fill="FFFFFF"/>
        </w:rPr>
      </w:pPr>
      <w:r w:rsidRPr="00524CA4">
        <w:rPr>
          <w:shd w:val="clear" w:color="auto" w:fill="FFFFFF"/>
        </w:rPr>
        <w:t xml:space="preserve">With regards to the use SGLT2 inhibitors use in transplant recipients, </w:t>
      </w:r>
      <w:proofErr w:type="gramStart"/>
      <w:r w:rsidRPr="00524CA4">
        <w:rPr>
          <w:shd w:val="clear" w:color="auto" w:fill="FFFFFF"/>
        </w:rPr>
        <w:t>the majority of</w:t>
      </w:r>
      <w:proofErr w:type="gramEnd"/>
      <w:r w:rsidRPr="00524CA4">
        <w:rPr>
          <w:shd w:val="clear" w:color="auto" w:fill="FFFFFF"/>
        </w:rPr>
        <w:t xml:space="preserve"> data derives from small retrospective or non-randomised prospective studies. Overall, their use is associated with modest HbA1c and weight reductions, without significant side effects. A small prospective double blinded placebo (n=44) controlled study showed that empagliflozin was efficacious and safe in transplant recipients with PTDM and stable eGFR above 30 </w:t>
      </w:r>
      <w:r>
        <w:rPr>
          <w:shd w:val="clear" w:color="auto" w:fill="FFFFFF"/>
        </w:rPr>
        <w:fldChar w:fldCharType="begin"/>
      </w:r>
      <w:r w:rsidR="002D20B5">
        <w:rPr>
          <w:shd w:val="clear" w:color="auto" w:fill="FFFFFF"/>
        </w:rPr>
        <w:instrText xml:space="preserve"> ADDIN ZOTERO_ITEM CSL_CITATION {"citationID":"aRvrAt0H","properties":{"formattedCitation":"\\super 214\\nosupersub{}","plainCitation":"214","noteIndex":0},"citationItems":[{"id":19092,"uris":["http://zotero.org/users/3444308/items/CP89DPG2","http://zotero.org/users/3444308/items/7GU5BP6H"],"itemData":{"id":19092,"type":"article-journal","abstract":"OBJECTIVE: Sodium-glucose cotransporter 2 (SGLT2) inhibitors have lately become the recommended treatment in patients with type 2 diabetes and high cardiovascular risk. Patients with posttransplant diabetes mellitus (PTDM) also have high cardiovascular risk. The aim of this study was to investigate the safety and efficacy of empagliflozin in renal transplant recipients with PTDM.\nRESEARCH DESIGN AND METHODS: Forty-nine renal transplant recipients were included in an investigator-initiated, single-center, prospective, double-blind study and randomized to receive either 10 mg empagliflozin or placebo once daily for 24 weeks. Patients transplanted &gt;1 year ago, diagnosed with PTDM, with stable renal function (estimated glomerular filtration rate [eGFR] &gt;30 mL/min/1.73 m2), and with stable immunosuppressive therapy were studied.\nRESULTS: Forty-four renal transplant recipients (22 empagliflozin/22 placebo, 34 males) completed the study. Median (interquartile range) change in glycated hemoglobin (HbA1c) was significantly reduced with empagliflozin compared with placebo: -0.2% (-0.6, -0.1) (-2.0 mmol/mol [-6.5, -1.0]) vs. 0.1% (-0.1, 0.4) (1.0 mmol/mol [-0.75, 3.8]) (P = 0.025). The magnitude of glucose reduction was dependent on GFR and baseline HbA1c. The treatment also resulted in a significant reduction in body weight of -2.5 kg (-4.0, -0.05) compared with an increase of 1.0 kg (0.0, 2.0) in the placebo group (P = 0.014). There were no significant differences between the groups in adverse events, immunosuppressive drug levels, or eGFR.\nCONCLUSIONS: Empagliflozin appeared safe and improved glycemic control in renal transplant recipients with PTDM compared with placebo. A concomitant reduction in body weight was seen.","container-title":"Diabetes Care","DOI":"10.2337/dc19-0093","ISSN":"1935-5548","issue":"6","journalAbbreviation":"Diabetes Care","language":"eng","note":"PMID: 30862658","page":"1067-1074","source":"PubMed","title":"Efficacy and Safety of Empagliflozin in Renal Transplant Recipients With Posttransplant Diabetes Mellitus","volume":"42","author":[{"family":"Halden","given":"Thea Anine Strøm"},{"family":"Kvitne","given":"Kine Eide"},{"family":"Midtvedt","given":"Karsten"},{"family":"Rajakumar","given":"Laavanyaah"},{"family":"Robertsen","given":"Ida"},{"family":"Brox","given":"Jan"},{"family":"Bollerslev","given":"Jens"},{"family":"Hartmann","given":"Anders"},{"family":"Åsberg","given":"Anders"},{"family":"Jenssen","given":"Trond"}],"issued":{"date-parts":[["2019",6]]}}}],"schema":"https://github.com/citation-style-language/schema/raw/master/csl-citation.json"} </w:instrText>
      </w:r>
      <w:r>
        <w:rPr>
          <w:shd w:val="clear" w:color="auto" w:fill="FFFFFF"/>
        </w:rPr>
        <w:fldChar w:fldCharType="separate"/>
      </w:r>
      <w:r w:rsidR="002D20B5" w:rsidRPr="002D20B5">
        <w:rPr>
          <w:rFonts w:ascii="Calibri" w:hAnsi="Calibri" w:cs="Calibri"/>
          <w:vertAlign w:val="superscript"/>
        </w:rPr>
        <w:t>214</w:t>
      </w:r>
      <w:r>
        <w:rPr>
          <w:shd w:val="clear" w:color="auto" w:fill="FFFFFF"/>
        </w:rPr>
        <w:fldChar w:fldCharType="end"/>
      </w:r>
      <w:r>
        <w:rPr>
          <w:shd w:val="clear" w:color="auto" w:fill="FFFFFF"/>
        </w:rPr>
        <w:t>.</w:t>
      </w:r>
    </w:p>
    <w:p w14:paraId="4A4304D8" w14:textId="2D494BAA" w:rsidR="00ED6CD4" w:rsidRPr="00413B0E" w:rsidRDefault="00ED6CD4" w:rsidP="00413B0E">
      <w:pPr>
        <w:rPr>
          <w:shd w:val="clear" w:color="auto" w:fill="FFFFFF"/>
        </w:rPr>
      </w:pPr>
      <w:r w:rsidRPr="00524CA4">
        <w:rPr>
          <w:shd w:val="clear" w:color="auto" w:fill="FFFFFF"/>
        </w:rPr>
        <w:t>In a retrospective, propensity score-matched analysis (total n = 2081) SGLT2 inhibitor use (n=226) reduced the composite outcome of all-cause mortality, death-censored graft failure (DCGF), and serum creatinine doubling without any significant adverse events</w:t>
      </w:r>
      <w:r>
        <w:rPr>
          <w:shd w:val="clear" w:color="auto" w:fill="FFFFFF"/>
        </w:rPr>
        <w:t xml:space="preserve"> </w:t>
      </w:r>
      <w:r>
        <w:rPr>
          <w:shd w:val="clear" w:color="auto" w:fill="FFFFFF"/>
        </w:rPr>
        <w:fldChar w:fldCharType="begin"/>
      </w:r>
      <w:r w:rsidR="002D20B5">
        <w:rPr>
          <w:shd w:val="clear" w:color="auto" w:fill="FFFFFF"/>
        </w:rPr>
        <w:instrText xml:space="preserve"> ADDIN ZOTERO_ITEM CSL_CITATION {"citationID":"UlTDSSYz","properties":{"formattedCitation":"\\super 215\\nosupersub{}","plainCitation":"215","noteIndex":0},"citationItems":[{"id":19082,"uris":["http://zotero.org/users/3444308/items/7RNY4SUT","http://zotero.org/users/3444308/items/HFA5EMH3"],"itemData":{"id":19082,"type":"article-journal","abstract":"BACKGROUND: The efficacy and safety of sodium-glucose cotransporter 2 inhibitors (SGLT2i) have not been investigated in kidney transplant recipients (KTRs) with diabetes. We evaluated the impact of SGLT2i in a multicenter cohort of diabetic KTRs.\nMETHODS: A total of 2083 KTRs with diabetes were enrolled from 6 transplant centers in Korea. Among them, 226 (10.8%) patients were prescribed SGLT2i for &gt;90 d. The primary outcome was a composite outcome of all-cause mortality, death-censored graft failure (DCGF), and serum creatinine doubling. An acute dip in estimated glomerular filtration rate (eGFR) over 10% was surveyed after SGLT2i use.\nRESULTS: During the mean follow-up of 62.9 ± 42.2 mo, the SGLT2i group had a lower risk of primary composite outcome than the control group in the multivariate and propensity score-matched models (adjusted hazard ratio, 0.43; 95% confidence interval, 0.24-0.78; P = 0.006 and adjusted hazard ratio, 0.45; 95% confidence interval, 0.24-0.85; P = 0.013, respectively). Multivariate analyses consistently showed a decreased risk of DCGF and serum creatinine doubling in the SGLT2i group. The overall eGFR remained stable without the initial dip after SGLT2i use. A minority (15.6%) of the SGLT2i users showed acute eGFR dip during the first month, but the eGFR recovered thereafter. The risk factors for the eGFR dip were time from transplantation to SGLT2i usage and mean tacrolimus trough level.\nCONCLUSIONS: SGLT2i improved a composite of all-cause mortality, DCGF, or serum creatinine doubling in KTRs. SGLT2i can be used safely and have beneficial effects on preserving graft function in diabetic KTRs.","container-title":"Transplantation","DOI":"10.1097/TP.0000000000004228","ISSN":"1534-6080","issue":"9","journalAbbreviation":"Transplantation","language":"eng","note":"PMID: 35768908","page":"e404-e412","source":"PubMed","title":"The Efficacy and Safety of SGLT2 Inhibitor in Diabetic Kidney Transplant Recipients","volume":"106","author":[{"family":"Lim","given":"Jeong-Hoon"},{"family":"Kwon","given":"Soie"},{"family":"Jeon","given":"Yena"},{"family":"Kim","given":"Young Hoon"},{"family":"Kwon","given":"Hyunwook"},{"family":"Kim","given":"Yon Su"},{"family":"Lee","given":"Hajeong"},{"family":"Kim","given":"Yong-Lim"},{"family":"Kim","given":"Chan-Duck"},{"family":"Park","given":"Sun-Hee"},{"family":"Lee","given":"Jong Soo"},{"family":"Yoo","given":"Kyung Don"},{"family":"Son","given":"Hyung Eun"},{"family":"Jeong","given":"Jong Cheol"},{"family":"Lee","given":"Jeonghwan"},{"family":"Lee","given":"Jung Pyo"},{"family":"Cho","given":"Jang-Hee"}],"issued":{"date-parts":[["2022",9,1]]}}}],"schema":"https://github.com/citation-style-language/schema/raw/master/csl-citation.json"} </w:instrText>
      </w:r>
      <w:r>
        <w:rPr>
          <w:shd w:val="clear" w:color="auto" w:fill="FFFFFF"/>
        </w:rPr>
        <w:fldChar w:fldCharType="separate"/>
      </w:r>
      <w:r w:rsidR="002D20B5" w:rsidRPr="002D20B5">
        <w:rPr>
          <w:rFonts w:ascii="Calibri" w:hAnsi="Calibri" w:cs="Calibri"/>
          <w:vertAlign w:val="superscript"/>
        </w:rPr>
        <w:t>215</w:t>
      </w:r>
      <w:r>
        <w:rPr>
          <w:shd w:val="clear" w:color="auto" w:fill="FFFFFF"/>
        </w:rPr>
        <w:fldChar w:fldCharType="end"/>
      </w:r>
      <w:r w:rsidRPr="00524CA4">
        <w:rPr>
          <w:shd w:val="clear" w:color="auto" w:fill="FFFFFF"/>
        </w:rPr>
        <w:t xml:space="preserve"> [ongoing studies – NCT05374291, NCT06140537, NCT04906213]</w:t>
      </w:r>
      <w:r>
        <w:rPr>
          <w:shd w:val="clear" w:color="auto" w:fill="FFFFFF"/>
        </w:rPr>
        <w:t>.</w:t>
      </w:r>
    </w:p>
    <w:p w14:paraId="7864C1F8" w14:textId="3D06A4AC" w:rsidR="00ED6CD4" w:rsidRPr="00524CA4" w:rsidRDefault="00ED6CD4" w:rsidP="00413B0E">
      <w:pPr>
        <w:rPr>
          <w:shd w:val="clear" w:color="auto" w:fill="FFFFFF"/>
        </w:rPr>
      </w:pPr>
      <w:r w:rsidRPr="00524CA4">
        <w:t>GLP-1 receptor agonists have been in use for type 2 diabetes for some time now, but it has not been up until the last few years that substantial evidence emerged regarding their cardioprotective and weight-loss benefit. The limited evidence available from experience with transplant recipients suggests improved glycaemic control and weight loss, with gastrointestinal being the most common side effects but no interaction with immunosuppression levels or other safety issues. A recent meta-analysis reported on the safety and efficacy of GLP-1 receptor agonists in renal transplant recipients (n=338) confirmed the above also reporting an improvement in proteinuria</w:t>
      </w:r>
      <w:r>
        <w:t xml:space="preserve"> </w:t>
      </w:r>
      <w:r>
        <w:fldChar w:fldCharType="begin"/>
      </w:r>
      <w:r w:rsidR="002D20B5">
        <w:instrText xml:space="preserve"> ADDIN ZOTERO_ITEM CSL_CITATION {"citationID":"ksh5KPWY","properties":{"formattedCitation":"\\super 216\\nosupersub{}","plainCitation":"216","noteIndex":0},"citationItems":[{"id":19235,"uris":["http://zotero.org/users/3444308/items/3UAA7M9Y"],"itemData":{"id":19235,"type":"article-journal","abstract":"BACKGROUND: Evidence supporting glucagon-like peptide-1 receptor agonists (GLP-1RAs) in kidney transplant recipients (KTRs) remains scarce. This systematic review and meta-analysis aims to evaluate the safety and efficacy of GLP-1RAs in this population.\nMETHODS: A comprehensive literature search was conducted in the MEDLINE, Embase and Cochrane databases from inception through May 2023. Clinical trials and observational studies that reported on the safety or efficacy outcomes of GLP-1RAs in adult KTRs were included. Kidney graft function, glycaemic and metabolic parameters, weight, cardiovascular outcomes and adverse events were evaluated. Outcome measures used for analysis included pooled odds ratios (ORs) with 95% confidence intervals (CIs) for dichotomous outcomes and standardized mean difference (SMD) or mean difference (MD) with 95% CI for continuous outcomes. The protocol was registered in the International Prospective Register of Systematic Reviews (CRD 42023426190).\nRESULTS: Nine cohort studies with a total of 338 KTRs were included. The median follow-up was 12 months (interquartile range 6-23). While treatment with GLP-1RAs did not yield a significant change in estimated glomerular filtration rate [SMD -0.07 ml/min/1.73 m2 (95% CI -0.64-0.50)] or creatinine [SMD -0.08 mg/dl (95% CI -0.44-0.28)], they were associated with a significant decrease in urine protein:creatinine ratio [SMD -0.47 (95% CI -0.77 to -0.18)] and haemoglobin A1c levels [MD -0.85% (95% CI -1.41 to -0.28)]. Total daily insulin dose, weight and body mass index also decreased significantly. Tacrolimus levels remained stable [MD -0.43 ng/ml (95% CI -0.99 to 0.13)]. Side effects were primarily nausea and vomiting (17.6%), diarrhoea (7.6%) and injection site pain (5.4%).\nCONCLUSIONS: GLP-1RAs are effective in reducing proteinuria, improving glycaemic control and supporting weight loss in KTRs, without altering tacrolimus levels. Gastrointestinal symptoms are the main side effects.","container-title":"Clinical Kidney Journal","DOI":"10.1093/ckj/sfae018","ISSN":"2048-8505","issue":"2","journalAbbreviation":"Clin Kidney J","language":"eng","note":"PMID: 38410684\nPMCID: PMC10896177","page":"sfae018","source":"PubMed","title":"Safety and efficacy of glucagon-like peptide-1 receptor agonists among kidney transplant recipients: a systematic review and meta-analysis","title-short":"Safety and efficacy of glucagon-like peptide-1 receptor agonists among kidney transplant recipients","volume":"17","author":[{"family":"Krisanapan","given":"Pajaree"},{"family":"Suppadungsuk","given":"Supawadee"},{"family":"Sanpawithayakul","given":"Kanokporn"},{"family":"Thongprayoon","given":"Charat"},{"family":"Pattharanitima","given":"Pattharawin"},{"family":"Tangpanithandee","given":"Supawit"},{"family":"Mao","given":"Michael A."},{"family":"Miao","given":"Jing"},{"family":"Cheungpasitporn","given":"Wisit"}],"issued":{"date-parts":[["2024",2]]}}}],"schema":"https://github.com/citation-style-language/schema/raw/master/csl-citation.json"} </w:instrText>
      </w:r>
      <w:r>
        <w:fldChar w:fldCharType="separate"/>
      </w:r>
      <w:r w:rsidR="002D20B5" w:rsidRPr="002D20B5">
        <w:rPr>
          <w:rFonts w:ascii="Calibri" w:hAnsi="Calibri" w:cs="Calibri"/>
          <w:vertAlign w:val="superscript"/>
        </w:rPr>
        <w:t>216</w:t>
      </w:r>
      <w:r>
        <w:fldChar w:fldCharType="end"/>
      </w:r>
      <w:r w:rsidRPr="00524CA4">
        <w:t>.</w:t>
      </w:r>
    </w:p>
    <w:p w14:paraId="4C7230D1" w14:textId="49FA9038" w:rsidR="00ED6CD4" w:rsidRPr="00524CA4" w:rsidRDefault="00ED6CD4" w:rsidP="00413B0E">
      <w:proofErr w:type="spellStart"/>
      <w:r w:rsidRPr="00524CA4">
        <w:t>Dipeptidylpeptidase</w:t>
      </w:r>
      <w:proofErr w:type="spellEnd"/>
      <w:r w:rsidRPr="00524CA4">
        <w:t xml:space="preserve"> 4 (DPP4) inhibitors have been the most commonly prescribed in the kidney transplant population mainly due to their unrestricted (for linagliptin) use even in severe renal impairment and favourable safety profile</w:t>
      </w:r>
      <w:r>
        <w:t xml:space="preserve"> </w:t>
      </w:r>
      <w:r>
        <w:fldChar w:fldCharType="begin"/>
      </w:r>
      <w:r w:rsidR="002D20B5">
        <w:instrText xml:space="preserve"> ADDIN ZOTERO_ITEM CSL_CITATION {"citationID":"rss0fRMW","properties":{"formattedCitation":"\\super 217\\nosupersub{}","plainCitation":"217","noteIndex":0},"citationItems":[{"id":19234,"uris":["http://zotero.org/users/3444308/items/6YCB94H5"],"itemData":{"id":19234,"type":"article-journal","abstract":"Uncontrolled type 2 diabetes mellitus (T2DM) and post-transplant diabetes mellitus (PTDM) increase morbidity and mortality after kidney transplantation. Conventional strategies for diabetes management in this population include metformin, sulfonylureas, meglitinides and insulin. Limitations with these agents, as well as promising new antihyperglycemic agents, create a need and opportunity to explore additional options for transplant diabetes pharmacotherapy. Novel agents including sodium glucose co-transporter 2 inhibitors (SGLT2i), glucagon-like peptide-1 receptor agonists (GLP1RA), and dipeptidyl peptidase IV inhibitors (DPP4i) demonstrate great promise for T2DM management in the non-transplant population. Moreover, many of these agents possess renoprotective, cardiovascular, and/or weight loss benefits in addition to improved glucose control while having reduced risk of hypoglycemia compared with certain other conventional agents. This comprehensive review examines available literature evaluating the use of novel antihyperglycemic agents in kidney transplant recipients (KTR) with T2DM or PTDM. Formal grading of recommendations assessment, development, and evaluation (GRADE) system recommendations are provided to guide incorporation of these agents into post-transplant care. Available literature was evaluated to address the clinical questions of which agents provide greatest short- and long-term benefits, timing of novel antihyperglycemic therapy initiation after transplant, monitoring parameters for these antihyperglycemic agents, and concomitant antihyperglycemic agent and immunosuppression regimen management. Current experience with novel antihyperglycemic agents is primarily limited to single-center retrospective studies and case series. With ongoing use and increasing comfort, further and more robust research promises greater understanding of the role of these agents and place in therapy for kidney transplant recipients.","container-title":"Clinical Transplantation","DOI":"10.1111/ctr.14922","ISSN":"1399-0012","issue":"3","journalAbbreviation":"Clin Transplant","language":"eng","note":"PMID: 36708369","page":"e14922","source":"PubMed","title":"Sweet and simple as syrup: A review and guidance for use of novel antihyperglycemic agents for post-transplant diabetes mellitus and type 2 diabetes mellitus after kidney transplantation","title-short":"Sweet and simple as syrup","volume":"37","author":[{"family":"Lawrence","given":"S. Elise"},{"family":"Chandran","given":"Mary Moss"},{"family":"Park","given":"Jeong M."},{"family":"Sweiss","given":"Helen"},{"family":"Jensen","given":"Thomas"},{"family":"Choksi","given":"Palak"},{"family":"Crowther","given":"Barrett"}],"issued":{"date-parts":[["2023",3]]}}}],"schema":"https://github.com/citation-style-language/schema/raw/master/csl-citation.json"} </w:instrText>
      </w:r>
      <w:r>
        <w:fldChar w:fldCharType="separate"/>
      </w:r>
      <w:r w:rsidR="002D20B5" w:rsidRPr="002D20B5">
        <w:rPr>
          <w:rFonts w:ascii="Calibri" w:hAnsi="Calibri" w:cs="Calibri"/>
          <w:vertAlign w:val="superscript"/>
        </w:rPr>
        <w:t>217</w:t>
      </w:r>
      <w:r>
        <w:fldChar w:fldCharType="end"/>
      </w:r>
      <w:r w:rsidRPr="00524CA4">
        <w:t xml:space="preserve">. The data available suggests that their use in </w:t>
      </w:r>
      <w:r w:rsidRPr="00524CA4">
        <w:lastRenderedPageBreak/>
        <w:t xml:space="preserve">kidney transplant recipients is also associated with modest improvements in HbA1c and a neutral effect on weight without an increased rate of adverse events </w:t>
      </w:r>
      <w:r>
        <w:fldChar w:fldCharType="begin"/>
      </w:r>
      <w:r w:rsidR="002D20B5">
        <w:instrText xml:space="preserve"> ADDIN ZOTERO_ITEM CSL_CITATION {"citationID":"lMAw9tAU","properties":{"formattedCitation":"\\super 217\\nosupersub{}","plainCitation":"217","noteIndex":0},"citationItems":[{"id":19234,"uris":["http://zotero.org/users/3444308/items/6YCB94H5"],"itemData":{"id":19234,"type":"article-journal","abstract":"Uncontrolled type 2 diabetes mellitus (T2DM) and post-transplant diabetes mellitus (PTDM) increase morbidity and mortality after kidney transplantation. Conventional strategies for diabetes management in this population include metformin, sulfonylureas, meglitinides and insulin. Limitations with these agents, as well as promising new antihyperglycemic agents, create a need and opportunity to explore additional options for transplant diabetes pharmacotherapy. Novel agents including sodium glucose co-transporter 2 inhibitors (SGLT2i), glucagon-like peptide-1 receptor agonists (GLP1RA), and dipeptidyl peptidase IV inhibitors (DPP4i) demonstrate great promise for T2DM management in the non-transplant population. Moreover, many of these agents possess renoprotective, cardiovascular, and/or weight loss benefits in addition to improved glucose control while having reduced risk of hypoglycemia compared with certain other conventional agents. This comprehensive review examines available literature evaluating the use of novel antihyperglycemic agents in kidney transplant recipients (KTR) with T2DM or PTDM. Formal grading of recommendations assessment, development, and evaluation (GRADE) system recommendations are provided to guide incorporation of these agents into post-transplant care. Available literature was evaluated to address the clinical questions of which agents provide greatest short- and long-term benefits, timing of novel antihyperglycemic therapy initiation after transplant, monitoring parameters for these antihyperglycemic agents, and concomitant antihyperglycemic agent and immunosuppression regimen management. Current experience with novel antihyperglycemic agents is primarily limited to single-center retrospective studies and case series. With ongoing use and increasing comfort, further and more robust research promises greater understanding of the role of these agents and place in therapy for kidney transplant recipients.","container-title":"Clinical Transplantation","DOI":"10.1111/ctr.14922","ISSN":"1399-0012","issue":"3","journalAbbreviation":"Clin Transplant","language":"eng","note":"PMID: 36708369","page":"e14922","source":"PubMed","title":"Sweet and simple as syrup: A review and guidance for use of novel antihyperglycemic agents for post-transplant diabetes mellitus and type 2 diabetes mellitus after kidney transplantation","title-short":"Sweet and simple as syrup","volume":"37","author":[{"family":"Lawrence","given":"S. Elise"},{"family":"Chandran","given":"Mary Moss"},{"family":"Park","given":"Jeong M."},{"family":"Sweiss","given":"Helen"},{"family":"Jensen","given":"Thomas"},{"family":"Choksi","given":"Palak"},{"family":"Crowther","given":"Barrett"}],"issued":{"date-parts":[["2023",3]]}}}],"schema":"https://github.com/citation-style-language/schema/raw/master/csl-citation.json"} </w:instrText>
      </w:r>
      <w:r>
        <w:fldChar w:fldCharType="separate"/>
      </w:r>
      <w:r w:rsidR="002D20B5" w:rsidRPr="002D20B5">
        <w:rPr>
          <w:rFonts w:ascii="Calibri" w:hAnsi="Calibri" w:cs="Calibri"/>
          <w:vertAlign w:val="superscript"/>
        </w:rPr>
        <w:t>217</w:t>
      </w:r>
      <w:r>
        <w:fldChar w:fldCharType="end"/>
      </w:r>
      <w:r>
        <w:t>.</w:t>
      </w:r>
    </w:p>
    <w:p w14:paraId="2D646C38" w14:textId="276172E8" w:rsidR="00ED6CD4" w:rsidRPr="00524CA4" w:rsidRDefault="00ED6CD4" w:rsidP="00413B0E">
      <w:r w:rsidRPr="00524CA4">
        <w:t>As a result, the 2024 International Consensus proposed a treatment algorithm where management is tailored to patients’ background and comorbidities, and use of SGLT2 inhibitors and GLP1 RAs is prioritised against metformin in those who might benefit</w:t>
      </w:r>
      <w:r w:rsidR="00E90F58">
        <w:t>.</w:t>
      </w:r>
    </w:p>
    <w:p w14:paraId="00986D26" w14:textId="77777777" w:rsidR="00ED6CD4" w:rsidRPr="00524CA4" w:rsidRDefault="00ED6CD4" w:rsidP="00413B0E">
      <w:r w:rsidRPr="00524CA4">
        <w:t xml:space="preserve">In relation to immunosuppression, ABCD/RA, ADA and the 2024 International Consensus concur that patient and graft outcomes should be prioritised over PTDM risk when making decisions. This is because despite several trials evaluating alternative to standard regimes </w:t>
      </w:r>
      <w:proofErr w:type="spellStart"/>
      <w:r w:rsidRPr="00524CA4">
        <w:t>eg.</w:t>
      </w:r>
      <w:proofErr w:type="spellEnd"/>
      <w:r w:rsidRPr="00524CA4">
        <w:t xml:space="preserve"> Early steroid withdrawal, low CNI dose etc in relation to PTDM risk and/or graft outcomes there is no conclusive evidence to suggest that even in case of PTDM risk modification, patient outcomes are improved. It is advised that a patient-tailored approach is adopted taking into consideration specifics such as immunological risk and impact of diabetes.</w:t>
      </w:r>
    </w:p>
    <w:p w14:paraId="51C88547" w14:textId="2C65BF26" w:rsidR="00ED6CD4" w:rsidRPr="00B7112B" w:rsidRDefault="00932D5D" w:rsidP="00B7112B">
      <w:pPr>
        <w:pStyle w:val="GuidelineHeadings"/>
      </w:pPr>
      <w:r>
        <w:t xml:space="preserve">Guideline </w:t>
      </w:r>
      <w:r w:rsidR="00413B0E" w:rsidRPr="00413B0E">
        <w:t>5.4</w:t>
      </w:r>
      <w:r w:rsidR="00413B0E">
        <w:t xml:space="preserve"> </w:t>
      </w:r>
      <w:r>
        <w:t>–</w:t>
      </w:r>
      <w:r w:rsidR="00413B0E">
        <w:t xml:space="preserve"> </w:t>
      </w:r>
      <w:r w:rsidR="00413B0E" w:rsidRPr="00413B0E">
        <w:t>Cardiovascular disease</w:t>
      </w:r>
    </w:p>
    <w:p w14:paraId="2BA50C7D" w14:textId="34A57A52" w:rsidR="00ED6CD4" w:rsidRPr="00524CA4" w:rsidRDefault="00ED6CD4" w:rsidP="008C7816">
      <w:r w:rsidRPr="00524CA4">
        <w:t xml:space="preserve">Cardiovascular disease is the leading cause of death in ESRD, and although the risk is modified by transplantation, with some recent data suggesting that the incidence of de novo cardiovascular events may be no different to </w:t>
      </w:r>
      <w:r>
        <w:t xml:space="preserve">the </w:t>
      </w:r>
      <w:r w:rsidRPr="00524CA4">
        <w:t>general population</w:t>
      </w:r>
      <w:r w:rsidR="00665A95">
        <w:fldChar w:fldCharType="begin"/>
      </w:r>
      <w:r w:rsidR="002D20B5">
        <w:instrText xml:space="preserve"> ADDIN ZOTERO_ITEM CSL_CITATION {"citationID":"RnmTpwWJ","properties":{"formattedCitation":"\\super 218\\nosupersub{}","plainCitation":"218","noteIndex":0},"citationItems":[{"id":19987,"uris":["http://zotero.org/users/3444308/items/LY9PA5HP"],"itemData":{"id":19987,"type":"article-journal","abstract":"BACKGROUND: Although cardiovascular disease is known to be one of the leading causes of death after kidney transplantation (KT), evidence on the risk difference of de novo major adverse cardiovascular events (MACEs) in kidney transplant recipients (KTRs) compared with that in dialysis patients or the general population (GP) remains rare.\nMETHODS: We identified KTRs using the nationwide health insurance database in South Korea and then 1:1 matched them with the dialysis and GP controls without a pre-existing MACE. The primary endpoint was defined as de novo MACEs consisting of myocardial infarction, coronary revascularization and ischemic stroke. The secondary endpoints were all-cause mortality and death-censored graft failure (DCGF) in KTRs.\nRESULTS: We included 4156 individuals in each of the three groups and followed them up for 4.7 years. De novo MACEs occurred in 3.7, 21.7 and 2.5 individuals per 1000 person-years in the KTRs, dialysis controls and GP controls, respectively. KTRs showed a lower MACE risk {adjusted hazard ratio (aHR) 0.16 [95% confidence interval (CI) 0.12-0.20], P &lt; .001} than dialysis controls, whereas a similar MACE risk to GP controls [aHR 0.81 (95% CI 0.52-1.27), P = .365]. In addition, KTRs showed a similar MACE risk compared with the GP group, regardless of age, sex and the presence of comorbidities, including hypertension, diabetes and dyslipidemia. Among KTRs, de novo MACEs were associated with an increased risk of all-cause mortality, but not with DCGF.\nCONCLUSIONS: De novo MACEs in KTRs were much lower than that in dialysis patients and had a similar risk to the GP, but once it occurred it caused elevated mortality risk in KTRs.","container-title":"Nephrology, Dialysis, Transplantation: Official Publication of the European Dialysis and Transplant Association - European Renal Association","DOI":"10.1093/ndt/gfac144","ISSN":"1460-2385","issue":"2","journalAbbreviation":"Nephrol Dial Transplant","language":"eng","note":"PMID: 35396847","page":"499-506","source":"PubMed","title":"De novo major cardiovascular events in kidney transplant recipients: a comparative matched cohort study","title-short":"De novo major cardiovascular events in kidney transplant recipients","volume":"38","author":[{"family":"Kim","given":"Ji Eun"},{"family":"Park","given":"Jina"},{"family":"Park","given":"Sehoon"},{"family":"Yu","given":"Mi-Yeon"},{"family":"Baek","given":"Seon Ha"},{"family":"Park","given":"Sang Hyun"},{"family":"Han","given":"Kyungdo"},{"family":"Kim","given":"Yong Chul"},{"family":"Kim","given":"Dong Ki"},{"family":"Oh","given":"Kook-Hwan"},{"family":"Joo","given":"Kwon Wook"},{"family":"Kim","given":"Yon Su"},{"family":"Lee","given":"Hajeong"}],"issued":{"date-parts":[["2023",2,13]]}}}],"schema":"https://github.com/citation-style-language/schema/raw/master/csl-citation.json"} </w:instrText>
      </w:r>
      <w:r w:rsidR="00665A95">
        <w:fldChar w:fldCharType="separate"/>
      </w:r>
      <w:r w:rsidR="002D20B5" w:rsidRPr="002D20B5">
        <w:rPr>
          <w:rFonts w:ascii="Aptos" w:hAnsi="Aptos" w:cs="Times New Roman"/>
          <w:vertAlign w:val="superscript"/>
        </w:rPr>
        <w:t>218</w:t>
      </w:r>
      <w:r w:rsidR="00665A95">
        <w:fldChar w:fldCharType="end"/>
      </w:r>
      <w:r w:rsidRPr="00524CA4">
        <w:t>, it remains a major cause of morbidity and mortality</w:t>
      </w:r>
      <w:r>
        <w:t xml:space="preserve"> </w:t>
      </w:r>
      <w:r>
        <w:fldChar w:fldCharType="begin"/>
      </w:r>
      <w:r w:rsidR="002D20B5">
        <w:instrText xml:space="preserve"> ADDIN ZOTERO_ITEM CSL_CITATION {"citationID":"ZbZ6pSPI","properties":{"formattedCitation":"\\super 219,220\\nosupersub{}","plainCitation":"219,220","noteIndex":0},"citationItems":[{"id":19231,"uris":["http://zotero.org/users/3444308/items/ZV4AKHQJ"],"itemData":{"id":19231,"type":"article-journal","abstract":"BACKGROUND: Kidney transplant recipients are at increased risks of cardiovascular events, but contemporary risk estimates are sparse. Using the Danish nationwide administrative databases, we quantified 1- and 5-year risks of cardiovascular disease and kidney failure among all first-time kidney transplant recipients (2005-2018) and age- and sex-matched controls (1:10 ratio).\nMETHODS: Cumulative 1- and 5-year incidence of cardiovascular events (myocardial infarction, stroke, or heart failure), kidney failure (re-transplantation or need for dialysis &gt;30 days post-transplant), and mortality following transplantation were calculated until maximally Dec 31, 2018.\nRESULTS: A total of 2,565 kidney transplant recipients (median age 50.5 [25-75th percentile 40.2-60.7] years, 37 % females) and 25,650 controls were included. 1-year cumulative incidence of myocardial infarction, stroke, or heart failure was 2.6 % (95 % confidence interval 1.9 %-3.2 %) among kidney transplant recipients versus 0.5 % (0.4 %-0.5 %) in controls. Cumulative 5-year risk estimates for the same endpoints were 8.3 % (7.1 %-9.5 %) for the transplant patients, and 2.6 % (2.3 %-2.8 %) among controls, respectively. For the kidney transplant cohort, cumulative mortality was 2.2 % (1.7 %-2.8 %) and 10.3 % (9.0 %-11.6 %) at 1- and 5 years, respectively, versus 0.5 % (0.4 %-0.6 %) and 3.0 % (2.7 %-3.2 %) for controls. The cumulative incidence of dialysis and re-transplantation was 6.1 % (5.2 %-7.1 %) at 1 year and 16.3 % (14.7 %-17.9 %) at 5 years, respectively.\nCONCLUSIONS: Despite the benefits of transplantation, kidney transplant recipients continue to have significant long-term cardiovascular disease, end-stage kidney disease, and mortality risks even with contemporary medical management. Better cardiovascular preventive strategies are warranted to improve prognosis in this segment of patients.","container-title":"European Journal of Internal Medicine","DOI":"10.1016/j.ejim.2023.10.026","ISSN":"1879-0828","journalAbbreviation":"Eur J Intern Med","language":"eng","note":"PMID: 37903704","page":"109-113","source":"PubMed","title":"Long-term cardiovascular events, graft failure, and mortality in kidney transplant recipients","volume":"121","author":[{"family":"Andersson","given":"Charlotte"},{"family":"Hansen","given":"Ditte"},{"family":"Sørensen","given":"Søren Schwartz"},{"family":"McGrath","given":"Martina"},{"family":"McCausland","given":"Finnian R."},{"family":"Torp-Pedersen","given":"Christian"},{"family":"Schou","given":"Morten"},{"family":"Køber","given":"Lars"},{"family":"Pfeffer","given":"Marc A."}],"issued":{"date-parts":[["2024",3]]}}},{"id":19232,"uris":["http://zotero.org/users/3444308/items/FP5MLB7A"],"itemData":{"id":19232,"type":"article-journal","abstract":"Cardiovascular disease remains a leading cause of death and morbidity in kidney transplant recipients and a common reason for post-transplant hospitalization. Several traditional and nontraditional cardiovascular risk factors exist, and many of them present pretransplant and worsened, in part, due to the addition of immunosuppression post-transplant. We discuss optimal strategies for identification and treatment of these risk factors, including the emerging role of sodium-glucose cotransporter 2 inhibitors in post-transplant diabetes and cardiovascular disease. We present common types of cardiovascular disease observed after kidney transplant, including coronary artery disease, heart failure, pulmonary hypertension, arrhythmia, and valvular disease. We also discuss screening, treatment, and prevention of post-transplant cardiac disease. We highlight areas of future research, including the need for goals and best medications for risk factors, the role of biomarkers, and the role of screening and intervention.","container-title":"Clinical journal of the American Society of Nephrology: CJASN","DOI":"10.2215/CJN.00520121","ISSN":"1555-905X","issue":"12","journalAbbreviation":"Clin J Am Soc Nephrol","language":"eng","note":"PMID: 34556500\nPMCID: PMC8729500","page":"1878-1889","source":"PubMed","title":"Post-Transplant Cardiovascular Disease","volume":"16","author":[{"family":"Birdwell","given":"Kelly A."},{"family":"Park","given":"Meyeon"}],"issued":{"date-parts":[["2021",12]]}}}],"schema":"https://github.com/citation-style-language/schema/raw/master/csl-citation.json"} </w:instrText>
      </w:r>
      <w:r>
        <w:fldChar w:fldCharType="separate"/>
      </w:r>
      <w:r w:rsidR="002D20B5" w:rsidRPr="002D20B5">
        <w:rPr>
          <w:rFonts w:ascii="Calibri" w:hAnsi="Calibri" w:cs="Calibri"/>
          <w:vertAlign w:val="superscript"/>
        </w:rPr>
        <w:t>219,220</w:t>
      </w:r>
      <w:r>
        <w:fldChar w:fldCharType="end"/>
      </w:r>
      <w:r w:rsidRPr="00524CA4">
        <w:t xml:space="preserve">. Transplant recipients may be affected by any presentation of the cardiovascular disease spectrum </w:t>
      </w:r>
      <w:r w:rsidR="008C7816" w:rsidRPr="00524CA4">
        <w:t>i.e.</w:t>
      </w:r>
      <w:r w:rsidRPr="00524CA4">
        <w:t xml:space="preserve"> coronary artery disease, heart failure, dysrhythmias, etc. and the risk is enhanced by all traditional and transplant-specific factors. Coronary artery disease in particular may affect up to 14–20% (previous myocardial infarction myocardial infarction or coronary artery disease) </w:t>
      </w:r>
      <w:r>
        <w:fldChar w:fldCharType="begin"/>
      </w:r>
      <w:r w:rsidR="002D20B5">
        <w:instrText xml:space="preserve"> ADDIN ZOTERO_ITEM CSL_CITATION {"citationID":"vPSgVFLP","properties":{"formattedCitation":"\\super 221\\uc0\\u8211{}223\\nosupersub{}","plainCitation":"221–223","noteIndex":0},"citationItems":[{"id":19230,"uris":["http://zotero.org/users/3444308/items/JXZ37V53"],"itemData":{"id":19230,"type":"article-journal","abstract":"BACKGROUND: Kidney transplant recipients (KTRs) have increased risk of cardiovascular disease (CVD). Our objective is to describe the prevalence of CVD risk factors applying standard criteria and use of CVD risk factor-lowering medications in contemporary KTRs.\nMETHODS: The Folic Acid for Vascular Outcome Reduction in Transplantation study enrolled and collected medication data on 4107 KTRs with elevated homocysteine and stable graft function an average of five yr post-transplant.\nRESULTS: CVD risk factors were common (hypertension or use of blood pressure (BP) lowering medication in 92%, borderline or elevated low-density lipoprotein (LDL) or use of lipid-lowering agent in 66%, history of diabetes mellitus in 41%, and obesity in 38%); prevalent CVD was reported in 20% of study participants. National Kidney Foundation BP guidelines (BP &lt;130/80 mmHg) were not met by 69% of participants. Uncontrolled hypertension (BP of 140/90 mmHg or higher) was present in 44% of those taking antihypertension medication; 18% of participants had borderline or elevated LDL, of which 60% were untreated, and 31% of the participants with prevalent CVD were not using an antiplatelet agent.\nCONCLUSION: There is opportunity to improve treatment and control of traditional CVD risk factors in kidney transplant recipients.","container-title":"Clinical Transplantation","DOI":"10.1111/j.1399-0012.2012.01676.x","ISSN":"1399-0012","issue":"4","journalAbbreviation":"Clin Transplant","language":"eng","note":"PMID: 22775763\nPMCID: PMC4388027","page":"E438-446","source":"PubMed","title":"Inadequacy of cardiovascular risk factor management in chronic kidney transplantation - evidence from the FAVORIT study","volume":"26","author":[{"family":"Carpenter","given":"Myra A."},{"family":"Weir","given":"Matthew R."},{"family":"Adey","given":"Deborah B."},{"family":"House","given":"Andrew A."},{"family":"Bostom","given":"Andrew G."},{"family":"Kusek","given":"John W."}],"issued":{"date-parts":[["2012"]]}}},{"id":19228,"uris":["http://zotero.org/users/3444308/items/UWAM7E6N"],"itemData":{"id":19228,"type":"article-journal","container-title":"American Journal of Kidney Diseases: The Official Journal of the National Kidney Foundation","DOI":"10.1053/j.ajkd.2013.11.001","ISSN":"1523-6838","issue":"1 Suppl","journalAbbreviation":"Am J Kidney Dis","language":"eng","note":"PMID: 24360288","page":"A7","source":"PubMed","title":"US Renal Data System 2013 Annual Data Report","volume":"63","author":[{"family":"Collins","given":"Allan J."},{"family":"Foley","given":"Robert N."},{"family":"Chavers","given":"Blanche"},{"family":"Gilbertson","given":"David"},{"family":"Herzog","given":"Charles"},{"family":"Ishani","given":"Areef"},{"family":"Johansen","given":"Kirsten"},{"family":"Kasiske","given":"Bertram L."},{"family":"Kutner","given":"Nancy"},{"family":"Liu","given":"Jiannong"},{"family":"St Peter","given":"Wendy"},{"family":"Guo","given":"Haifeng"},{"family":"Hu","given":"Yan"},{"family":"Kats","given":"Allyson"},{"family":"Li","given":"Shuling"},{"family":"Li","given":"Suying"},{"family":"Maloney","given":"Julia"},{"family":"Roberts","given":"Tricia"},{"family":"Skeans","given":"Melissa"},{"family":"Snyder","given":"Jon"},{"family":"Solid","given":"Craig"},{"family":"Thompson","given":"Bryn"},{"family":"Weinhandl","given":"Eric"},{"family":"Xiong","given":"Hui"},{"family":"Yusuf","given":"Akeem"},{"family":"Zaun","given":"David"},{"family":"Arko","given":"Cheryl"},{"family":"Chen","given":"Shu-Cheng"},{"family":"Daniels","given":"Frank"},{"family":"Ebben","given":"James"},{"family":"Frazier","given":"Eric"},{"family":"Johnson","given":"Roger"},{"family":"Sheets","given":"Daniel"},{"family":"Wang","given":"Xinyue"},{"family":"Forrest","given":"Beth"},{"family":"Berrini","given":"Delaney"},{"family":"Constantini","given":"Edward"},{"family":"Everson","given":"Susan"},{"family":"Eggers","given":"Paul"},{"family":"Agodoa","given":"Lawrence"}],"issued":{"date-parts":[["2014",1]]}}},{"id":19229,"uris":["http://zotero.org/users/3444308/items/KYVPBY4A"],"itemData":{"id":19229,"type":"article-journal","abstract":"BACKGROUND: Cardiovascular disease (CVD) is the most common cause of death after kidney transplantation. Nevertheless, the use of potentially protective CVD medications has not been examined in a large international cohort of kidney transplant patients.\nMETHODS: Using the Patient Outcomes in Renal Transplantation database, we retrospectively examined CVD medication use in 14,236 kidney transplant patients from 10 centers worldwide at 4 and 12 months posttransplant.\nRESULTS: Use of CVD medications posttransplant increased between 1990 to 1994 and 2000 to 2006, with a 12-fold increase in the use of statins (odds ratio [OR] 12.28, 95% confidence interval [CI] 10.18-14.80). Use of β-blockers also increased (OR 3.74, 95% CI 3.20-4.38), as did use of angiotensin converting enzyme inhibitors or angiotensin II receptor blockers (OR 3.68, 95% CI 3.07-4.40) and antiplatelet agents (OR 1.93, 95% CI 1.66-2.24). Use of most CVD medications was not higher in patients with diabetes than in patients without diabetes, despite a higher risk of CVD among patients with diabetes. Although use of several CVD medications was higher in patients with previous CVD events than in patients with no previous CVD, less than 75% of patients with previous CVD were using a statin or antiplatelet agent.\nCONCLUSION: Although use of CVD medications after kidney transplant has increased in recent years, use of potentially cardioprotective medications may be suboptimal given the high CVD risk in kidney transplant patients.","container-title":"Transplantation","DOI":"10.1097/TP.0b013e31820437bd","ISSN":"1534-6080","issue":"5","journalAbbreviation":"Transplantation","language":"eng","note":"PMID: 21301401","page":"542-551","source":"PubMed","title":"Cardiovascular disease medications after renal transplantation: results from the Patient Outcomes in Renal Transplantation study","title-short":"Cardiovascular disease medications after renal transplantation","volume":"91","author":[{"family":"Pilmore","given":"Helen L."},{"family":"Skeans","given":"Melissa A."},{"family":"Snyder","given":"Jon J."},{"family":"Israni","given":"Ajay K."},{"family":"Kasiske","given":"Bertram L."}],"issued":{"date-parts":[["2011",3,15]]}}}],"schema":"https://github.com/citation-style-language/schema/raw/master/csl-citation.json"} </w:instrText>
      </w:r>
      <w:r>
        <w:fldChar w:fldCharType="separate"/>
      </w:r>
      <w:r w:rsidR="002D20B5" w:rsidRPr="002D20B5">
        <w:rPr>
          <w:rFonts w:ascii="Calibri" w:hAnsi="Calibri" w:cs="Calibri"/>
          <w:vertAlign w:val="superscript"/>
        </w:rPr>
        <w:t>221–223</w:t>
      </w:r>
      <w:r>
        <w:fldChar w:fldCharType="end"/>
      </w:r>
      <w:r w:rsidRPr="00763F83">
        <w:rPr>
          <w:noProof/>
        </w:rPr>
        <w:t xml:space="preserve">, </w:t>
      </w:r>
      <w:r w:rsidRPr="00524CA4">
        <w:rPr>
          <w:noProof/>
        </w:rPr>
        <w:t>in kidney transplant recipients</w:t>
      </w:r>
      <w:r w:rsidRPr="00524CA4">
        <w:t>, irrespective of the presence or severity of pre-transplant coronary artery disease</w:t>
      </w:r>
      <w:r w:rsidRPr="00524CA4" w:rsidDel="00080212">
        <w:t xml:space="preserve"> </w:t>
      </w:r>
      <w:r w:rsidRPr="00524CA4">
        <w:t>Post transplantation myocardial infarction is common, affecting approximately 11.1% of patients by 3 years post transplantation, and much of this risk is experienced early, within the first 6 months of transplantation</w:t>
      </w:r>
      <w:r>
        <w:rPr>
          <w:noProof/>
          <w:vertAlign w:val="superscript"/>
        </w:rPr>
        <w:t xml:space="preserve"> </w:t>
      </w:r>
      <w:r>
        <w:rPr>
          <w:noProof/>
          <w:vertAlign w:val="superscript"/>
        </w:rPr>
        <w:fldChar w:fldCharType="begin"/>
      </w:r>
      <w:r w:rsidR="002D20B5">
        <w:rPr>
          <w:noProof/>
          <w:vertAlign w:val="superscript"/>
        </w:rPr>
        <w:instrText xml:space="preserve"> ADDIN ZOTERO_ITEM CSL_CITATION {"citationID":"5FxKVVlo","properties":{"formattedCitation":"\\super 224\\nosupersub{}","plainCitation":"224","noteIndex":0},"citationItems":[{"id":19227,"uris":["http://zotero.org/users/3444308/items/XV8557UN"],"itemData":{"id":19227,"type":"article-journal","abstract":"The risk and predictors of post-kidney transplantation myocardial infarction (PTMI) are not well described. Registry data collected by the United States Renal Data System were used to investigate retrospectively PTMI among adult first renal allograft recipients who received a transplant in 1995 to 2000 and had Medicare as the primary payer. PTMI events were ascertained from billing and death records, and participants were followed for up to 3 yr after transplant or until the end of observation (December 31, 2000). Extended Cox's hazards analysis was used to identify independent clinical correlates of PTMI (hazard ratio [HR]) and to examine PTMI as an outcomes predictor. Among 35,847 eligible participants, the cumulative incidence of PTMI was 4.3% (95% confidence interval [CI], 4.1 to 4.5%), 5.6% (95% CI, 5.3 to 5.8%), and 11.1% (95% CI, 10.7 to 11.5%) at 6, 12, and 36 mo, respectively. Risk factors for PTMI included older recipient age, pretransplantation comorbidities (diabetes, angina, peripheral vascular disease, and MI), transplantation from older donors and deceased donors, and delayed graft function. Women, blacks, Hispanics, and employed recipients experienced reduced risk. The hazard of PTMI rose after a diagnosis of posttransplantation diabetes (HR, 1.60; 95% CI, 1.35 to 1.88) and markedly increased after graft failure (HR, 2.78; 95% CI, 2.41 to 3.19). In separate analyses, PTMI predicted death-censored graft failure (HR, 1.89; 95% CI, 1.63 to 2.20) and strongly predicted death in a manner that declined with time after PTMI. Risk factors for PTMI include potentially modifiable posttransplantation complications. Because PTMI in turn predicts graft failure and death, reducing the risk for PTMI may improve outcomes after kidney transplantation.","container-title":"Journal of the American Society of Nephrology: JASN","DOI":"10.1681/ASN.2004070580","ISSN":"1046-6673","issue":"2","journalAbbreviation":"J Am Soc Nephrol","language":"eng","note":"PMID: 15615820","page":"496-506","source":"PubMed","title":"Incidence and predictors of myocardial infarction after kidney transplantation","volume":"16","author":[{"family":"Lentine","given":"Krista L."},{"family":"Brennan","given":"Daniel C."},{"family":"Schnitzler","given":"Mark A."}],"issued":{"date-parts":[["2005",2]]}}}],"schema":"https://github.com/citation-style-language/schema/raw/master/csl-citation.json"} </w:instrText>
      </w:r>
      <w:r>
        <w:rPr>
          <w:noProof/>
          <w:vertAlign w:val="superscript"/>
        </w:rPr>
        <w:fldChar w:fldCharType="separate"/>
      </w:r>
      <w:r w:rsidR="002D20B5" w:rsidRPr="002D20B5">
        <w:rPr>
          <w:rFonts w:ascii="Calibri" w:hAnsi="Calibri" w:cs="Calibri"/>
          <w:vertAlign w:val="superscript"/>
        </w:rPr>
        <w:t>224</w:t>
      </w:r>
      <w:r>
        <w:rPr>
          <w:noProof/>
          <w:vertAlign w:val="superscript"/>
        </w:rPr>
        <w:fldChar w:fldCharType="end"/>
      </w:r>
      <w:r w:rsidRPr="00524CA4">
        <w:t xml:space="preserve">. Myocardial infarction risk has been shown to be linked with delayed graft function, </w:t>
      </w:r>
      <w:r>
        <w:t>post-transplantation</w:t>
      </w:r>
      <w:r w:rsidRPr="00524CA4">
        <w:t xml:space="preserve"> diabetes and graft failure, and in turn, myocardial infarction predicts graft failure and death. Additionally, the ALERT trial</w:t>
      </w:r>
      <w:r>
        <w:rPr>
          <w:noProof/>
          <w:vertAlign w:val="superscript"/>
        </w:rPr>
        <w:t xml:space="preserve"> </w:t>
      </w:r>
      <w:r>
        <w:rPr>
          <w:noProof/>
          <w:vertAlign w:val="superscript"/>
        </w:rPr>
        <w:fldChar w:fldCharType="begin"/>
      </w:r>
      <w:r w:rsidR="006528EA">
        <w:rPr>
          <w:noProof/>
          <w:vertAlign w:val="superscript"/>
        </w:rPr>
        <w:instrText xml:space="preserve"> ADDIN ZOTERO_ITEM CSL_CITATION {"citationID":"XuPEILtF","properties":{"formattedCitation":"\\super 180\\nosupersub{}","plainCitation":"180","noteIndex":0},"citationItems":[{"id":19269,"uris":["http://zotero.org/users/3444308/items/DHHKS4D6"],"itemData":{"id":19269,"type":"article-journal","abstract":"Renal transplant recipients (RTR) have an increased risk of premature cardiovascular disease. The ALERT study is the first trial to evaluate the effect of statin therapy on cardiac outcomes following renal transplantation. Patients initially randomized to fluvastatin or placebo in the 5-6 year ALERT study were offered open-label fluvastatin XL 80 mg/day in a 2-year extension to the original study. The primary endpoint was time to first major adverse cardiac event (MACE). Of 1787 patients who completed ALERT, 1652 (92%) were followed in the extension. Mean total follow-up was 6.7 years. Mean LDL-cholesterol was 98 mg/dL (2.5 mmol/L) at last follow-up compared to a pre-study level of 159 mg/dL (4.1 mmol/L). Patients randomized to fluvastatin had a reduced risk of MACE (hazards ratio [HR] 0.79, 95% CI 0.63-0.99, p = 0.036), and a 29% reduction in cardiac death or definite non-fatal MI (HR 0.71, 95% CI 0.55-0.93, p = 0.014). Total mortality and graft loss did not differ significantly between groups. Fluvastatin produces a safe and effective reduction in LDL-cholesterol associated with reduced risk of MACE in RTR. The lipid-lowering and cardiovascular benefits of fluvastatin are comparable to those of statins in other patient groups, and support use of fluvastatin in RTR.","container-title":"American Journal of Transplantation: Official Journal of the American Society of Transplantation and the American Society of Transplant Surgeons","DOI":"10.1111/j.1600-6143.2005.01105.x","ISSN":"1600-6135","issue":"12","journalAbbreviation":"Am J Transplant","language":"eng","note":"PMID: 16303007","page":"2929-2936","source":"PubMed","title":"Long-term cardiac outcomes in renal transplant recipients receiving fluvastatin: the ALERT extension study","title-short":"Long-term cardiac outcomes in renal transplant recipients receiving fluvastatin","volume":"5","author":[{"family":"Holdaas","given":"H."},{"family":"Fellström","given":"B."},{"family":"Cole","given":"E."},{"family":"Nyberg","given":"G."},{"family":"Olsson","given":"A. G."},{"family":"Pedersen","given":"T. R."},{"family":"Madsen","given":"S."},{"family":"Grönhagen-Riska","given":"C."},{"family":"Neumayer","given":"H.-H."},{"family":"Maes","given":"B."},{"family":"Ambühl","given":"P."},{"family":"Hartmann","given":"A."},{"family":"Staffler","given":"B."},{"family":"Jardine","given":"A. G."},{"literal":"Assessment of LEscol in Renal Transplantation (ALERT) Study Investigators"}],"issued":{"date-parts":[["2005",12]]}}}],"schema":"https://github.com/citation-style-language/schema/raw/master/csl-citation.json"} </w:instrText>
      </w:r>
      <w:r>
        <w:rPr>
          <w:noProof/>
          <w:vertAlign w:val="superscript"/>
        </w:rPr>
        <w:fldChar w:fldCharType="separate"/>
      </w:r>
      <w:r w:rsidR="00CE2429" w:rsidRPr="00CE2429">
        <w:rPr>
          <w:rFonts w:ascii="Calibri" w:hAnsi="Calibri" w:cs="Calibri"/>
          <w:vertAlign w:val="superscript"/>
        </w:rPr>
        <w:t>180</w:t>
      </w:r>
      <w:r>
        <w:rPr>
          <w:noProof/>
          <w:vertAlign w:val="superscript"/>
        </w:rPr>
        <w:fldChar w:fldCharType="end"/>
      </w:r>
      <w:r w:rsidRPr="00524CA4">
        <w:t xml:space="preserve"> </w:t>
      </w:r>
      <w:r w:rsidRPr="00524CA4">
        <w:rPr>
          <w:color w:val="232323"/>
        </w:rPr>
        <w:t xml:space="preserve">demonstrated that determinants of non-fatal myocardial infarction in kidney transplant recipients include total cholesterol level, prior </w:t>
      </w:r>
      <w:r w:rsidRPr="00524CA4">
        <w:t>coronary artery disease</w:t>
      </w:r>
      <w:r w:rsidRPr="00524CA4" w:rsidDel="00080212">
        <w:rPr>
          <w:color w:val="232323"/>
        </w:rPr>
        <w:t xml:space="preserve"> </w:t>
      </w:r>
      <w:r w:rsidRPr="00524CA4">
        <w:rPr>
          <w:color w:val="232323"/>
        </w:rPr>
        <w:t>and previous acute rejection</w:t>
      </w:r>
      <w:r w:rsidR="008C7816">
        <w:rPr>
          <w:color w:val="232323"/>
        </w:rPr>
        <w:t>.</w:t>
      </w:r>
    </w:p>
    <w:p w14:paraId="75DCDF6A" w14:textId="11FA1595" w:rsidR="00ED6CD4" w:rsidRPr="00524CA4" w:rsidRDefault="00ED6CD4" w:rsidP="008C7816">
      <w:r w:rsidRPr="00524CA4">
        <w:t>With regards to prevention and management, as discussed in section 6.3, kidney transplant recipients should be treated as other patients at high cardiovascular risk. There is only limited evidence, but there appears to be a benefit to be gained from statin treatment in kidney transplant recipients</w:t>
      </w:r>
      <w:r>
        <w:t xml:space="preserve"> </w:t>
      </w:r>
      <w:r>
        <w:fldChar w:fldCharType="begin"/>
      </w:r>
      <w:r w:rsidR="002D20B5">
        <w:instrText xml:space="preserve"> ADDIN ZOTERO_ITEM CSL_CITATION {"citationID":"SryBNFCS","properties":{"formattedCitation":"\\super 225\\nosupersub{}","plainCitation":"225","noteIndex":0},"citationItems":[{"id":19226,"uris":["http://zotero.org/users/3444308/items/CWHXMVEF"],"itemData":{"id":19226,"type":"article-journal","abstract":"BACKGROUND: Statin therapy is effective for the prevention of coronary heart disease and stroke in patients with mild-to-moderate chronic kidney disease, but its effects in individuals with more advanced disease, particularly those undergoing dialysis, are uncertain.\nMETHODS: We did a meta-analysis of individual participant data from 28 trials (n=183</w:instrText>
      </w:r>
      <w:r w:rsidR="002D20B5">
        <w:rPr>
          <w:rFonts w:ascii="Arial" w:hAnsi="Arial" w:cs="Arial"/>
        </w:rPr>
        <w:instrText> </w:instrText>
      </w:r>
      <w:r w:rsidR="002D20B5">
        <w:instrText xml:space="preserve">419), examining effects of statin-based therapy on major vascular events (major coronary event [non-fatal myocardial infarction or coronary death], stroke, or coronary revascularisation) and cause-specific mortality. Participants were subdivided into categories of estimated glomerular filtration rate (eGFR) at baseline. Treatment effects were estimated with rate ratio (RR) per mmol/L reduction in LDL cholesterol.\nFINDINGS: Overall, statin-based therapy reduced the risk of a first major vascular event by 21% (RR 0·79, 95% CI 0·77-0·81; p&lt;0·0001) per mmol/L reduction in LDL cholesterol. Smaller relative effects on major vascular events were observed as eGFR declined (p=0·008 for trend; RR 0·78, 99% CI 0·75-0·82 for eGFR ≥60 mL/min per 1·73 m(2); 0·76, 0·70-0·81 for eGFR 45 to &lt;60 mL/min per 1·73 m(2); 0·85, 0·75-0·96 for eGFR 30 to &lt;45 mL/min per 1·73 m(2); 0·85, 0·71-1·02 for eGFR &lt;30 mL/min per 1·73 m(2) and not on dialysis; and 0·94, 0·79-1·11 for patients on dialysis). Analogous trends by baseline renal function were seen for major coronary events (p=0·01 for trend) and vascular mortality (p=0·03 for trend), but there was no significant trend for coronary revascularisation (p=0·90). Reducing LDL cholesterol with statin-based therapy had no effect on non-vascular mortality, irrespective of eGFR.\nINTERPRETATION: Even after allowing for the smaller reductions in LDL cholesterol achieved by patients with more advanced chronic kidney disease, and for differences in outcome definitions between dialysis trials, the relative reductions in major vascular events observed with statin-based treatment became smaller as eGFR declined, with little evidence of benefit in patients on dialysis. In patients with chronic kidney disease, statin-based regimens should be chosen to maximise the absolute reduction in LDL cholesterol to achieve the largest treatment benefits.\nFUNDING: UK Medical Research Council, British Heart Foundation, Cancer Research UK, European Community Biomed Programme, Australian National Health and Medical Research Council, Australian National Heart Foundation.","container-title":"The Lancet. Diabetes &amp; Endocrinology","DOI":"10.1016/S2213-8587(16)30156-5","ISSN":"2213-8595","issue":"10","journalAbbreviation":"Lancet Diabetes Endocrinol","language":"eng","note":"PMID: 27477773","page":"829-839","source":"PubMed","title":"Impact of renal function on the effects of LDL cholesterol lowering with statin-based regimens: a meta-analysis of individual participant data from 28 randomised trials","title-short":"Impact of renal function on the effects of LDL cholesterol lowering with statin-based regimens","volume":"4","author":[{"literal":"Cholesterol Treatment Trialists' (CTT) Collaboration"},{"family":"Herrington","given":"William"},{"family":"Emberson","given":"Jonathan"},{"family":"Mihaylova","given":"Borislava"},{"family":"Blackwell","given":"Lisa"},{"family":"Reith","given":"Christina"},{"family":"Solbu","given":"Marit"},{"family":"Mark","given":"Patrick"},{"family":"Fellström","given":"Bengt"},{"family":"Jardine","given":"Alan"},{"family":"Wanner","given":"Christoph"},{"family":"Holdaas","given":"Hallvard"},{"family":"Fulcher","given":"Jordan"},{"family":"Haynes","given":"Richard"},{"family":"Landray","given":"Martin"},{"family":"Keech","given":"Anthony"},{"family":"Simes","given":"John"},{"family":"Collins","given":"Rory"},{"family":"Baigent","given":"Colin"}],"issued":{"date-parts":[["2016",10]]}}}],"schema":"https://github.com/citation-style-language/schema/raw/master/csl-citation.json"} </w:instrText>
      </w:r>
      <w:r>
        <w:fldChar w:fldCharType="separate"/>
      </w:r>
      <w:r w:rsidR="002D20B5" w:rsidRPr="002D20B5">
        <w:rPr>
          <w:rFonts w:ascii="Calibri" w:hAnsi="Calibri" w:cs="Calibri"/>
          <w:vertAlign w:val="superscript"/>
        </w:rPr>
        <w:t>225</w:t>
      </w:r>
      <w:r>
        <w:fldChar w:fldCharType="end"/>
      </w:r>
      <w:r w:rsidRPr="00524CA4">
        <w:t>. In terms of aspirin use for primary prevention in kidney transplant recipients, data are very scarce but there is no evidence to suggest their use in the absence of known cardiovascular disease. Indication</w:t>
      </w:r>
      <w:r>
        <w:t xml:space="preserve"> </w:t>
      </w:r>
      <w:r>
        <w:fldChar w:fldCharType="begin"/>
      </w:r>
      <w:r w:rsidR="002D20B5">
        <w:instrText xml:space="preserve"> ADDIN ZOTERO_ITEM CSL_CITATION {"citationID":"51JACffS","properties":{"formattedCitation":"\\super 226,227\\nosupersub{}","plainCitation":"226,227","noteIndex":0},"citationItems":[{"id":19225,"uris":["http://zotero.org/users/3444308/items/QL7ERDZJ"],"itemData":{"id":19225,"type":"article-journal","abstract":"BACKGROUND: Cardiovascular disease (CVD) is the leading cause of death in kidney transplant recipients. Whether aspirin may reduce the risk for CVD, death, and kidney failure outcomes is uncertain.\nSTUDY DESIGN: Post hoc cohort analysis of FAVORIT, a randomized trial examining the effect of homocysteine-lowering vitamins on CVD in kidney transplant recipients.\nSETTING &amp; PARTICIPANTS: Prevalent adult kidney transplant recipients with hyperhomocysteinemia and stable kidney function from the United States, Canada, and Brazil participating in FAVORIT, with no known history of CVD.\nPREDICTOR: Aspirin use, with aspirin users matched to nonusers using a propensity score.\nOUTCOMES: Incident CVD events, kidney failure, all-cause mortality, a composite of CVD events or mortality, and a composite of kidney failure or mortality. Cox proportional hazards models with a robust variance to account for the correlation in outcomes within matched pairs were sequentially adjusted for demographic, clinical, and laboratory characteristics to assess the association between aspirin use and events.\nRESULTS: 981 aspirin users were matched to 981 nonusers. During a 4-year mean follow up, there were 225 CVD events, 200 deaths, 126 kidney failure events, 301 composite kidney failure or mortality events, and 324 composite CVD or mortality events. Adjusted models showed no significant difference associated with aspirin use in risk for CVD events, all-cause mortality, kidney failure, composite of kidney failure or mortality, or composite of primary CVD events or mortality (HRs of 1.20 [95% CI, 0.92-1.58], 0.92 [95% CI, 0.69-1.23], 1.19 [95% CI, 0.81-1.74], 1.03 [0.82-1.31], and 1.11 [95% CI, 0.88-1.38], respectively).\nLIMITATIONS: We did not examine dose or continued use of aspirin after randomization. CVD history is dependent on participant report at baseline. Aspirin use was non-randomly assigned.\nCONCLUSIONS: Aspirin use is not associated with reduced risk for incident CVD, all-cause mortality, or kidney failure in stable kidney transplant recipients with no history of CVD.","container-title":"American Journal of Kidney Diseases: The Official Journal of the National Kidney Foundation","DOI":"10.1053/j.ajkd.2016.01.019","ISSN":"1523-6838","issue":"2","journalAbbreviation":"Am J Kidney Dis","language":"eng","note":"PMID: 26947217\nPMCID: PMC4969122","page":"277-286","source":"PubMed","title":"Aspirin Use and Incident Cardiovascular Disease, Kidney Failure, and Death in Stable Kidney Transplant Recipients: A Post Hoc Analysis of the Folic Acid for Vascular Outcome Reduction in Transplantation (FAVORIT) Trial","title-short":"Aspirin Use and Incident Cardiovascular Disease, Kidney Failure, and Death in Stable Kidney Transplant Recipients","volume":"68","author":[{"family":"Dad","given":"Taimur"},{"family":"Tighiouart","given":"Hocine"},{"family":"Joseph","given":"Alin"},{"family":"Bostom","given":"Andrew"},{"family":"Carpenter","given":"Myra"},{"family":"Hunsicker","given":"Lawrence"},{"family":"Kusek","given":"John W."},{"family":"Pfeffer","given":"Marc"},{"family":"Levey","given":"Andrew S."},{"family":"Weiner","given":"Daniel E."}],"issued":{"date-parts":[["2016",8]]}}},{"id":19224,"uris":["http://zotero.org/users/3444308/items/MGBP99V5"],"itemData":{"id":19224,"type":"article-journal","abstract":"Kidney transplant recipients have traditional and nontraditional risk factors which can lead to coronary artery disease and sudden death with a functional graft loss. Aspirin has been used traditionally for prevention of cardiovascular and cerebrovascular accidents. It has beneficial effects in secondary prevention of cardiovascular events in general population. Its use for primary prophylaxis is still disputed. Bleeding and theoretical risk of nephrotoxicity are the major concerns about its use. The data on aspirin in kidney transplant population is sparse. This review will focus on various pros and cons of aspirin use for prevention of cardiovascular events in kidney transplant recipients and a way forward.","container-title":"Advances in Preventive Medicine","DOI":"10.1155/2019/6139253","ISSN":"2090-3480","journalAbbreviation":"Adv Prev Med","language":"eng","note":"PMID: 31223503\nPMCID: PMC6541935","page":"6139253","source":"PubMed","title":"Pros and Cons of Aspirin Prophylaxis for Prevention of Cardiovascular Events in Kidney Transplantation and Review of Evidence","volume":"2019","author":[{"family":"Khalil","given":"Muhammad Abdul Mabood"},{"family":"Khalil","given":"Muhammad Shahab Ud Din"},{"family":"Khamis","given":"Said Sayed Ahmed"},{"family":"Alam","given":"Sartaj"},{"family":"Daiwajna","given":"Rajendra Govindrao"},{"family":"Rajput","given":"Ahmed Suleman"},{"family":"Alhaji","given":"Mohammed M."},{"family":"Chong","given":"Vui Heng"},{"family":"Tan","given":"Jackson"}],"issued":{"date-parts":[["2019"]]}}}],"schema":"https://github.com/citation-style-language/schema/raw/master/csl-citation.json"} </w:instrText>
      </w:r>
      <w:r>
        <w:fldChar w:fldCharType="separate"/>
      </w:r>
      <w:r w:rsidR="002D20B5" w:rsidRPr="002D20B5">
        <w:rPr>
          <w:rFonts w:ascii="Calibri" w:hAnsi="Calibri" w:cs="Calibri"/>
          <w:vertAlign w:val="superscript"/>
        </w:rPr>
        <w:t>226,227</w:t>
      </w:r>
      <w:r>
        <w:fldChar w:fldCharType="end"/>
      </w:r>
      <w:r w:rsidRPr="00524CA4">
        <w:t>.</w:t>
      </w:r>
      <w:r w:rsidRPr="00524CA4">
        <w:rPr>
          <w:shd w:val="clear" w:color="auto" w:fill="FFFFFF"/>
        </w:rPr>
        <w:t xml:space="preserve"> In the acute setting of a ST elevation myocardial infarction, reperfusion rates seem improved compared to the past, and outcomes better compared to dialysis patients</w:t>
      </w:r>
      <w:r>
        <w:rPr>
          <w:shd w:val="clear" w:color="auto" w:fill="FFFFFF"/>
        </w:rPr>
        <w:t xml:space="preserve"> </w:t>
      </w:r>
      <w:r>
        <w:rPr>
          <w:shd w:val="clear" w:color="auto" w:fill="FFFFFF"/>
        </w:rPr>
        <w:fldChar w:fldCharType="begin"/>
      </w:r>
      <w:r w:rsidR="002D20B5">
        <w:rPr>
          <w:shd w:val="clear" w:color="auto" w:fill="FFFFFF"/>
        </w:rPr>
        <w:instrText xml:space="preserve"> ADDIN ZOTERO_ITEM CSL_CITATION {"citationID":"9W9g90te","properties":{"formattedCitation":"\\super 228\\nosupersub{}","plainCitation":"228","noteIndex":0},"citationItems":[{"id":19223,"uris":["http://zotero.org/users/3444308/items/YYFEYNKP"],"itemData":{"id":19223,"type":"article-journal","abstract":"IMPORTANCE: Renal transplantation is associated with reduction in the risk for myocardial infarction (MI) in patients with chronic kidney disease requiring long-term dialysis (stage 5D CKD). Whether outcomes of MI differ among renal transplant recipients vs patients with stage 5D CKD or those without CKD has not been well examined.\nOBJECTIVES: To compare in-hospital reperfusion rates and outcomes of ST-segment elevation MI (STEMI) in renal transplant recipients vs the stage 5D CKD group or the non-CKD group.\nDESIGN, SETTING, AND PARTICIPANTS: The National Inpatient Sample database was queried to identify patients 18 years or older who were hospitalized with the principal diagnosis of STEMI. All hospitalizations for STEMI in the United States from January 1, 2003, to December 31, 2013, were included. Codes from International Classification of Diseases, Ninth Revision, Clinical Modification, were used to identify patients in the non-CKD, stage 5D CKD, or prior renal transplant groups. Data were analyzed from March to May 2016.\nMAIN OUTCOMES AND MEASURES: In-hospital mortality.\nRESULTS: From 2003 to 2013, 2</w:instrText>
      </w:r>
      <w:r w:rsidR="002D20B5">
        <w:rPr>
          <w:rFonts w:ascii="Arial" w:hAnsi="Arial" w:cs="Arial"/>
          <w:shd w:val="clear" w:color="auto" w:fill="FFFFFF"/>
        </w:rPr>
        <w:instrText> </w:instrText>
      </w:r>
      <w:r w:rsidR="002D20B5">
        <w:rPr>
          <w:shd w:val="clear" w:color="auto" w:fill="FFFFFF"/>
        </w:rPr>
        <w:instrText>319</w:instrText>
      </w:r>
      <w:r w:rsidR="002D20B5">
        <w:rPr>
          <w:rFonts w:ascii="Arial" w:hAnsi="Arial" w:cs="Arial"/>
          <w:shd w:val="clear" w:color="auto" w:fill="FFFFFF"/>
        </w:rPr>
        <w:instrText> </w:instrText>
      </w:r>
      <w:r w:rsidR="002D20B5">
        <w:rPr>
          <w:shd w:val="clear" w:color="auto" w:fill="FFFFFF"/>
        </w:rPr>
        <w:instrText>002 patients in the non-CKD group (34.7% women; 65.3% men; mean [SD] age, 64.2 [14.4] years), 30</w:instrText>
      </w:r>
      <w:r w:rsidR="002D20B5">
        <w:rPr>
          <w:rFonts w:ascii="Arial" w:hAnsi="Arial" w:cs="Arial"/>
          <w:shd w:val="clear" w:color="auto" w:fill="FFFFFF"/>
        </w:rPr>
        <w:instrText> </w:instrText>
      </w:r>
      <w:r w:rsidR="002D20B5">
        <w:rPr>
          <w:shd w:val="clear" w:color="auto" w:fill="FFFFFF"/>
        </w:rPr>
        <w:instrText>072 patients in the stage 5D CKD group (45.0% women; 55.0% men; mean [SD] age, 66.9 [12.5] years), and 2980 patients in the renal transplant group (27.3% women; 72.7% men; mean [SD] age, 57.5 [11.1] years) were identified who were hospitalized with STEMI. Of these, 68.9% of the patients in the non-CKD group, 39.5% in the stage 5D CKD group, and 65.2% in the renal transplant group received in-hospital reperfusion for STEMI. The renal transplant group was more likely to receive reperfusion compared with the stage 5D CKD group (adjusted odds ratio [AOR], 1.83; 95% CI, 1.67-2.01; P</w:instrText>
      </w:r>
      <w:r w:rsidR="002D20B5">
        <w:rPr>
          <w:rFonts w:ascii="Arial" w:hAnsi="Arial" w:cs="Arial"/>
          <w:shd w:val="clear" w:color="auto" w:fill="FFFFFF"/>
        </w:rPr>
        <w:instrText> </w:instrText>
      </w:r>
      <w:r w:rsidR="002D20B5">
        <w:rPr>
          <w:shd w:val="clear" w:color="auto" w:fill="FFFFFF"/>
        </w:rPr>
        <w:instrText>&lt;</w:instrText>
      </w:r>
      <w:r w:rsidR="002D20B5">
        <w:rPr>
          <w:rFonts w:ascii="Arial" w:hAnsi="Arial" w:cs="Arial"/>
          <w:shd w:val="clear" w:color="auto" w:fill="FFFFFF"/>
        </w:rPr>
        <w:instrText> </w:instrText>
      </w:r>
      <w:r w:rsidR="002D20B5">
        <w:rPr>
          <w:shd w:val="clear" w:color="auto" w:fill="FFFFFF"/>
        </w:rPr>
        <w:instrText>.001) but less likely compared with the non-CKD group (AOR, 0.75; 95% CI, 0.68-0.83; P</w:instrText>
      </w:r>
      <w:r w:rsidR="002D20B5">
        <w:rPr>
          <w:rFonts w:ascii="Arial" w:hAnsi="Arial" w:cs="Arial"/>
          <w:shd w:val="clear" w:color="auto" w:fill="FFFFFF"/>
        </w:rPr>
        <w:instrText> </w:instrText>
      </w:r>
      <w:r w:rsidR="002D20B5">
        <w:rPr>
          <w:shd w:val="clear" w:color="auto" w:fill="FFFFFF"/>
        </w:rPr>
        <w:instrText>&lt;</w:instrText>
      </w:r>
      <w:r w:rsidR="002D20B5">
        <w:rPr>
          <w:rFonts w:ascii="Arial" w:hAnsi="Arial" w:cs="Arial"/>
          <w:shd w:val="clear" w:color="auto" w:fill="FFFFFF"/>
        </w:rPr>
        <w:instrText> </w:instrText>
      </w:r>
      <w:r w:rsidR="002D20B5">
        <w:rPr>
          <w:shd w:val="clear" w:color="auto" w:fill="FFFFFF"/>
        </w:rPr>
        <w:instrText>.001). Risk-adjusted in-hospital mortality among the renal transplant group with STEMI was markedly lower compared with the stage 5D CKD group (AOR, 0.37; 95% CI, 0.33-0.43; P</w:instrText>
      </w:r>
      <w:r w:rsidR="002D20B5">
        <w:rPr>
          <w:rFonts w:ascii="Arial" w:hAnsi="Arial" w:cs="Arial"/>
          <w:shd w:val="clear" w:color="auto" w:fill="FFFFFF"/>
        </w:rPr>
        <w:instrText> </w:instrText>
      </w:r>
      <w:r w:rsidR="002D20B5">
        <w:rPr>
          <w:shd w:val="clear" w:color="auto" w:fill="FFFFFF"/>
        </w:rPr>
        <w:instrText>&lt;</w:instrText>
      </w:r>
      <w:r w:rsidR="002D20B5">
        <w:rPr>
          <w:rFonts w:ascii="Arial" w:hAnsi="Arial" w:cs="Arial"/>
          <w:shd w:val="clear" w:color="auto" w:fill="FFFFFF"/>
        </w:rPr>
        <w:instrText> </w:instrText>
      </w:r>
      <w:r w:rsidR="002D20B5">
        <w:rPr>
          <w:shd w:val="clear" w:color="auto" w:fill="FFFFFF"/>
        </w:rPr>
        <w:instrText>.001) but similar compared with the non-CKD group (AOR, 1.14; 95% CI, 0.99-1.31; P</w:instrText>
      </w:r>
      <w:r w:rsidR="002D20B5">
        <w:rPr>
          <w:rFonts w:ascii="Arial" w:hAnsi="Arial" w:cs="Arial"/>
          <w:shd w:val="clear" w:color="auto" w:fill="FFFFFF"/>
        </w:rPr>
        <w:instrText> </w:instrText>
      </w:r>
      <w:r w:rsidR="002D20B5">
        <w:rPr>
          <w:shd w:val="clear" w:color="auto" w:fill="FFFFFF"/>
        </w:rPr>
        <w:instrText>=</w:instrText>
      </w:r>
      <w:r w:rsidR="002D20B5">
        <w:rPr>
          <w:rFonts w:ascii="Arial" w:hAnsi="Arial" w:cs="Arial"/>
          <w:shd w:val="clear" w:color="auto" w:fill="FFFFFF"/>
        </w:rPr>
        <w:instrText> </w:instrText>
      </w:r>
      <w:r w:rsidR="002D20B5">
        <w:rPr>
          <w:shd w:val="clear" w:color="auto" w:fill="FFFFFF"/>
        </w:rPr>
        <w:instrText>.08). Among renal transplant recipients with STEMI, the use of reperfusion increased from 53.7% in the 2003-2004 interval to 81.4% in the 2011-2013 interval (AOR, 1.33; 95% CI, 1.25-1.43; P</w:instrText>
      </w:r>
      <w:r w:rsidR="002D20B5">
        <w:rPr>
          <w:rFonts w:ascii="Arial" w:hAnsi="Arial" w:cs="Arial"/>
          <w:shd w:val="clear" w:color="auto" w:fill="FFFFFF"/>
        </w:rPr>
        <w:instrText> </w:instrText>
      </w:r>
      <w:r w:rsidR="002D20B5">
        <w:rPr>
          <w:shd w:val="clear" w:color="auto" w:fill="FFFFFF"/>
        </w:rPr>
        <w:instrText>&lt;</w:instrText>
      </w:r>
      <w:r w:rsidR="002D20B5">
        <w:rPr>
          <w:rFonts w:ascii="Arial" w:hAnsi="Arial" w:cs="Arial"/>
          <w:shd w:val="clear" w:color="auto" w:fill="FFFFFF"/>
        </w:rPr>
        <w:instrText> </w:instrText>
      </w:r>
      <w:r w:rsidR="002D20B5">
        <w:rPr>
          <w:shd w:val="clear" w:color="auto" w:fill="FFFFFF"/>
        </w:rPr>
        <w:instrText>.001 for trend), whereas risk-adjusted in-hospital mortality remained unchanged during the study period, from 8.9% in the 2003-2004 interval to 6.1% in the 2011-2013 interval (AOR, 0.94; 95% CI, 0.85-1.05; P</w:instrText>
      </w:r>
      <w:r w:rsidR="002D20B5">
        <w:rPr>
          <w:rFonts w:ascii="Arial" w:hAnsi="Arial" w:cs="Arial"/>
          <w:shd w:val="clear" w:color="auto" w:fill="FFFFFF"/>
        </w:rPr>
        <w:instrText> </w:instrText>
      </w:r>
      <w:r w:rsidR="002D20B5">
        <w:rPr>
          <w:shd w:val="clear" w:color="auto" w:fill="FFFFFF"/>
        </w:rPr>
        <w:instrText>=</w:instrText>
      </w:r>
      <w:r w:rsidR="002D20B5">
        <w:rPr>
          <w:rFonts w:ascii="Arial" w:hAnsi="Arial" w:cs="Arial"/>
          <w:shd w:val="clear" w:color="auto" w:fill="FFFFFF"/>
        </w:rPr>
        <w:instrText> </w:instrText>
      </w:r>
      <w:r w:rsidR="002D20B5">
        <w:rPr>
          <w:shd w:val="clear" w:color="auto" w:fill="FFFFFF"/>
        </w:rPr>
        <w:instrText xml:space="preserve">.27 for trend).\nCONCLUSIONS AND RELEVANCE: In-hospital mortality rates in renal transplant recipients with STEMI are more favorable compared with those of patients with stage 5D CKD and approach those of the general population with STEMI.","container-title":"JAMA cardiology","DOI":"10.1001/jamacardio.2016.5131","ISSN":"2380-6591","issue":"3","journalAbbreviation":"JAMA Cardiol","language":"eng","note":"PMID: 28097322","page":"250-258","source":"PubMed","title":"Management and Outcomes of ST-Segment Elevation Myocardial Infarction in US Renal Transplant Recipients","volume":"2","author":[{"family":"Gupta","given":"Tanush"},{"family":"Kolte","given":"Dhaval"},{"family":"Khera","given":"Sahil"},{"family":"Goel","given":"Kashish"},{"family":"Aronow","given":"Wilbert S."},{"family":"Cooper","given":"Howard A."},{"family":"Jain","given":"Diwakar"},{"family":"Rihal","given":"Charanjit S."},{"family":"Fonarow","given":"Gregg C."},{"family":"Panza","given":"Julio A."},{"family":"Bhatt","given":"Deepak L."}],"issued":{"date-parts":[["2017",3,1]]}}}],"schema":"https://github.com/citation-style-language/schema/raw/master/csl-citation.json"} </w:instrText>
      </w:r>
      <w:r>
        <w:rPr>
          <w:shd w:val="clear" w:color="auto" w:fill="FFFFFF"/>
        </w:rPr>
        <w:fldChar w:fldCharType="separate"/>
      </w:r>
      <w:r w:rsidR="002D20B5" w:rsidRPr="002D20B5">
        <w:rPr>
          <w:rFonts w:ascii="Calibri" w:hAnsi="Calibri" w:cs="Calibri"/>
          <w:vertAlign w:val="superscript"/>
        </w:rPr>
        <w:t>228</w:t>
      </w:r>
      <w:r>
        <w:rPr>
          <w:shd w:val="clear" w:color="auto" w:fill="FFFFFF"/>
        </w:rPr>
        <w:fldChar w:fldCharType="end"/>
      </w:r>
      <w:r w:rsidRPr="00524CA4">
        <w:rPr>
          <w:shd w:val="clear" w:color="auto" w:fill="FFFFFF"/>
        </w:rPr>
        <w:t xml:space="preserve">. Kidney transplant recipients can be safely treated with </w:t>
      </w:r>
      <w:r w:rsidRPr="00524CA4">
        <w:rPr>
          <w:shd w:val="clear" w:color="auto" w:fill="FFFFFF"/>
        </w:rPr>
        <w:lastRenderedPageBreak/>
        <w:t>coronary revascularisation procedures</w:t>
      </w:r>
      <w:r>
        <w:rPr>
          <w:shd w:val="clear" w:color="auto" w:fill="FFFFFF"/>
        </w:rPr>
        <w:t xml:space="preserve"> </w:t>
      </w:r>
      <w:r>
        <w:rPr>
          <w:shd w:val="clear" w:color="auto" w:fill="FFFFFF"/>
        </w:rPr>
        <w:fldChar w:fldCharType="begin"/>
      </w:r>
      <w:r w:rsidR="002D20B5">
        <w:rPr>
          <w:shd w:val="clear" w:color="auto" w:fill="FFFFFF"/>
        </w:rPr>
        <w:instrText xml:space="preserve"> ADDIN ZOTERO_ITEM CSL_CITATION {"citationID":"Qn6rJWa8","properties":{"formattedCitation":"\\super 229,230\\nosupersub{}","plainCitation":"229,230","noteIndex":0},"citationItems":[{"id":19222,"uris":["http://zotero.org/users/3444308/items/MJMI24W7"],"itemData":{"id":19222,"type":"article-journal","abstract":"BACKGROUND: Retrospective studies in dialysis patients have reported increased survival after coronary artery bypass (CAB) compared with coronary artery stenting and PTCA. The purpose of this study was to compare the long-term outcome of renal transplant recipients after stent, PTCA, or CAB with or without internal mammary grafting (CAB [IMG+] or CAB [IMG-]).\nMETHODS AND RESULTS: Renal transplant recipients hospitalized from 1995 to 1999 for first coronary revascularization procedure were retrospectively identified from the United States Renal Data System database. Event-free survival for the end points of all-cause death, cardiac death, acute myocardial infarction (AMI), and the combined end point of cardiac death or AMI was estimated by the life-table method. The impact of independent predictors on survival was examined in a comorbidity-adjusted Cox model. In-hospital mortality rate was 2.3% for 909 stent patients, 4.3% for 652 PTCA patients, 9.4% for 288 CAB (IMG-) patients, and 5.0% for 812 CAB (IMG+) patients. Two-year all-cause survival (+/-SE) was: stent, 82.5+/-2.8%; PTCA, 81.6+/-3.1%; CAB (IMG-), 74.4+/-5.4%; and CAB (IMG+), 82.7+/-2.8%. The relative risks of all-cause and cardiac death were not significantly different among revascularization groups. The relative risk of cardiac death or AMI (versus PTCA) was 0.90 (95% CI, 0.69 to 1.17) for stent, 0.80 (95% CI, 0.55 to 1.17) for CAB (IMG-), and 0.57 (95% CI, 0.42 to 0.76) for CAB (IMG+).\nCONCLUSIONS: Renal transplant recipients in the United States have comparable long-term survival after percutaneous and surgical coronary revascularization procedures. The most favorable long-term outcome occurs after surgical coronary revascularization.","container-title":"Circulation","DOI":"10.1161/01.CIR.0000129317.12580.68","ISSN":"1524-4539","issue":"23","journalAbbreviation":"Circulation","language":"eng","note":"PMID: 15159290","page":"2866-2871","source":"PubMed","title":"Long-term outcome of renal transplant recipients in the United States after coronary revascularization procedures","volume":"109","author":[{"family":"Herzog","given":"Charles A."},{"family":"Ma","given":"Jennie Z."},{"family":"Collins","given":"Allan J."}],"issued":{"date-parts":[["2004",6,15]]}}},{"id":19221,"uris":["http://zotero.org/users/3444308/items/GI9MDHSE"],"itemData":{"id":19221,"type":"article-journal","abstract":"BACKGROUND: Kidney transplant recipients (KTR) reflect a high-risk population for coronary artery disease (CAD). CAD is the most common cause for morbidity and mortality in this population. However, only few data are available on the favourable revascularization strategy for these patients as they were often excluded from studies and not mentioned in guidelines.\nMETHODS: This retrospective single-centre study includes patients with a history of kidney transplantation undergoing myocardial revascularization for multivessel or left main CAD by either percutaneous coronary intervention (PCI, n</w:instrText>
      </w:r>
      <w:r w:rsidR="002D20B5">
        <w:rPr>
          <w:rFonts w:ascii="Arial" w:hAnsi="Arial" w:cs="Arial"/>
          <w:shd w:val="clear" w:color="auto" w:fill="FFFFFF"/>
        </w:rPr>
        <w:instrText> </w:instrText>
      </w:r>
      <w:r w:rsidR="002D20B5">
        <w:rPr>
          <w:shd w:val="clear" w:color="auto" w:fill="FFFFFF"/>
        </w:rPr>
        <w:instrText>=</w:instrText>
      </w:r>
      <w:r w:rsidR="002D20B5">
        <w:rPr>
          <w:rFonts w:ascii="Arial" w:hAnsi="Arial" w:cs="Arial"/>
          <w:shd w:val="clear" w:color="auto" w:fill="FFFFFF"/>
        </w:rPr>
        <w:instrText> </w:instrText>
      </w:r>
      <w:r w:rsidR="002D20B5">
        <w:rPr>
          <w:shd w:val="clear" w:color="auto" w:fill="FFFFFF"/>
        </w:rPr>
        <w:instrText>27 patients) or coronary artery bypass grafting (CABG, n</w:instrText>
      </w:r>
      <w:r w:rsidR="002D20B5">
        <w:rPr>
          <w:rFonts w:ascii="Arial" w:hAnsi="Arial" w:cs="Arial"/>
          <w:shd w:val="clear" w:color="auto" w:fill="FFFFFF"/>
        </w:rPr>
        <w:instrText> </w:instrText>
      </w:r>
      <w:r w:rsidR="002D20B5">
        <w:rPr>
          <w:shd w:val="clear" w:color="auto" w:fill="FFFFFF"/>
        </w:rPr>
        <w:instrText>=</w:instrText>
      </w:r>
      <w:r w:rsidR="002D20B5">
        <w:rPr>
          <w:rFonts w:ascii="Arial" w:hAnsi="Arial" w:cs="Arial"/>
          <w:shd w:val="clear" w:color="auto" w:fill="FFFFFF"/>
        </w:rPr>
        <w:instrText> </w:instrText>
      </w:r>
      <w:r w:rsidR="002D20B5">
        <w:rPr>
          <w:shd w:val="clear" w:color="auto" w:fill="FFFFFF"/>
        </w:rPr>
        <w:instrText>24 patients) at University Hospital Frankfurt, Germany, between 2005 and 2015.\nRESULTS: In-hospital mortality was higher in the CABG group (20.8% vs. 14.8% PCI group; p</w:instrText>
      </w:r>
      <w:r w:rsidR="002D20B5">
        <w:rPr>
          <w:rFonts w:ascii="Arial" w:hAnsi="Arial" w:cs="Arial"/>
          <w:shd w:val="clear" w:color="auto" w:fill="FFFFFF"/>
        </w:rPr>
        <w:instrText> </w:instrText>
      </w:r>
      <w:r w:rsidR="002D20B5">
        <w:rPr>
          <w:shd w:val="clear" w:color="auto" w:fill="FFFFFF"/>
        </w:rPr>
        <w:instrText>=</w:instrText>
      </w:r>
      <w:r w:rsidR="002D20B5">
        <w:rPr>
          <w:rFonts w:ascii="Arial" w:hAnsi="Arial" w:cs="Arial"/>
          <w:shd w:val="clear" w:color="auto" w:fill="FFFFFF"/>
        </w:rPr>
        <w:instrText> </w:instrText>
      </w:r>
      <w:r w:rsidR="002D20B5">
        <w:rPr>
          <w:shd w:val="clear" w:color="auto" w:fill="FFFFFF"/>
        </w:rPr>
        <w:instrText>0.45). In Kaplan-Meier analysis, one-year-survival showed better outcome in the PCI group (85.2% vs. 75%). After four years, outcome was comparable between both strategies (PCI 66.5% vs. CABG 70.8%; log-rank p</w:instrText>
      </w:r>
      <w:r w:rsidR="002D20B5">
        <w:rPr>
          <w:rFonts w:ascii="Arial" w:hAnsi="Arial" w:cs="Arial"/>
          <w:shd w:val="clear" w:color="auto" w:fill="FFFFFF"/>
        </w:rPr>
        <w:instrText> </w:instrText>
      </w:r>
      <w:r w:rsidR="002D20B5">
        <w:rPr>
          <w:shd w:val="clear" w:color="auto" w:fill="FFFFFF"/>
        </w:rPr>
        <w:instrText>=</w:instrText>
      </w:r>
      <w:r w:rsidR="002D20B5">
        <w:rPr>
          <w:rFonts w:ascii="Arial" w:hAnsi="Arial" w:cs="Arial"/>
          <w:shd w:val="clear" w:color="auto" w:fill="FFFFFF"/>
        </w:rPr>
        <w:instrText> </w:instrText>
      </w:r>
      <w:r w:rsidR="002D20B5">
        <w:rPr>
          <w:shd w:val="clear" w:color="auto" w:fill="FFFFFF"/>
        </w:rPr>
        <w:instrText>0.94).Acute kidney injury (AKI), classified by Acute Kidney Injury Network, was observed more frequently after CABG (58.3% vs. 18.5%; p</w:instrText>
      </w:r>
      <w:r w:rsidR="002D20B5">
        <w:rPr>
          <w:rFonts w:ascii="Arial" w:hAnsi="Arial" w:cs="Arial"/>
          <w:shd w:val="clear" w:color="auto" w:fill="FFFFFF"/>
        </w:rPr>
        <w:instrText> </w:instrText>
      </w:r>
      <w:r w:rsidR="002D20B5">
        <w:rPr>
          <w:shd w:val="clear" w:color="auto" w:fill="FFFFFF"/>
        </w:rPr>
        <w:instrText>&lt;</w:instrText>
      </w:r>
      <w:r w:rsidR="002D20B5">
        <w:rPr>
          <w:rFonts w:ascii="Arial" w:hAnsi="Arial" w:cs="Arial"/>
          <w:shd w:val="clear" w:color="auto" w:fill="FFFFFF"/>
        </w:rPr>
        <w:instrText> </w:instrText>
      </w:r>
      <w:r w:rsidR="002D20B5">
        <w:rPr>
          <w:shd w:val="clear" w:color="auto" w:fill="FFFFFF"/>
        </w:rPr>
        <w:instrText>0.01). After one year, graft survival was 95.7% in the PCI group and 94.1% in the CABG group. Four year follow-up showed comparable graft survival in both groups (76.8% PCI and 77.0% CABG; p</w:instrText>
      </w:r>
      <w:r w:rsidR="002D20B5">
        <w:rPr>
          <w:rFonts w:ascii="Arial" w:hAnsi="Arial" w:cs="Arial"/>
          <w:shd w:val="clear" w:color="auto" w:fill="FFFFFF"/>
        </w:rPr>
        <w:instrText> </w:instrText>
      </w:r>
      <w:r w:rsidR="002D20B5">
        <w:rPr>
          <w:shd w:val="clear" w:color="auto" w:fill="FFFFFF"/>
        </w:rPr>
        <w:instrText>=</w:instrText>
      </w:r>
      <w:r w:rsidR="002D20B5">
        <w:rPr>
          <w:rFonts w:ascii="Arial" w:hAnsi="Arial" w:cs="Arial"/>
          <w:shd w:val="clear" w:color="auto" w:fill="FFFFFF"/>
        </w:rPr>
        <w:instrText> </w:instrText>
      </w:r>
      <w:r w:rsidR="002D20B5">
        <w:rPr>
          <w:shd w:val="clear" w:color="auto" w:fill="FFFFFF"/>
        </w:rPr>
        <w:instrText xml:space="preserve">0.78).\nCONCLUSION: In this retrospective single-centre study of KTR requiring myocardial revascularization, PCI seems to be superior to CABG with regard to in-hospital mortality, acute kidney injury and one-year-survival. To optimise treatment of these high-risk patients, larger-scaled studies are urgently warranted.","container-title":"International Journal of Cardiology. Heart &amp; Vasculature","DOI":"10.1016/j.ijcha.2018.10.010","ISSN":"2352-9067","journalAbbreviation":"Int J Cardiol Heart Vasc","language":"eng","note":"PMID: 30426068\nPMCID: PMC6224329","page":"96-102","source":"PubMed","title":"Comparison of interventional and surgical myocardial revascularization in kidney transplant recipients - A single-centre retrospective analysis","volume":"21","author":[{"family":"Lang","given":"Jeannine"},{"family":"Buettner","given":"Stefan"},{"family":"Weiler","given":"Helge"},{"family":"Papadopoulos","given":"Nestoras"},{"family":"Geiger","given":"Helmut"},{"family":"Hauser","given":"Ingeborg"},{"family":"Vasa-Nicotera","given":"Mariuca"},{"family":"Zeiher","given":"Andreas"},{"family":"Fichtlscherer","given":"Stephan"},{"family":"Honold","given":"Joerg"}],"issued":{"date-parts":[["2018",12]]}}}],"schema":"https://github.com/citation-style-language/schema/raw/master/csl-citation.json"} </w:instrText>
      </w:r>
      <w:r>
        <w:rPr>
          <w:shd w:val="clear" w:color="auto" w:fill="FFFFFF"/>
        </w:rPr>
        <w:fldChar w:fldCharType="separate"/>
      </w:r>
      <w:r w:rsidR="002D20B5" w:rsidRPr="002D20B5">
        <w:rPr>
          <w:rFonts w:ascii="Calibri" w:hAnsi="Calibri" w:cs="Calibri"/>
          <w:vertAlign w:val="superscript"/>
        </w:rPr>
        <w:t>229,230</w:t>
      </w:r>
      <w:r>
        <w:rPr>
          <w:shd w:val="clear" w:color="auto" w:fill="FFFFFF"/>
        </w:rPr>
        <w:fldChar w:fldCharType="end"/>
      </w:r>
      <w:r w:rsidRPr="00524CA4">
        <w:rPr>
          <w:shd w:val="clear" w:color="auto" w:fill="FFFFFF"/>
        </w:rPr>
        <w:t xml:space="preserve"> </w:t>
      </w:r>
      <w:r w:rsidRPr="00524CA4">
        <w:t>and there is no reason to believe that will benefit less than patients in the general population, many of whom have renal impairment. Therefore, patients with renal transplants should have equal access to cardiac investigations and surgery as patients without CKD.</w:t>
      </w:r>
    </w:p>
    <w:p w14:paraId="3573D4B4" w14:textId="09AF2235" w:rsidR="00ED6CD4" w:rsidRPr="00524CA4" w:rsidRDefault="00ED6CD4" w:rsidP="008C7816">
      <w:pPr>
        <w:rPr>
          <w:shd w:val="clear" w:color="auto" w:fill="FFFFFF"/>
        </w:rPr>
      </w:pPr>
      <w:r w:rsidRPr="00524CA4">
        <w:t>Heart failure can present de novo in renal transplant recipients with a cumulative incidence of 18.3% at 36 months</w:t>
      </w:r>
      <w:r>
        <w:t xml:space="preserve"> </w:t>
      </w:r>
      <w:r>
        <w:fldChar w:fldCharType="begin"/>
      </w:r>
      <w:r w:rsidR="002D20B5">
        <w:instrText xml:space="preserve"> ADDIN ZOTERO_ITEM CSL_CITATION {"citationID":"1lWqO1y0","properties":{"formattedCitation":"\\super 231\\nosupersub{}","plainCitation":"231","noteIndex":0},"citationItems":[{"id":19220,"uris":["http://zotero.org/users/3444308/items/RBVEUSVA"],"itemData":{"id":19220,"type":"article-journal","abstract":"BACKGROUND: We aim to describe the risk, predictors, and outcomes associated with de novo congestive heart failure (CHF) after kidney transplantation.\nMETHODS: We used registry data from the US Renal Data System to retrospectively investigate de novo CHF in adult Medicare-insured transplant recipients and wait-listed candidates in 1995 to 2001. Heart failure was ascertained from inpatient and outpatient billing records, and participants were followed up until loss of Medicare or December 31, 2001. We used extended Cox hazards analysis to identify independent correlates of posttransplantation de novo CHF (adjusted hazard ratio [AHR], 95% confidence interval [CI]) and examine de novo CHF as a predictor of death and graft loss after transplantation.\nRESULTS: In 27,011 transplant recipients, cumulative incidences of de novo CHF were 10.2% (95% CI, 9.8 to 10.6) and 18.3% (95% CI, 17.8 to 18.9) at 12 and 36 months and decreased to less than the demographic-adjusted incidence on the waiting list beyond the early posttransplantation period. Risk factors for de novo CHF included older recipient age, female sex, unemployed status at transplantation, pretransplantation comorbidities (anemia, diabetes mellitus, myocardial infarction, angina, cardiac arrhythmia, and peripheral vascular disease), transplant from older donors, donor cardiovascular death, and delayed graft function. We identified pretransplantation obesity, smoking, and posttransplantation complications, including hypertension, anemia, new-onset diabetes, myocardial infarction, and graft failure, as potentially modifiable correlates of de novo CHF. In separate analyses, de novo CHF predicted death (AHR, 2.6; 95% CI, 2.4 to 2.9) and death-censored graft failure (AHR, 2.7; 95% CI, 2.4 to 3.0).\nCONCLUSION: Although associations may not reflect causality, identification of potentially mutable de novo CHF risk factors suggests targets for improving outcomes that should be evaluated prospectively.","container-title":"American Journal of Kidney Diseases: The Official Journal of the National Kidney Foundation","DOI":"10.1053/j.ajkd.2005.06.019","ISSN":"1523-6838","issue":"4","journalAbbreviation":"Am J Kidney Dis","language":"eng","note":"PMID: 16183428","page":"720-733","source":"PubMed","title":"De novo congestive heart failure after kidney transplantation: a common condition with poor prognostic implications","title-short":"De novo congestive heart failure after kidney transplantation","volume":"46","author":[{"family":"Lentine","given":"Krista L."},{"family":"Schnitzler","given":"Mark A."},{"family":"Abbott","given":"Kevin C."},{"family":"Li","given":"Leiming"},{"family":"Burroughs","given":"Thomas E."},{"family":"Irish","given":"William"},{"family":"Brennan","given":"Daniel C."}],"issued":{"date-parts":[["2005",10]]}}}],"schema":"https://github.com/citation-style-language/schema/raw/master/csl-citation.json"} </w:instrText>
      </w:r>
      <w:r>
        <w:fldChar w:fldCharType="separate"/>
      </w:r>
      <w:r w:rsidR="002D20B5" w:rsidRPr="002D20B5">
        <w:rPr>
          <w:rFonts w:ascii="Calibri" w:hAnsi="Calibri" w:cs="Calibri"/>
          <w:vertAlign w:val="superscript"/>
        </w:rPr>
        <w:t>231</w:t>
      </w:r>
      <w:r>
        <w:fldChar w:fldCharType="end"/>
      </w:r>
      <w:r w:rsidRPr="00524CA4">
        <w:t xml:space="preserve">. Established treatments with a prognostic benefit in heart failure with reduced ejection fraction, such as mineralocorticoid receptor antagonists, sacubitril/valsartan and </w:t>
      </w:r>
      <w:r w:rsidRPr="00962A8B">
        <w:t>ACE</w:t>
      </w:r>
      <w:r w:rsidRPr="00524CA4">
        <w:t xml:space="preserve"> inhibitors, </w:t>
      </w:r>
      <w:r w:rsidRPr="00524CA4">
        <w:rPr>
          <w:lang w:val="en-US"/>
        </w:rPr>
        <w:t>are at least as effective in patients with mild degrees of renal impairment (non-transplant) as those with normal renal function (among those who met the inclusion criteria of the trials). Despite the lack of evidence in renal transplant populations, in the absence of specific safety considerations, these regimes</w:t>
      </w:r>
      <w:r w:rsidRPr="00524CA4">
        <w:t xml:space="preserve"> may be used in renal transplant recipients according to their level of eGFR as would in non-transplant CKD. Over the last few years, abundance of good quality evidence has suggested a cardioprotective role of SGLT2 inhibitors in heart failure and CKD irrespective of the presence of diabetes. Though trials have excluded patients with kidney transplants, data from retrospective cohorts have demonstrated no safety concerns in transplant recipients who were treated with SGLT2 inhibitors for diabetes</w:t>
      </w:r>
      <w:r>
        <w:t xml:space="preserve"> </w:t>
      </w:r>
      <w:r>
        <w:fldChar w:fldCharType="begin"/>
      </w:r>
      <w:r w:rsidR="002D20B5">
        <w:instrText xml:space="preserve"> ADDIN ZOTERO_ITEM CSL_CITATION {"citationID":"LmnbfDD4","properties":{"formattedCitation":"\\super 214,215\\nosupersub{}","plainCitation":"214,215","noteIndex":0},"citationItems":[{"id":19092,"uris":["http://zotero.org/users/3444308/items/CP89DPG2","http://zotero.org/users/3444308/items/7GU5BP6H"],"itemData":{"id":19092,"type":"article-journal","abstract":"OBJECTIVE: Sodium-glucose cotransporter 2 (SGLT2) inhibitors have lately become the recommended treatment in patients with type 2 diabetes and high cardiovascular risk. Patients with posttransplant diabetes mellitus (PTDM) also have high cardiovascular risk. The aim of this study was to investigate the safety and efficacy of empagliflozin in renal transplant recipients with PTDM.\nRESEARCH DESIGN AND METHODS: Forty-nine renal transplant recipients were included in an investigator-initiated, single-center, prospective, double-blind study and randomized to receive either 10 mg empagliflozin or placebo once daily for 24 weeks. Patients transplanted &gt;1 year ago, diagnosed with PTDM, with stable renal function (estimated glomerular filtration rate [eGFR] &gt;30 mL/min/1.73 m2), and with stable immunosuppressive therapy were studied.\nRESULTS: Forty-four renal transplant recipients (22 empagliflozin/22 placebo, 34 males) completed the study. Median (interquartile range) change in glycated hemoglobin (HbA1c) was significantly reduced with empagliflozin compared with placebo: -0.2% (-0.6, -0.1) (-2.0 mmol/mol [-6.5, -1.0]) vs. 0.1% (-0.1, 0.4) (1.0 mmol/mol [-0.75, 3.8]) (P = 0.025). The magnitude of glucose reduction was dependent on GFR and baseline HbA1c. The treatment also resulted in a significant reduction in body weight of -2.5 kg (-4.0, -0.05) compared with an increase of 1.0 kg (0.0, 2.0) in the placebo group (P = 0.014). There were no significant differences between the groups in adverse events, immunosuppressive drug levels, or eGFR.\nCONCLUSIONS: Empagliflozin appeared safe and improved glycemic control in renal transplant recipients with PTDM compared with placebo. A concomitant reduction in body weight was seen.","container-title":"Diabetes Care","DOI":"10.2337/dc19-0093","ISSN":"1935-5548","issue":"6","journalAbbreviation":"Diabetes Care","language":"eng","note":"PMID: 30862658","page":"1067-1074","source":"PubMed","title":"Efficacy and Safety of Empagliflozin in Renal Transplant Recipients With Posttransplant Diabetes Mellitus","volume":"42","author":[{"family":"Halden","given":"Thea Anine Strøm"},{"family":"Kvitne","given":"Kine Eide"},{"family":"Midtvedt","given":"Karsten"},{"family":"Rajakumar","given":"Laavanyaah"},{"family":"Robertsen","given":"Ida"},{"family":"Brox","given":"Jan"},{"family":"Bollerslev","given":"Jens"},{"family":"Hartmann","given":"Anders"},{"family":"Åsberg","given":"Anders"},{"family":"Jenssen","given":"Trond"}],"issued":{"date-parts":[["2019",6]]}}},{"id":19082,"uris":["http://zotero.org/users/3444308/items/7RNY4SUT","http://zotero.org/users/3444308/items/HFA5EMH3"],"itemData":{"id":19082,"type":"article-journal","abstract":"BACKGROUND: The efficacy and safety of sodium-glucose cotransporter 2 inhibitors (SGLT2i) have not been investigated in kidney transplant recipients (KTRs) with diabetes. We evaluated the impact of SGLT2i in a multicenter cohort of diabetic KTRs.\nMETHODS: A total of 2083 KTRs with diabetes were enrolled from 6 transplant centers in Korea. Among them, 226 (10.8%) patients were prescribed SGLT2i for &gt;90 d. The primary outcome was a composite outcome of all-cause mortality, death-censored graft failure (DCGF), and serum creatinine doubling. An acute dip in estimated glomerular filtration rate (eGFR) over 10% was surveyed after SGLT2i use.\nRESULTS: During the mean follow-up of 62.9 ± 42.2 mo, the SGLT2i group had a lower risk of primary composite outcome than the control group in the multivariate and propensity score-matched models (adjusted hazard ratio, 0.43; 95% confidence interval, 0.24-0.78; P = 0.006 and adjusted hazard ratio, 0.45; 95% confidence interval, 0.24-0.85; P = 0.013, respectively). Multivariate analyses consistently showed a decreased risk of DCGF and serum creatinine doubling in the SGLT2i group. The overall eGFR remained stable without the initial dip after SGLT2i use. A minority (15.6%) of the SGLT2i users showed acute eGFR dip during the first month, but the eGFR recovered thereafter. The risk factors for the eGFR dip were time from transplantation to SGLT2i usage and mean tacrolimus trough level.\nCONCLUSIONS: SGLT2i improved a composite of all-cause mortality, DCGF, or serum creatinine doubling in KTRs. SGLT2i can be used safely and have beneficial effects on preserving graft function in diabetic KTRs.","container-title":"Transplantation","DOI":"10.1097/TP.0000000000004228","ISSN":"1534-6080","issue":"9","journalAbbreviation":"Transplantation","language":"eng","note":"PMID: 35768908","page":"e404-e412","source":"PubMed","title":"The Efficacy and Safety of SGLT2 Inhibitor in Diabetic Kidney Transplant Recipients","volume":"106","author":[{"family":"Lim","given":"Jeong-Hoon"},{"family":"Kwon","given":"Soie"},{"family":"Jeon","given":"Yena"},{"family":"Kim","given":"Young Hoon"},{"family":"Kwon","given":"Hyunwook"},{"family":"Kim","given":"Yon Su"},{"family":"Lee","given":"Hajeong"},{"family":"Kim","given":"Yong-Lim"},{"family":"Kim","given":"Chan-Duck"},{"family":"Park","given":"Sun-Hee"},{"family":"Lee","given":"Jong Soo"},{"family":"Yoo","given":"Kyung Don"},{"family":"Son","given":"Hyung Eun"},{"family":"Jeong","given":"Jong Cheol"},{"family":"Lee","given":"Jeonghwan"},{"family":"Lee","given":"Jung Pyo"},{"family":"Cho","given":"Jang-Hee"}],"issued":{"date-parts":[["2022",9,1]]}}}],"schema":"https://github.com/citation-style-language/schema/raw/master/csl-citation.json"} </w:instrText>
      </w:r>
      <w:r>
        <w:fldChar w:fldCharType="separate"/>
      </w:r>
      <w:r w:rsidR="002D20B5" w:rsidRPr="002D20B5">
        <w:rPr>
          <w:rFonts w:ascii="Calibri" w:hAnsi="Calibri" w:cs="Calibri"/>
          <w:vertAlign w:val="superscript"/>
        </w:rPr>
        <w:t>214,215</w:t>
      </w:r>
      <w:r>
        <w:fldChar w:fldCharType="end"/>
      </w:r>
      <w:r w:rsidRPr="00524CA4">
        <w:rPr>
          <w:shd w:val="clear" w:color="auto" w:fill="FFFFFF"/>
        </w:rPr>
        <w:t xml:space="preserve">. Therefore, there is no reason to believe that these benefits would not extend to the renal transplant population. As a result, we suggest that in the presence of heart failure, treatment with a SGLT2 inhibitor may be considered and agreed with a multidisciplinary approach, involving both nephrologist and cardiologist. </w:t>
      </w:r>
    </w:p>
    <w:p w14:paraId="79004DC8" w14:textId="38F3A336" w:rsidR="00ED6CD4" w:rsidRPr="008C7816" w:rsidRDefault="008C7816" w:rsidP="008C7816">
      <w:pPr>
        <w:pStyle w:val="GuidelineHeadings"/>
        <w:rPr>
          <w:rStyle w:val="eop"/>
          <w:rFonts w:cstheme="minorHAnsi"/>
          <w:sz w:val="22"/>
          <w:szCs w:val="22"/>
        </w:rPr>
      </w:pPr>
      <w:r>
        <w:t xml:space="preserve">Guideline </w:t>
      </w:r>
      <w:r w:rsidRPr="008C7816">
        <w:t xml:space="preserve">5.5 </w:t>
      </w:r>
      <w:r>
        <w:t>–</w:t>
      </w:r>
      <w:r w:rsidRPr="008C7816">
        <w:t xml:space="preserve"> Smoking cessation</w:t>
      </w:r>
      <w:r w:rsidR="00ED6CD4" w:rsidRPr="005F2801">
        <w:rPr>
          <w:rStyle w:val="eop"/>
          <w:rFonts w:ascii="Arial" w:hAnsi="Arial" w:cs="Arial"/>
          <w:color w:val="9C1F4C"/>
          <w:sz w:val="28"/>
          <w:szCs w:val="28"/>
          <w:shd w:val="clear" w:color="auto" w:fill="FFFFFF"/>
        </w:rPr>
        <w:t> </w:t>
      </w:r>
    </w:p>
    <w:p w14:paraId="11DE13A4" w14:textId="7AE6C89D" w:rsidR="00ED6CD4" w:rsidRPr="003B49C9" w:rsidRDefault="00ED6CD4" w:rsidP="00ED6CD4">
      <w:pPr>
        <w:spacing w:line="276" w:lineRule="auto"/>
        <w:jc w:val="both"/>
        <w:rPr>
          <w:rFonts w:cstheme="minorHAnsi"/>
        </w:rPr>
      </w:pPr>
      <w:r w:rsidRPr="003B49C9">
        <w:rPr>
          <w:rFonts w:cstheme="minorHAnsi"/>
        </w:rPr>
        <w:t xml:space="preserve">Cigarette smoking is strongly associated with reduced life expectancy, several forms of malignancy, respiratory disease and premature cardiovascular disease in the general population, whilst also it accelerating the progression of CKD </w:t>
      </w:r>
      <w:r w:rsidRPr="003B49C9">
        <w:rPr>
          <w:rFonts w:cstheme="minorHAnsi"/>
        </w:rPr>
        <w:fldChar w:fldCharType="begin"/>
      </w:r>
      <w:r w:rsidR="002D20B5">
        <w:rPr>
          <w:rFonts w:cstheme="minorHAnsi"/>
        </w:rPr>
        <w:instrText xml:space="preserve"> ADDIN ZOTERO_ITEM CSL_CITATION {"citationID":"2DJ6NcUr","properties":{"formattedCitation":"\\super 232\\nosupersub{}","plainCitation":"232","noteIndex":0},"citationItems":[{"id":19219,"uris":["http://zotero.org/users/3444308/items/3UH9D3S8"],"itemData":{"id":19219,"type":"article-journal","abstract":"Although it is beyond any doubt that smoking is the number one preventable cause of death in most countries, smoking as an independent progression factor in renal disease has been questioned against the background of evidence-based criteria. This is because information from large, randomized, prospective studies that investigate the effects of smoking on renal function in healthy individuals as well as in patients with primary or secondary renal disease are lacking. Since 2003, a substantial number of clinical and experimental data concerning the adverse renal effects of smoking have been published, including large, prospective, population-based, observational studies. These more recent data together with evidence from experimental studies clearly indicate that smoking is a relevant risk factor, conferring a substantial increase in risk for renal function deterioration. This review summarizes the present knowledge about the renal risks of smoking as well as the increased cardiovascular risk caused by smoking in patients with chronic kidney disease. The conclusion is that smoking is an important renal risk factor, and nephrologists have to invest more efforts to motivate patients to stop smoking.","container-title":"Clinical journal of the American Society of Nephrology: CJASN","DOI":"10.2215/CJN.03740907","ISSN":"1555-905X","issue":"1","journalAbbreviation":"Clin J Am Soc Nephrol","language":"eng","note":"PMID: 18003763","page":"226-236","source":"PubMed","title":"Smoking: a risk factor for progression of chronic kidney disease and for cardiovascular morbidity and mortality in renal patients--absence of evidence or evidence of absence?","title-short":"Smoking","volume":"3","author":[{"family":"Orth","given":"Stephan R."},{"family":"Hallan","given":"Stein I."}],"issued":{"date-parts":[["2008",1]]}}}],"schema":"https://github.com/citation-style-language/schema/raw/master/csl-citation.json"}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232</w:t>
      </w:r>
      <w:r w:rsidRPr="003B49C9">
        <w:rPr>
          <w:rFonts w:cstheme="minorHAnsi"/>
        </w:rPr>
        <w:fldChar w:fldCharType="end"/>
      </w:r>
      <w:r w:rsidRPr="003B49C9">
        <w:rPr>
          <w:rFonts w:cstheme="minorHAnsi"/>
        </w:rPr>
        <w:t xml:space="preserve">. Among KTRs, the most recent studies suggest a patient-reported, current smoking incidence of up to 11% </w:t>
      </w:r>
      <w:r w:rsidRPr="003B49C9">
        <w:rPr>
          <w:rFonts w:cstheme="minorHAnsi"/>
        </w:rPr>
        <w:fldChar w:fldCharType="begin"/>
      </w:r>
      <w:r w:rsidR="002D20B5">
        <w:rPr>
          <w:rFonts w:cstheme="minorHAnsi"/>
        </w:rPr>
        <w:instrText xml:space="preserve"> ADDIN ZOTERO_ITEM CSL_CITATION {"citationID":"VH764Ts5","properties":{"formattedCitation":"\\super 233,234\\nosupersub{}","plainCitation":"233,234","noteIndex":0},"citationItems":[{"id":19218,"uris":["http://zotero.org/users/3444308/items/2K36YHTP"],"itemData":{"id":19218,"type":"article-journal","abstract":"Smoking is associated with unfavourable outcome in solid-organ transplant recipients. Nicotine may predispose to kidney injury by increasing oxidative stress. We hypothesized that former smoking negatively affects graft outcome in kidney transplant recipients and especially those with delayed graft function (DGF). We included adult recipients of a kidney transplant between 1 January 2003 and 1 October 2015 at Ghent University Hospital and recorded outcomes until 31 October 2015. We used Kaplan-Meier and multivariable Cox proportional hazard analysis to examine the relationship between former smoking at the time of transplantation and the incidence of 10-year graft loss with and without censoring for death in 1013 participants. We evaluated mean differences in eGFR over time by a random intercept and slope model, considering a linear time effect. After adjusting for potential confounders, a history of smoking was associated with an increased hazard of graft loss (adjusted hazard ratio (aHR) 1.60; 95% CI: 1.17-2.17; P = 0.003) and death-censored graft loss (aHR 2.29; 95% CI: 1.41-3.72; P = 0.001). The linear time trend of eGFR was different between former and never smokers (P = 0.001). To conclude, former smoking exerts long-lasting negative effects on graft outcome and this independent of DGF.","container-title":"Transplant International: Official Journal of the European Society for Organ Transplantation","DOI":"10.1111/tri.12897","ISSN":"1432-2277","issue":"2","journalAbbreviation":"Transpl Int","language":"eng","note":"PMID: 27896857","page":"187-195","source":"PubMed","title":"Former smoking and early and long-term graft outcome in renal transplant recipients: a retrospective cohort study","title-short":"Former smoking and early and long-term graft outcome in renal transplant recipients","volume":"30","author":[{"family":"Van Laecke","given":"Steven"},{"family":"Nagler","given":"Evi Vanessa"},{"family":"Peeters","given":"Patrick"},{"family":"Verbeke","given":"Francis"},{"family":"Van Biesen","given":"Wim"}],"issued":{"date-parts":[["2017",2]]}}},{"id":19072,"uris":["http://zotero.org/users/3444308/items/Q5Y94GMH","http://zotero.org/users/3444308/items/G7AZTBE7"],"itemData":{"id":19072,"type":"article-journal","abstract":"BACKGROUND: Tobacco use remains an international health problem with between 10% and 40% of adults currently using tobacco. Given the rising number of patients either awaiting or having received a kidney transplant and the absence of smoking cessation as the criterion for transplantation in guidelines, we explored the association between smoking status and clinical outcomes in kidney transplant recipients.\nPATIENTS AND METHODS: In this post hoc analysis of the Folic Acid for Vascular Outcome Reduction in Transplant trial, the associations between smoking status, defined as never having smoked, formerly or currently smoking, and both all-cause mortality and graft survival were assessed using Cox proportional hazards models. Fatal events were centrally adjudicated into prespecified categories: all-cause, cardiovascular and non-cardiovascular causes. Graft loss was defined as return to dialysis or retransplantation. Clinical Trials URL: http://www.clinicaltrials.gov/show/NCT00064753.\nRESULTS: Among 4110 transplant recipients, there were 451 current smokers and 1611 former smokers. The mortality rate per 100 patient-years was 4.0 (71 deaths) for smokers, 3.5 (226 deaths) for former smokers and 2.4 (116 deaths) for never smokers. Hazard ratio for mortality for current smokers was 1.70 (CI=1.26-2.29, p=0.001) and for former smokers was 1.21 (0.98-1.50, p=0.08) with 1.0 representing never smokers. As the number of cardiovascular deaths was similar in each group (all p&gt;0.3), the differences between groups was driven by non-cardiovascular death rates. Current smokers (2.39; 1.62-3.61, p&lt;0.001) and former smokers (1.50; 1.12-2.01, p=0.007) had increased hazard of non-cardiovascular death. Kidney allograft failure was more likely in current smokers than in either former or never smokers (3.5, 2.1 and 2.0 per 100 patient-years, p&lt;0.001, adjusted hazard ratio 1.49 and 1.05, respectively).\nCONCLUSION: Continued smoking was associated with &gt;100% increased risk of non-cardiovascular death, 70% greater risk of all-cause mortality and a 50% greater risk of graft loss, a risk not seen in former smokers. These findings confirm previous non-adjudicated observations that smoking is associated with adverse clinical outcomes and suggest that more emphasis should be placed on smoking cessation prior to kidney transplantation.","container-title":"International Journal of Nephrology and Renovascular Disease","DOI":"10.2147/IJNRD.S161001","ISSN":"1178-7058","journalAbbreviation":"Int J Nephrol Renovasc Dis","language":"eng","note":"PMID: 29760559\nPMCID: PMC5937486","page":"155-164","source":"PubMed","title":"Smoking and outcomes in kidney transplant recipients: a post hoc survival analysis of the FAVORIT trial","title-short":"Smoking and outcomes in kidney transplant recipients","volume":"11","author":[{"family":"Weinrauch","given":"Larry A."},{"family":"Claggett","given":"Brian"},{"family":"Liu","given":"Jiankang"},{"family":"Finn","given":"Peter V."},{"family":"Weir","given":"Matthew R."},{"family":"Weiner","given":"Daniel E."},{"family":"D'Elia","given":"John A."}],"issued":{"date-parts":[["2018"]]}}}],"schema":"https://github.com/citation-style-language/schema/raw/master/csl-citation.json"}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233,234</w:t>
      </w:r>
      <w:r w:rsidRPr="003B49C9">
        <w:rPr>
          <w:rFonts w:cstheme="minorHAnsi"/>
        </w:rPr>
        <w:fldChar w:fldCharType="end"/>
      </w:r>
      <w:r w:rsidRPr="003B49C9">
        <w:rPr>
          <w:rFonts w:cstheme="minorHAnsi"/>
        </w:rPr>
        <w:t xml:space="preserve">, i.e. lower than previously thought, though the real incidence assessed by cotinine levels in blood might actually be higher </w:t>
      </w:r>
      <w:r w:rsidRPr="003B49C9">
        <w:rPr>
          <w:rFonts w:cstheme="minorHAnsi"/>
        </w:rPr>
        <w:fldChar w:fldCharType="begin"/>
      </w:r>
      <w:r w:rsidR="002D20B5">
        <w:rPr>
          <w:rFonts w:cstheme="minorHAnsi"/>
        </w:rPr>
        <w:instrText xml:space="preserve"> ADDIN ZOTERO_ITEM CSL_CITATION {"citationID":"xmwRgEgS","properties":{"formattedCitation":"\\super 235\\nosupersub{}","plainCitation":"235","noteIndex":0},"citationItems":[{"id":19217,"uris":["http://zotero.org/users/3444308/items/LSB52SM3"],"itemData":{"id":19217,"type":"article-journal","abstract":"BACKGROUND: In renal transplant recipients, smoking is associated with a high burden of cardiovascular disease and a higher risk of graft loss. Surprisingly, the results of measurement of cotinine serum level, the gold standard for the detection of active smoking, have not been confronted with self-reported smoking history in this group. The aim of our study was to identify and characterize the smoking group of renal transplant recipients.\nMETHODS: Cotinine serum level was measured and all patients were asked to fill out an anonymous questionnaire on smoking history.\nRESULTS: Out of 233 renal transplant recipients, 106 (45%) reported to be lifetime and current non-smokers: cotinine serum level was below detection limit in all; among the 127 renal transplant recipients (55%) with a lifetime history of smoking, cotinine level was diagnostic of current smoking in 32 (25%). Only 21 of the current smokers (66%) declared to the nephrologist that they had continued smoking whereas 11 (34%) claimed to be non-smokers. Current smokers were younger (P=0.01) than former smokers.\nCONCLUSION: The identification of current smokers among renal transplant recipients should start with questioning about lifetime history of smoking and if positive, measurement of cotinine serum level. Indeed up to 34% of current smokers do not acknowledge they are active smokers and would otherwise not offer to participate in programmes to stop smoking.","container-title":"Nephrology, Dialysis, Transplantation: Official Publication of the European Dialysis and Transplant Association - European Renal Association","DOI":"10.1093/ndt/gfl849","ISSN":"0931-0509","issue":"7","journalAbbreviation":"Nephrol Dial Transplant","language":"eng","note":"PMID: 17400560","page":"1974-1978","source":"PubMed","title":"Identification of current smokers among renal transplant recipients","volume":"22","author":[{"family":"Nguyen","given":"Pauline T. H."},{"family":"Galanti","given":"Laurence"},{"family":"Pirson","given":"Yves"},{"family":"Jadoul","given":"Michel"}],"issued":{"date-parts":[["2007",7]]}}}],"schema":"https://github.com/citation-style-language/schema/raw/master/csl-citation.json"}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235</w:t>
      </w:r>
      <w:r w:rsidRPr="003B49C9">
        <w:rPr>
          <w:rFonts w:cstheme="minorHAnsi"/>
        </w:rPr>
        <w:fldChar w:fldCharType="end"/>
      </w:r>
      <w:r w:rsidRPr="003B49C9">
        <w:rPr>
          <w:rFonts w:cstheme="minorHAnsi"/>
        </w:rPr>
        <w:t>.</w:t>
      </w:r>
    </w:p>
    <w:p w14:paraId="0FA43AF2" w14:textId="57696CBD" w:rsidR="00ED6CD4" w:rsidRPr="003B49C9" w:rsidRDefault="00ED6CD4" w:rsidP="00ED6CD4">
      <w:pPr>
        <w:spacing w:line="276" w:lineRule="auto"/>
        <w:jc w:val="both"/>
        <w:rPr>
          <w:rFonts w:cstheme="minorHAnsi"/>
        </w:rPr>
      </w:pPr>
      <w:r w:rsidRPr="003B49C9">
        <w:rPr>
          <w:rFonts w:cstheme="minorHAnsi"/>
        </w:rPr>
        <w:t xml:space="preserve">In KTRs, cigarette smoking is associated with reduced patient survival, malignancy, and increased cardiovascular events </w:t>
      </w:r>
      <w:r w:rsidRPr="003B49C9">
        <w:rPr>
          <w:rFonts w:cstheme="minorHAnsi"/>
        </w:rPr>
        <w:fldChar w:fldCharType="begin"/>
      </w:r>
      <w:r w:rsidR="002D20B5">
        <w:rPr>
          <w:rFonts w:cstheme="minorHAnsi"/>
        </w:rPr>
        <w:instrText xml:space="preserve"> ADDIN ZOTERO_ITEM CSL_CITATION {"citationID":"V6ngAYoP","properties":{"formattedCitation":"\\super 236\\uc0\\u8211{}238\\nosupersub{}","plainCitation":"236–238","noteIndex":0},"citationItems":[{"id":19216,"uris":["http://zotero.org/users/3444308/items/C8P7Z24W"],"itemData":{"id":19216,"type":"article-journal","abstract":"BACKGROUND: Cancer continues to be an important cause of morbidity and mortality after renal transplantation. Unfortunately, risk factors for cancer have not been well defined.\nMETHODS: We examined risk factors for invasive, life-threatening malignancies among 1500 renal transplant recipients. Both univariate and multivariate Cox proportional hazards analyses were used.\nRESULTS: There were 87 tumors in 88 patients. Actuarial survival free of cancer was 95.9% at 5 years, 92.3% at 10 years, 86.6% at 15 years, and 82.6% at 20 years. Among multiple possible risk factors, the adjusted, relative risk attributable to age at transplantation (compared to age &lt;45 years) was 2.00 (95% confidence interval: 1.21-3.30, P = 0.007) for age &gt; or =45 and &lt;60 years (29.1% of total were in this age range), and 3.81 (95% confidence interval: 2.05-7.06, P&lt;0.001) for age &gt; or =60 years (11.6%). The relative risk attributable to pretransplant splenectomy (47.8%, now large abandoned) was 1.87 (95% confidence interval: 1.12-3.12, P = 0.016). Patients with renal disease from type 1 diabetes had a lower risk of cancer, 0.19 (95% confidence interval: 0.05-0.08, P = 0.015). A history of invasive cancer pretransplant (2.5%) increased the risk of posttransplant cancer to 2.38 (95% confidence interval: 1.18-4.83, P = 0.015). Cigarette smoking was also associated with an increased risk, with each 10 pack-years smoked at transplant increasing the risk of cancer by 1.12 (1.02-1.21, P = 0.016). The era when transplantation occurred, the type of prophylactic immunosuppression used, the occurrence of acute rejection, or its treatment did not alter the risk of cancer.\nCONCLUSIONS: The risk of cancer continues to increase 15-20 years after transplantation. The identification of splenectomy as a new risk factor, even several years after this immunosuppression strategy has been abandoned, demonstrates that the risk of immunosuppression may take years to become manifest. Efforts to reduce immunosuppression, particularly for patients &gt; or =45 years of age at transplant, along with a greater effort to discourage cigarette smoking, may help reduce the risk of cancer after renal transplantation. cer in a cohort of patients with long-term follow-up. Although this is a retrospective study, the ongoing, continuous follow-up of these patients has made it possible to accurately assess the incidence of invasive malignancy.","container-title":"Transplantation","DOI":"10.1097/00007890-199912270-00008","ISSN":"0041-1337","issue":"12","journalAbbreviation":"Transplantation","language":"eng","note":"PMID: 10628765","page":"1859-1864","source":"PubMed","title":"Risk factors for cancer in renal transplant recipients","volume":"68","author":[{"family":"Danpanich","given":"E."},{"family":"Kasiske","given":"B. L."}],"issued":{"date-parts":[["1999",12,27]]}}},{"id":19215,"uris":["http://zotero.org/users/3444308/items/BWFIFINS"],"itemData":{"id":19215,"type":"article-journal","abstract":"BACKGROUND: We investigated the effect of smoking on postkidney transplant outcomes in the United States Renal Data System.\nMETHODS: In a retrospective cohort of 41,705 adult Medicare primary renal transplant recipients in the United States Renal Data System database transplanted from January 1, 2000, to June 30, 2006, and followed through October 31, 2006, we assessed Medicare claims for smoking. The association between renal allograft loss and death and smoking as a time-dependent variable was assessed with Cox nonproportional hazards regression.\nRESULTS: Of 41,705 Medicare primary adult renal transplant patients, there were 9.9% patients who had evidence of prior smoking and 4.6% patients with new claims for smoking after transplant. Incident smoking (new onset smokers) occurred at a mean of 1.29±0.88 years after transplant. In the adjusted analysis, factors associated with new smoking included male gender, history of drug or alcohol use, history of chronic obstructive pulmonary disease, and later year of transplant. Compared with never smokers, incident smoking after transplant was associated with increased risk of death-censored allograft loss (adjusted hazard ratio [AHR] 1.46 [95% confidence interval {CI}: 1.19-1.79]; P&lt;0.001) and death (AHR 2.32 [95% CI: 1.98-2.72]; P&lt;0.001). In a sensitivity analysis excluding patients with history of chronic obstructive pulmonary disease, similar results were obtained with increased risk of death-censored allograft loss (AHR 1.43 [95% CI: 1.16-1.76]; P=0.001) and death (AHR 2.26 [95% CI: 1.91-2.66]; P&lt;0.001).\nDISCUSSION: Incident smoking was detrimental to graft and patient survival. Transplant programs should screen those at risk during transplant follow-up and have smoking cessation programs.","container-title":"Transplantation","DOI":"10.1097/TP.0b013e3182336095","ISSN":"1534-6080","issue":"10","journalAbbreviation":"Transplantation","language":"eng","note":"PMID: 21956202","page":"1101-1107","source":"PubMed","title":"Effect of smoking on kidney transplant outcomes: analysis of the United States Renal Data System","title-short":"Effect of smoking on kidney transplant outcomes","volume":"92","author":[{"family":"Hurst","given":"Frank P."},{"family":"Altieri","given":"Maria"},{"family":"Patel","given":"Purav P."},{"family":"Jindal","given":"Tarun R."},{"family":"Guy","given":"Stephen R."},{"family":"Sidawy","given":"Anton N."},{"family":"Agodoa","given":"Lawrence Y."},{"family":"Abbott","given":"Kevin C."},{"family":"Jindal","given":"Rahul M."}],"issued":{"date-parts":[["2011",11,27]]}}},{"id":19214,"uris":["http://zotero.org/users/3444308/items/YMHSE47N"],"itemData":{"id":19214,"type":"article-journal","abstract":"The smoking status of kidney transplant recipients and living donors has not been explored concurrently in a prospective study, and the synergistic adverse impact on outcomes remains uncertain. The self-reported smoking status and frequency were obtained from recipients and donors at the time of kidney transplantation in a prospective multicenter longitudinal cohort study (NCT02042963). Smoking status was categorized as \"ever smoker\" (current and former smokers collectively) or \"never smoker.\" Among 858 eligible kidney transplant recipients and the 858 living donors, 389 (45.3%) and 241 (28.1%) recipients were considered ever smokers at the time of transplant. During the median follow-up period of 6 years, the rate of death-censored graft failure was significantly higher in ever-smoker recipients than in never-smoker recipients (adjusted HR, 2.82; 95% CI 1.01-7.87; P = 0.048). A smoking history of &gt;20 pack-years was associated with a significantly higher rate of death-censored graft failure than a history of ≤20 pack-years (adjusted HR, 2.83; 95% CI 1.19-6.78; P = 0.019). No donor smoking effect was found in terms of graft survival. The smoking status of the recipients and donors or both did not affect the rate of biopsy-proven acute rejection, major adverse cardiac events, all-cause mortality, or post-transplant diabetes mellitus. Taken together, the recipient's smoking status before kidney transplantation is dose-dependently associated with impaired survival.","container-title":"Transplant International: Official Journal of the European Society for Organ Transplantation","DOI":"10.1111/tri.14137","ISSN":"1432-2277","issue":"12","journalAbbreviation":"Transpl Int","language":"eng","note":"PMID: 34637573","page":"2794-2802","source":"PubMed","title":"Impact of recipient and donor smoking in living-donor kidney transplantation: a prospective multicenter cohort study","title-short":"Impact of recipient and donor smoking in living-donor kidney transplantation","volume":"34","author":[{"family":"Jung","given":"Hee-Yeon"},{"family":"Jeon","given":"Yena"},{"family":"Huh","given":"Kyu Ha"},{"family":"Park","given":"Jae Berm"},{"family":"Jung","given":"Cheol Woong"},{"family":"Lee","given":"Sik"},{"family":"Han","given":"Seungyeup"},{"family":"Ro","given":"Han"},{"family":"Yang","given":"Jaeseok"},{"family":"Ahn","given":"Curie"},{"family":"Cho","given":"Jang-Hee"},{"family":"Park","given":"Sun-Hee"},{"family":"Kim","given":"Yong-Lim"},{"family":"Kim","given":"Chan-Duck"}],"issued":{"date-parts":[["2021",12]]}}}],"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236–238</w:t>
      </w:r>
      <w:r w:rsidRPr="003B49C9">
        <w:rPr>
          <w:rFonts w:cstheme="minorHAnsi"/>
        </w:rPr>
        <w:fldChar w:fldCharType="end"/>
      </w:r>
      <w:r w:rsidRPr="003B49C9">
        <w:rPr>
          <w:rFonts w:cstheme="minorHAnsi"/>
        </w:rPr>
        <w:t xml:space="preserve">, whilst a sub-analysis of FAVORIT, demonstrated an increased rate of all-cause and non-cardiovascular mortality, and graft loss in association with ongoing smoking habit </w:t>
      </w:r>
      <w:r w:rsidRPr="003B49C9">
        <w:rPr>
          <w:rFonts w:cstheme="minorHAnsi"/>
        </w:rPr>
        <w:fldChar w:fldCharType="begin"/>
      </w:r>
      <w:r w:rsidR="002D20B5">
        <w:rPr>
          <w:rFonts w:cstheme="minorHAnsi"/>
        </w:rPr>
        <w:instrText xml:space="preserve"> ADDIN ZOTERO_ITEM CSL_CITATION {"citationID":"hhQKmNl0","properties":{"formattedCitation":"\\super 234\\nosupersub{}","plainCitation":"234","noteIndex":0},"citationItems":[{"id":19072,"uris":["http://zotero.org/users/3444308/items/Q5Y94GMH","http://zotero.org/users/3444308/items/G7AZTBE7"],"itemData":{"id":19072,"type":"article-journal","abstract":"BACKGROUND: Tobacco use remains an international health problem with between 10% and 40% of adults currently using tobacco. Given the rising number of patients either awaiting or having received a kidney transplant and the absence of smoking cessation as the criterion for transplantation in guidelines, we explored the association between smoking status and clinical outcomes in kidney transplant recipients.\nPATIENTS AND METHODS: In this post hoc analysis of the Folic Acid for Vascular Outcome Reduction in Transplant trial, the associations between smoking status, defined as never having smoked, formerly or currently smoking, and both all-cause mortality and graft survival were assessed using Cox proportional hazards models. Fatal events were centrally adjudicated into prespecified categories: all-cause, cardiovascular and non-cardiovascular causes. Graft loss was defined as return to dialysis or retransplantation. Clinical Trials URL: http://www.clinicaltrials.gov/show/NCT00064753.\nRESULTS: Among 4110 transplant recipients, there were 451 current smokers and 1611 former smokers. The mortality rate per 100 patient-years was 4.0 (71 deaths) for smokers, 3.5 (226 deaths) for former smokers and 2.4 (116 deaths) for never smokers. Hazard ratio for mortality for current smokers was 1.70 (CI=1.26-2.29, p=0.001) and for former smokers was 1.21 (0.98-1.50, p=0.08) with 1.0 representing never smokers. As the number of cardiovascular deaths was similar in each group (all p&gt;0.3), the differences between groups was driven by non-cardiovascular death rates. Current smokers (2.39; 1.62-3.61, p&lt;0.001) and former smokers (1.50; 1.12-2.01, p=0.007) had increased hazard of non-cardiovascular death. Kidney allograft failure was more likely in current smokers than in either former or never smokers (3.5, 2.1 and 2.0 per 100 patient-years, p&lt;0.001, adjusted hazard ratio 1.49 and 1.05, respectively).\nCONCLUSION: Continued smoking was associated with &gt;100% increased risk of non-cardiovascular death, 70% greater risk of all-cause mortality and a 50% greater risk of graft loss, a risk not seen in former smokers. These findings confirm previous non-adjudicated observations that smoking is associated with adverse clinical outcomes and suggest that more emphasis should be placed on smoking cessation prior to kidney transplantation.","container-title":"International Journal of Nephrology and Renovascular Disease","DOI":"10.2147/IJNRD.S161001","ISSN":"1178-7058","journalAbbreviation":"Int J Nephrol Renovasc Dis","language":"eng","note":"PMID: 29760559\nPMCID: PMC5937486","page":"155-164","source":"PubMed","title":"Smoking and outcomes in kidney transplant recipients: a post hoc survival analysis of the FAVORIT trial","title-short":"Smoking and outcomes in kidney transplant recipients","volume":"11","author":[{"family":"Weinrauch","given":"Larry A."},{"family":"Claggett","given":"Brian"},{"family":"Liu","given":"Jiankang"},{"family":"Finn","given":"Peter V."},{"family":"Weir","given":"Matthew R."},{"family":"Weiner","given":"Daniel E."},{"family":"D'Elia","given":"John A."}],"issued":{"date-parts":[["2018"]]}}}],"schema":"https://github.com/citation-style-language/schema/raw/master/csl-citation.json"}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234</w:t>
      </w:r>
      <w:r w:rsidRPr="003B49C9">
        <w:rPr>
          <w:rFonts w:cstheme="minorHAnsi"/>
        </w:rPr>
        <w:fldChar w:fldCharType="end"/>
      </w:r>
      <w:r w:rsidRPr="003B49C9">
        <w:rPr>
          <w:rFonts w:cstheme="minorHAnsi"/>
        </w:rPr>
        <w:t xml:space="preserve">. Moreover, it appears to be associated with an increased risk of post-transplant erythrocytosis  </w:t>
      </w:r>
      <w:r w:rsidRPr="003B49C9">
        <w:rPr>
          <w:rFonts w:cstheme="minorHAnsi"/>
        </w:rPr>
        <w:fldChar w:fldCharType="begin"/>
      </w:r>
      <w:r w:rsidR="002D20B5">
        <w:rPr>
          <w:rFonts w:cstheme="minorHAnsi"/>
        </w:rPr>
        <w:instrText xml:space="preserve"> ADDIN ZOTERO_ITEM CSL_CITATION {"citationID":"wfs91OH9","properties":{"formattedCitation":"\\super 239\\nosupersub{}","plainCitation":"239","noteIndex":0},"citationItems":[{"id":19213,"uris":["http://zotero.org/users/3444308/items/CSHRYUV4"],"itemData":{"id":19213,"type":"article-journal","abstract":"Post-transplant erythrocytosis (PTE) can occur in up to 10-16% after kidney transplant (KT). However, the post-transplant outcomes of recipients with PTE in the literature were conflicting. We performed systematic review and meta-analysis of published studies to evaluate risk factors of PTE as well as outcomes of recipients who developed PTE compared with controls. A literature search was conducted evaluating all literature from existence through February 2, 2021, using MEDLINE and EMBASE. Data from each study were combined using the random-effects model. (PROSPERO: CRD42021230377). Thirty-nine studies from July 1982 to January 2021 were included (7,099 KT recipients). The following factors were associated with PTE development: male gender (pooled RR</w:instrText>
      </w:r>
      <w:r w:rsidR="002D20B5">
        <w:rPr>
          <w:rFonts w:ascii="Arial" w:hAnsi="Arial" w:cs="Arial"/>
        </w:rPr>
        <w:instrText> </w:instrText>
      </w:r>
      <w:r w:rsidR="002D20B5">
        <w:rPr>
          <w:rFonts w:cstheme="minorHAnsi"/>
        </w:rPr>
        <w:instrText>=</w:instrText>
      </w:r>
      <w:r w:rsidR="002D20B5">
        <w:rPr>
          <w:rFonts w:ascii="Arial" w:hAnsi="Arial" w:cs="Arial"/>
        </w:rPr>
        <w:instrText> </w:instrText>
      </w:r>
      <w:r w:rsidR="002D20B5">
        <w:rPr>
          <w:rFonts w:cstheme="minorHAnsi"/>
        </w:rPr>
        <w:instrText xml:space="preserve">1.62 [1.38, 1.91], I2 </w:instrText>
      </w:r>
      <w:r w:rsidR="002D20B5">
        <w:rPr>
          <w:rFonts w:ascii="Arial" w:hAnsi="Arial" w:cs="Arial"/>
        </w:rPr>
        <w:instrText> </w:instrText>
      </w:r>
      <w:r w:rsidR="002D20B5">
        <w:rPr>
          <w:rFonts w:cstheme="minorHAnsi"/>
        </w:rPr>
        <w:instrText>=</w:instrText>
      </w:r>
      <w:r w:rsidR="002D20B5">
        <w:rPr>
          <w:rFonts w:ascii="Arial" w:hAnsi="Arial" w:cs="Arial"/>
        </w:rPr>
        <w:instrText> </w:instrText>
      </w:r>
      <w:r w:rsidR="002D20B5">
        <w:rPr>
          <w:rFonts w:cstheme="minorHAnsi"/>
        </w:rPr>
        <w:instrText>39%), deceased-donor KT (pooled RR</w:instrText>
      </w:r>
      <w:r w:rsidR="002D20B5">
        <w:rPr>
          <w:rFonts w:ascii="Arial" w:hAnsi="Arial" w:cs="Arial"/>
        </w:rPr>
        <w:instrText> </w:instrText>
      </w:r>
      <w:r w:rsidR="002D20B5">
        <w:rPr>
          <w:rFonts w:cstheme="minorHAnsi"/>
        </w:rPr>
        <w:instrText>=</w:instrText>
      </w:r>
      <w:r w:rsidR="002D20B5">
        <w:rPr>
          <w:rFonts w:ascii="Arial" w:hAnsi="Arial" w:cs="Arial"/>
        </w:rPr>
        <w:instrText> </w:instrText>
      </w:r>
      <w:r w:rsidR="002D20B5">
        <w:rPr>
          <w:rFonts w:cstheme="minorHAnsi"/>
        </w:rPr>
        <w:instrText xml:space="preserve">1.18 [1.03, 1.35], I2 </w:instrText>
      </w:r>
      <w:r w:rsidR="002D20B5">
        <w:rPr>
          <w:rFonts w:ascii="Arial" w:hAnsi="Arial" w:cs="Arial"/>
        </w:rPr>
        <w:instrText> </w:instrText>
      </w:r>
      <w:r w:rsidR="002D20B5">
        <w:rPr>
          <w:rFonts w:cstheme="minorHAnsi"/>
        </w:rPr>
        <w:instrText>=</w:instrText>
      </w:r>
      <w:r w:rsidR="002D20B5">
        <w:rPr>
          <w:rFonts w:ascii="Arial" w:hAnsi="Arial" w:cs="Arial"/>
        </w:rPr>
        <w:instrText> </w:instrText>
      </w:r>
      <w:r w:rsidR="002D20B5">
        <w:rPr>
          <w:rFonts w:cstheme="minorHAnsi"/>
        </w:rPr>
        <w:instrText>32%), history of smoking (pooled RR</w:instrText>
      </w:r>
      <w:r w:rsidR="002D20B5">
        <w:rPr>
          <w:rFonts w:ascii="Arial" w:hAnsi="Arial" w:cs="Arial"/>
        </w:rPr>
        <w:instrText> </w:instrText>
      </w:r>
      <w:r w:rsidR="002D20B5">
        <w:rPr>
          <w:rFonts w:cstheme="minorHAnsi"/>
        </w:rPr>
        <w:instrText>=</w:instrText>
      </w:r>
      <w:r w:rsidR="002D20B5">
        <w:rPr>
          <w:rFonts w:ascii="Arial" w:hAnsi="Arial" w:cs="Arial"/>
        </w:rPr>
        <w:instrText> </w:instrText>
      </w:r>
      <w:r w:rsidR="002D20B5">
        <w:rPr>
          <w:rFonts w:cstheme="minorHAnsi"/>
        </w:rPr>
        <w:instrText xml:space="preserve">1.36 [1.11, 1.67], I2 </w:instrText>
      </w:r>
      <w:r w:rsidR="002D20B5">
        <w:rPr>
          <w:rFonts w:ascii="Arial" w:hAnsi="Arial" w:cs="Arial"/>
        </w:rPr>
        <w:instrText> </w:instrText>
      </w:r>
      <w:r w:rsidR="002D20B5">
        <w:rPr>
          <w:rFonts w:cstheme="minorHAnsi"/>
        </w:rPr>
        <w:instrText>=</w:instrText>
      </w:r>
      <w:r w:rsidR="002D20B5">
        <w:rPr>
          <w:rFonts w:ascii="Arial" w:hAnsi="Arial" w:cs="Arial"/>
        </w:rPr>
        <w:instrText> </w:instrText>
      </w:r>
      <w:r w:rsidR="002D20B5">
        <w:rPr>
          <w:rFonts w:cstheme="minorHAnsi"/>
        </w:rPr>
        <w:instrText xml:space="preserve">13%), underlying polycystic kidney disease (PKD) (pooled RR=1.56 [1.21, 2.01], I2 =44%), and pretransplant dialysis (pooled RR=1.6 [1.02, 2.51], I2 =46%). However, PTE was not associated with outcomes of interest, including overall mortality, death-censored graft failure, and thromboembolism. Our meta-analysis demonstrates that male gender, deceased-donor KT, history of smoking, underlying PKD, and pretransplant dialysis were significantly associated with developing PTE. However, with proper management, PTE has no impact on prognosis of KT patients.","container-title":"Transplant International: Official Journal of the European Society for Organ Transplantation","DOI":"10.1111/tri.14016","ISSN":"1432-2277","issue":"11","journalAbbreviation":"Transpl Int","language":"eng","note":"PMID: 34412165","page":"2071-2086","source":"PubMed","title":"Risk factors and outcomes of post-transplant erythrocytosis among adult kidney transplant recipients: a systematic review and meta-analysis","title-short":"Risk factors and outcomes of post-transplant erythrocytosis among adult kidney transplant recipients","volume":"34","author":[{"family":"Mekraksakit","given":"Poemlarp"},{"family":"Boonpheng","given":"Boonphiphop"},{"family":"Leelaviwat","given":"Natnicha"},{"family":"Duangkham","given":"Samapon"},{"family":"Deb","given":"Anasua"},{"family":"Kewcharoen","given":"Jakrin"},{"family":"Nugent","given":"Kenneth"},{"family":"Cheungpasitporn","given":"Wisit"}],"issued":{"date-parts":[["2021",11]]}}}],"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239</w:t>
      </w:r>
      <w:r w:rsidRPr="003B49C9">
        <w:rPr>
          <w:rFonts w:cstheme="minorHAnsi"/>
        </w:rPr>
        <w:fldChar w:fldCharType="end"/>
      </w:r>
      <w:r w:rsidRPr="003B49C9">
        <w:rPr>
          <w:rFonts w:cstheme="minorHAnsi"/>
        </w:rPr>
        <w:t xml:space="preserve">. </w:t>
      </w:r>
    </w:p>
    <w:p w14:paraId="2A760A84" w14:textId="31C45CAB" w:rsidR="00ED6CD4" w:rsidRPr="003B49C9" w:rsidRDefault="00ED6CD4" w:rsidP="00ED6CD4">
      <w:pPr>
        <w:spacing w:line="276" w:lineRule="auto"/>
        <w:jc w:val="both"/>
        <w:rPr>
          <w:rFonts w:cstheme="minorHAnsi"/>
        </w:rPr>
      </w:pPr>
      <w:r w:rsidRPr="003B49C9">
        <w:rPr>
          <w:rFonts w:cstheme="minorHAnsi"/>
        </w:rPr>
        <w:t xml:space="preserve"> In the general population, various intervention strategies have been shown to be beneficial in encouraging smoking cessation (nicotine replacements - gum, patch, and inhaled, counselling, and Bupropion) </w:t>
      </w:r>
      <w:r w:rsidRPr="003B49C9">
        <w:rPr>
          <w:rFonts w:cstheme="minorHAnsi"/>
        </w:rPr>
        <w:fldChar w:fldCharType="begin"/>
      </w:r>
      <w:r w:rsidR="002D20B5">
        <w:rPr>
          <w:rFonts w:cstheme="minorHAnsi"/>
        </w:rPr>
        <w:instrText xml:space="preserve"> ADDIN ZOTERO_ITEM CSL_CITATION {"citationID":"55MPqVxv","properties":{"formattedCitation":"\\super 240,241\\nosupersub{}","plainCitation":"240,241","noteIndex":0},"citationItems":[{"id":19211,"uris":["http://zotero.org/users/3444308/items/Q2C79WNH"],"itemData":{"id":19211,"type":"article-journal","abstract":"BACKGROUND: Many placebo-controlled trials have demonstrated the efficacy of individual pharmacotherapies approved for smoking cessation. However, few direct or indirect comparisons of such interventions have been conducted. We performed a meta-analysis to compare the treatment effects of 7 approved pharmacologic interventions for smoking cessation.\nMETHODS: We searched the US Centers for Disease Control and Prevention's Tobacco Information and Prevention database as well as MEDLINE, EMBASE and the Cochrane Library for published reports of placebo-controlled, double-blind randomized controlled trials of pharmacotherapies for smoking cessation. We included studies that reported biochemically validated measures of abstinence at 6 and 12 months. We used a hierarchical Bayesian random-effects model to summarize the results for each intervention.\nRESULTS: We identified 70 published reports of 69 trials involving a total of 32 908 patients. Six of the 7 pharmacotherapies studied were found to be more efficacious than placebo: varenicline (odds ratio [OR] 2.41, 95% credible interval [CrI] 1.91-3.12), nicotine nasal spray (OR 2.37, 95% CrI 1.12-5.13), bupropion (OR 2.07, 95% CrI 1.73-2.55), transdermal nicotine (OR 2.07, 95% CrI 1.69-2.62), nicotine tablet (OR 2.06, 95% CrI 1.12-5.13) and nicotine gum (OR 1.71, 95% CrI 1.35-2.21). Similar results were obtained regardless of which measure of abstinence was used. Although the point estimate favoured nicotine inhaler over placebo (OR 2.17), these results were not conclusive because the credible interval included unity (95% CrI 0.95-5.43). When all 7 interventions were included in the same model, all were more efficacious than placebo. In our analysis of data from the varenicline trials that included bupropion control arms, we found that varenicline was superior to bupropion (OR 2.18, 95% CrI 1.09-4.08).\nINTERPRETATION: Varenicline, bupropion and the 5 nicotine replacement therapies were all more efficacious than placebo at promoting smoking abstinence at 6 and 12 months.","container-title":"CMAJ: Canadian Medical Association journal = journal de l'Association medicale canadienne","DOI":"10.1503/cmaj.070256","ISSN":"1488-2329","issue":"2","journalAbbreviation":"CMAJ","language":"eng","note":"PMID: 18625984\nPMCID: PMC2443223","page":"135-144","source":"PubMed","title":"Pharmacotherapies for smoking cessation: a meta-analysis of randomized controlled trials","title-short":"Pharmacotherapies for smoking cessation","volume":"179","author":[{"family":"Eisenberg","given":"Mark J."},{"family":"Filion","given":"Kristian B."},{"family":"Yavin","given":"Daniel"},{"family":"Bélisle","given":"Patrick"},{"family":"Mottillo","given":"Salvatore"},{"family":"Joseph","given":"Lawrence"},{"family":"Gervais","given":"André"},{"family":"O'Loughlin","given":"Jennifer"},{"family":"Paradis","given":"Gilles"},{"family":"Rinfret","given":"Stephane"},{"family":"Pilote","given":"Louise"}],"issued":{"date-parts":[["2008",7,15]]}}},{"id":19212,"uris":["http://zotero.org/users/3444308/items/CUYHD2PI"],"itemData":{"id":19212,"type":"article-journal","abstract":"The aim of this study was to rank order the effectiveness of smoking cessation interventions for chronic obstructive pulmonary disease (COPD) patients. We searched 10 databases to identify randomised trials of smoking cessation counselling (SCC) with or without pharmacotherapy or nicotine replacement therapy (NRT). We conducted a network meta-analysis using logistic regression analyses to assess the comparative effectiveness of smoking cessation interventions while preserving randomisation of each trial. The analysis of 7,372 COPD patients from six out of eight identified trials showed that SCC in combination with NRT had the greatest effect on prolonged abstinence rates versus usual care (OR 5.08, p&lt;0.0001) versus SCC alone (2.80, p = 0.001) and versus SCC combined with an antidepressant (1.53, p = 0.28). The second most effective intervention was SCC combined with an antidepressant (3.32, p = 0.002) versus SCC alone (1.83, p = 0.007), with no difference between antidepressants. SCC alone was of borderline superiority compared with usual care (1.81, p = 0.07). A small body of evidence suggests that SCC combined with NRT is more effective than other combinations and single smoking cessation treatments in COPD, but substantially more research is needed for this most important COPD treatment.","container-title":"The European Respiratory Journal","DOI":"10.1183/09031936.00167708","ISSN":"1399-3003","issue":"3","journalAbbreviation":"Eur Respir J","language":"eng","note":"PMID: 19357145","page":"634-640","source":"PubMed","title":"Smoking cessation interventions in COPD: a network meta-analysis of randomised trials","title-short":"Smoking cessation interventions in COPD","volume":"34","author":[{"family":"Strassmann","given":"R."},{"family":"Bausch","given":"B."},{"family":"Spaar","given":"A."},{"family":"Kleijnen","given":"J."},{"family":"Braendli","given":"O."},{"family":"Puhan","given":"M. A."}],"issued":{"date-parts":[["2009",9]]}}}],"schema":"https://github.com/citation-style-language/schema/raw/master/csl-citation.json"}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240,241</w:t>
      </w:r>
      <w:r w:rsidRPr="003B49C9">
        <w:rPr>
          <w:rFonts w:cstheme="minorHAnsi"/>
        </w:rPr>
        <w:fldChar w:fldCharType="end"/>
      </w:r>
      <w:r w:rsidRPr="003B49C9">
        <w:rPr>
          <w:rFonts w:cstheme="minorHAnsi"/>
        </w:rPr>
        <w:t>. Maintenance of abstinence is challenging, as 10-20% of former smokers will resume smoking following previously successful cessation</w:t>
      </w:r>
      <w:r w:rsidRPr="003B49C9">
        <w:rPr>
          <w:rFonts w:cstheme="minorHAnsi"/>
          <w:noProof/>
        </w:rPr>
        <w:t xml:space="preserve"> </w:t>
      </w:r>
      <w:r w:rsidRPr="003B49C9">
        <w:rPr>
          <w:rFonts w:cstheme="minorHAnsi"/>
          <w:noProof/>
        </w:rPr>
        <w:fldChar w:fldCharType="begin"/>
      </w:r>
      <w:r w:rsidR="002D20B5">
        <w:rPr>
          <w:rFonts w:cstheme="minorHAnsi"/>
          <w:noProof/>
        </w:rPr>
        <w:instrText xml:space="preserve"> ADDIN ZOTERO_ITEM CSL_CITATION {"citationID":"8TF3eqxW","properties":{"formattedCitation":"\\super 242\\nosupersub{}","plainCitation":"242","noteIndex":0},"citationItems":[{"id":19210,"uris":["http://zotero.org/users/3444308/items/HD3EIXHU"],"itemData":{"id":19210,"type":"article-journal","abstract":"Smoking, both by donors and by recipients, has a major impact on outcomes after organ transplantation. Recipients of smokers' organs are at greater risk of death (lungs hazard ratio [HR], 1.36; heart HR, 1.8; and liver HR, 1.25), extended intensive care stays, and greater need for ventilation. Kidney function is significantly worse at 1 year after transplantation in recipients of grafts from smokers compared with nonsmokers. Clinicians must balance the use of such higher-risk organs with the consequences on waiting list mortality if the donor pool is reduced further by exclusion of such donors. Smoking by kidney transplant recipients significantly increases the risk of cardiovascular events (29.2% vs. 15.4%), renal fibrosis, rejection, and malignancy (HR, 2.56). Furthermore, liver recipients who smoke have higher rates of hepatic artery thrombosis, biliary complications, and malignancy (13% vs. 2%). Heart recipients with a smoking history have increased risk of developing coronary atherosclerosis (21.2% vs. 12.3%), graft dysfunction, and loss after transplantation. Self-reporting of smoking is commonplace but unreliable, which limits its use as a tool for selection of transplant candidates. Despite effective counseling and pharmacotherapy, recidivism rates after transplantation remain high (10-40%). Transplant services need to be more proactive in educating and implementing effective smoking cessation strategies to reduce rates of recidivism and the posttransplantation complications associated with smoking. The adverse impact of smoking by the recipient supports the requirement for a 6-month period of abstinence in lung recipients and cessation before other solid organs.","container-title":"Transplantation","DOI":"10.1097/TP.0b013e318263ad5b","ISSN":"1534-6080","issue":"10","journalAbbreviation":"Transplantation","language":"eng","note":"PMID: 23169222","page":"979-987","source":"PubMed","title":"Tobacco smoking and solid organ transplantation","volume":"94","author":[{"family":"Corbett","given":"Chris"},{"family":"Armstrong","given":"Matthew J."},{"family":"Neuberger","given":"James"}],"issued":{"date-parts":[["2012",11,27]]}}}],"schema":"https://github.com/citation-style-language/schema/raw/master/csl-citation.json"} </w:instrText>
      </w:r>
      <w:r w:rsidRPr="003B49C9">
        <w:rPr>
          <w:rFonts w:cstheme="minorHAnsi"/>
          <w:noProof/>
        </w:rPr>
        <w:fldChar w:fldCharType="separate"/>
      </w:r>
      <w:r w:rsidR="002D20B5" w:rsidRPr="002D20B5">
        <w:rPr>
          <w:rFonts w:ascii="Aptos" w:hAnsi="Aptos" w:cs="Times New Roman"/>
          <w:vertAlign w:val="superscript"/>
        </w:rPr>
        <w:t>242</w:t>
      </w:r>
      <w:r w:rsidRPr="003B49C9">
        <w:rPr>
          <w:rFonts w:cstheme="minorHAnsi"/>
          <w:noProof/>
        </w:rPr>
        <w:fldChar w:fldCharType="end"/>
      </w:r>
      <w:r w:rsidRPr="003B49C9">
        <w:rPr>
          <w:rFonts w:cstheme="minorHAnsi"/>
        </w:rPr>
        <w:t xml:space="preserve">. The long-term benefits of smoking cessation have not been proven in transplant recipients, nor are long-term studies </w:t>
      </w:r>
      <w:r w:rsidRPr="003B49C9">
        <w:rPr>
          <w:rFonts w:cstheme="minorHAnsi"/>
        </w:rPr>
        <w:lastRenderedPageBreak/>
        <w:t xml:space="preserve">likely to be performed. However, strategies for smoking cessation are safe and likely to produce the same benefits seen in other populations or public health studies </w:t>
      </w:r>
      <w:r w:rsidRPr="003B49C9">
        <w:rPr>
          <w:rFonts w:cstheme="minorHAnsi"/>
        </w:rPr>
        <w:fldChar w:fldCharType="begin"/>
      </w:r>
      <w:r w:rsidR="002D20B5">
        <w:rPr>
          <w:rFonts w:cstheme="minorHAnsi"/>
        </w:rPr>
        <w:instrText xml:space="preserve"> ADDIN ZOTERO_ITEM CSL_CITATION {"citationID":"iQCmNFar","properties":{"formattedCitation":"\\super 243\\nosupersub{}","plainCitation":"243","noteIndex":0},"citationItems":[{"id":19209,"uris":["http://zotero.org/users/3444308/items/THKIYZIQ"],"itemData":{"id":19209,"type":"article-journal","abstract":"Tobacco smoking is a frequent problem affecting many kidney transplant (KT) candidates and recipients. The negative impact of active smoking on KT outcomes has been demonstrated. Consequently, most guidelines strongly recommend quitting smoking before considering kidney transplantation. However, nicotine addiction is a complex multifactorial disease and only 3-5% of the patients who try to quit by themselves achieve prolonged abstinence. Smoking cessation programmes (SCPs) have proven their efficacy in the general population to increase the rate of quitting and should therefore be proposed to all smoking KT candidates and recipients. Nevertheless, SCPs have not been evaluated in the KT field and not all KT centres have easy access to these programmes. In this work, we aim to review the current knowledge on the subject and provide an overview of the available interventions to help smoking patients quit. We detail non-pharmaceutical and pharmaceutical approaches and discuss their use in KT candidates and recipients.","container-title":"Clinical Kidney Journal","DOI":"10.1093/ckj/sfab072","ISSN":"2048-8505","issue":"11","journalAbbreviation":"Clin Kidney J","language":"eng","note":"PMID: 34754426\nPMCID: PMC8572985","page":"2295-2303","source":"PubMed","title":"How to manage cigarette smoking in kidney transplant candidates and recipients?","volume":"14","author":[{"family":"Devresse","given":"Arnaud"},{"family":"Gohy","given":"Sophie"},{"family":"Robert","given":"Arnaud"},{"family":"Kanaan","given":"Nada"}],"issued":{"date-parts":[["2021",11]]}}}],"schema":"https://github.com/citation-style-language/schema/raw/master/csl-citation.json"} </w:instrText>
      </w:r>
      <w:r w:rsidRPr="003B49C9">
        <w:rPr>
          <w:rFonts w:cstheme="minorHAnsi"/>
        </w:rPr>
        <w:fldChar w:fldCharType="separate"/>
      </w:r>
      <w:r w:rsidR="002D20B5" w:rsidRPr="002D20B5">
        <w:rPr>
          <w:rFonts w:ascii="Aptos" w:hAnsi="Aptos" w:cs="Times New Roman"/>
          <w:vertAlign w:val="superscript"/>
        </w:rPr>
        <w:t>243</w:t>
      </w:r>
      <w:r w:rsidRPr="003B49C9">
        <w:rPr>
          <w:rFonts w:cstheme="minorHAnsi"/>
        </w:rPr>
        <w:fldChar w:fldCharType="end"/>
      </w:r>
      <w:r w:rsidRPr="003B49C9">
        <w:rPr>
          <w:rFonts w:cstheme="minorHAnsi"/>
        </w:rPr>
        <w:t xml:space="preserve">. A local strategy should be available, and record made of the advice given and available. </w:t>
      </w:r>
    </w:p>
    <w:p w14:paraId="6F7DCC8D" w14:textId="75D15144" w:rsidR="00ED6CD4" w:rsidRDefault="00CB2D71" w:rsidP="00CB2D71">
      <w:pPr>
        <w:pStyle w:val="GuidelineHeadings"/>
      </w:pPr>
      <w:r>
        <w:t xml:space="preserve">Guideline </w:t>
      </w:r>
      <w:r w:rsidRPr="00CB2D71">
        <w:t>5.6</w:t>
      </w:r>
      <w:r>
        <w:t xml:space="preserve"> </w:t>
      </w:r>
      <w:r w:rsidRPr="00CB2D71">
        <w:t>–</w:t>
      </w:r>
      <w:r>
        <w:t xml:space="preserve"> </w:t>
      </w:r>
      <w:r w:rsidRPr="00CB2D71">
        <w:t>Lifestyle, physical activity, and exercise post-transplant</w:t>
      </w:r>
    </w:p>
    <w:p w14:paraId="25B0D800" w14:textId="5518851E" w:rsidR="00E97B7E" w:rsidRPr="00E97B7E" w:rsidRDefault="00E97B7E" w:rsidP="00E97B7E">
      <w:pPr>
        <w:pStyle w:val="GuidelineSubheadings"/>
      </w:pPr>
      <w:r w:rsidRPr="00E97B7E">
        <w:t>Physical activity and exercise recommendations</w:t>
      </w:r>
    </w:p>
    <w:p w14:paraId="596A9FF4" w14:textId="2B31088F" w:rsidR="00ED6CD4" w:rsidRPr="005F2801" w:rsidRDefault="00ED6CD4" w:rsidP="00FB039F">
      <w:r w:rsidRPr="005F2801">
        <w:t>Physical activity is any bodily movement produced by skeletal muscles that requires energy expenditure</w:t>
      </w:r>
      <w:r>
        <w:t xml:space="preserve"> </w:t>
      </w:r>
      <w:r>
        <w:fldChar w:fldCharType="begin"/>
      </w:r>
      <w:r w:rsidR="002D20B5">
        <w:instrText xml:space="preserve"> ADDIN ZOTERO_ITEM CSL_CITATION {"citationID":"vvlkvi9U","properties":{"formattedCitation":"\\super 244\\nosupersub{}","plainCitation":"244","noteIndex":0},"citationItems":[{"id":19208,"uris":["http://zotero.org/users/3444308/items/NZC6PQ75"],"itemData":{"id":19208,"type":"article-journal","abstract":"The aim of this study is to clarify the concept of exercise using Walker and Avant concept analysis method. The author offers a definition of exercise, including its distinction from physical activity and how the two terms are not the same and should not be used interchangeably. In the traditional concept analysis format will be used. Exercise is a subcategory of physical activity that is planned, structured, repetitive, and purposefully focused on improvement or maintenance of one or more components of physical fitness. Physical activity is any bodily movement produced by skeletal muscles that require energy expenditure. Sample cases are provided. A clear definition of exercise allows health care providers to speak to patients about improving their physical activity, particularly given that physical inactivity is a leading but very modifiable risk factor for a wide range of diseases. One of the urgent goals of nursing should be getting people to become more active. This means communicating in clear terms with patients. Sometimes that will mean exercise, and sometimes that will mean simply moving more daily. Researchers of behavior change need to be precise in their definitions and the methods need to be provided in detail to be useful and reproducible.","container-title":"Nursing Forum","DOI":"10.1111/nuf.12296","ISSN":"1744-6198","issue":"1","journalAbbreviation":"Nurs Forum","language":"eng","note":"PMID: 30332516","page":"45-52","source":"PubMed","title":"How is exercise different from physical activity? A concept analysis","title-short":"How is exercise different from physical activity?","volume":"54","author":[{"family":"Dasso","given":"Nancy A."}],"issued":{"date-parts":[["2019",1]]}}}],"schema":"https://github.com/citation-style-language/schema/raw/master/csl-citation.json"} </w:instrText>
      </w:r>
      <w:r>
        <w:fldChar w:fldCharType="separate"/>
      </w:r>
      <w:r w:rsidR="002D20B5" w:rsidRPr="002D20B5">
        <w:rPr>
          <w:rFonts w:ascii="Calibri" w:hAnsi="Calibri" w:cs="Calibri"/>
          <w:vertAlign w:val="superscript"/>
        </w:rPr>
        <w:t>244</w:t>
      </w:r>
      <w:r>
        <w:fldChar w:fldCharType="end"/>
      </w:r>
      <w:r w:rsidRPr="005F2801">
        <w:t>. The term "physical activity" should not be mistaken for "exercise"; a subcategory of physical activity that is planned, structured, repetitive, and purposeful in the pursuit of improvement or maintenance in components of physical fitness. Data on physical activity in KTRs are limited</w:t>
      </w:r>
      <w:r>
        <w:t xml:space="preserve"> </w:t>
      </w:r>
      <w:r>
        <w:fldChar w:fldCharType="begin"/>
      </w:r>
      <w:r w:rsidR="002D20B5">
        <w:instrText xml:space="preserve"> ADDIN ZOTERO_ITEM CSL_CITATION {"citationID":"YkKheUyE","properties":{"formattedCitation":"\\super 245\\uc0\\u8211{}247\\nosupersub{}","plainCitation":"245–247","noteIndex":0},"citationItems":[{"id":19207,"uris":["http://zotero.org/users/3444308/items/3LXGMSD8"],"itemData":{"id":19207,"type":"article-journal","abstract":"Renal transplantation is burdened by high cardiovascular risk because of increased prevalence of traditional and disease-specific cardiovascular risk factors and, consequently, patients are affected by greater morbidity and mortality. In renal transplanted patients, healthy lifestyle and physical activity are recommended to improve overall morbidity and cardiovascular outcomes. According to METs (Metabolic Equivalent Task; i.e. the amount of energy consumed while sitting at rest), physical activities are classified as sedentary (&lt;3.0 METs), of moderate-(3.0 to 5.9 METs) or vigorous-intensity (≥ 6.0 METs). Guidelines suggest for patients with chronic kidney disease an amount of physical activity of at least 30 minutes of moderate-intensity activity five times per week (min 450 MET-minutes/week). Data on physical activity in renal transplanted patients, however, are limited and have been mainly obtained by mean of non-objective methods. Available data suggest that physical activity is low either at the start or during renal transplantation and this may be associated with poor patient and graft outcomes. Therefore, in renal transplanted patients more data on physical activity obtained with objective, accelerometer-based methods are needed. In the meanwhile, physical activity have to be considered as an essential part of the medical care for renal transplanted recipients.","container-title":"Kidney &amp; Blood Pressure Research","DOI":"10.1159/000355799","ISSN":"1423-0143","issue":"2-3","journalAbbreviation":"Kidney Blood Press Res","language":"eng","note":"PMID: 25118089","page":"212-219","source":"PubMed","title":"Physical activity and renal transplantation","volume":"39","author":[{"family":"Bellizzi","given":"Vincenzo"},{"family":"Cupisti","given":"Adamasco"},{"family":"Capitanini","given":"Alessandro"},{"family":"Calella","given":"Patrizia"},{"family":"D'Alessandro","given":"Claudia"}],"issued":{"date-parts":[["2014"]]}}},{"id":19205,"uris":["http://zotero.org/users/3444308/items/C68WPPK5"],"itemData":{"id":19205,"type":"article-journal","abstract":"BACKGROUND Physical activity is a key factor in improvement of quality of life. This study aimed to assess the extent of physical activity in solid-organ transplant recipients. MATERIAL AND METHODS The study involved 106 patients, mostly kidney (64.15%) and liver (28.30%) recipients, observed in a Warsaw transplant center. The study group was dominated by women (56.6%), mean age 49.25±14.09 years, the time since transplantation ranged from 1 month to 28 years, with a mean of 93.9±71.83 months. Recipients were educated about physical activity in the immediate post-transplant period and during follow-up visits. The study was conducted in early 2021 and used the long form of the International Physical Activity Questionnaire (IPAQ) validated for Polish patients, consisting of the of 5 parts - physical activity, professional work, travel, housework, recreation, and time spent sitting - containing a total of 27 questions in the main part of the questionnaire and 7 questions in the introductory part determining the typicality of the last 7 days. RESULTS More than half (57.5%) of the transplant recipients reported high levels of physical activity. Patients reported the highest mean physical activity in job-related physical activity (P&lt;0.001). Patients also had high scores for walking and moderate-intensity physical activity, while the lowest mean scores were for leisure-time physical activity, total vigorous-intensity physical activity, and housework-related activity. CONCLUSIONS When undertaking physical activity, patients turn to activities that do not involve intense effort, are less physically demanding, and do not result in high energy expenditure. Employed patients had higher PA levels in all domains.","container-title":"Annals of Transplantation","DOI":"10.12659/AOT.944101","ISSN":"2329-0358","journalAbbreviation":"Ann Transplant","language":"eng","note":"PMID: 38859567\nPMCID: PMC11179440","page":"e944101","source":"PubMed","title":"Physical Activity Levels in Transplant Recipients","volume":"29","author":[{"family":"Hreńczuk","given":"Marta"},{"family":"Wasińska","given":"Ewelina"},{"family":"Małkowski","given":"Piotr"}],"issued":{"date-parts":[["2024",6,11]]}}},{"id":19206,"uris":["http://zotero.org/users/3444308/items/XJPUT3TB"],"itemData":{"id":19206,"type":"article-journal","abstract":"Physical activity has known health benefits and is associated with reduced cardiovascular risk in the general population. Relatively few data are available for physical activity in kidney transplant recipients. Compared to the general population, physical activity levels are lower overall in kidney recipients, although somewhat higher compared to the dialysis population. Recipient comorbid condition, psychosocial and socioeconomic factors, and long-term immunosuppression use negatively affect physical activity. Physical inactivity in kidney recipients may be associated with reduced quality of life, as well as increased mortality. Interventions such as exercise training appear to be safe in kidney transplant recipients and are associated with improved quality of life and exercise capacity. Additional studies are required to evaluate long-term effects on cardiovascular risk factors and ultimately cardiovascular disease outcomes and patient survival. Currently available data are characterized by wide variability in the interventions and outcome measures investigated in studies, as well as use of small sample-sized cohorts. These limitations highlight the need for larger studies using objective and standardized measures of physical activity and physical fitness in kidney transplant recipients.","container-title":"American Journal of Kidney Diseases: The Official Journal of the National Kidney Foundation","DOI":"10.1053/j.ajkd.2017.12.005","ISSN":"1523-6838","issue":"3","journalAbbreviation":"Am J Kidney Dis","language":"eng","note":"PMID: 29482935","page":"433-443","source":"PubMed","title":"Physical Activity in Kidney Transplant Recipients: A Review","title-short":"Physical Activity in Kidney Transplant Recipients","volume":"72","author":[{"family":"Takahashi","given":"Ashley"},{"family":"Hu","given":"Susie L."},{"family":"Bostom","given":"Andrew"}],"issued":{"date-parts":[["2018",9]]}}}],"schema":"https://github.com/citation-style-language/schema/raw/master/csl-citation.json"} </w:instrText>
      </w:r>
      <w:r>
        <w:fldChar w:fldCharType="separate"/>
      </w:r>
      <w:r w:rsidR="002D20B5" w:rsidRPr="002D20B5">
        <w:rPr>
          <w:rFonts w:ascii="Calibri" w:hAnsi="Calibri" w:cs="Calibri"/>
          <w:vertAlign w:val="superscript"/>
        </w:rPr>
        <w:t>245–247</w:t>
      </w:r>
      <w:r>
        <w:fldChar w:fldCharType="end"/>
      </w:r>
      <w:r w:rsidRPr="005F2801">
        <w:t>, yet overall, starting immediately pre-transplantation, levels of physical activity are generally lower than the general populatio</w:t>
      </w:r>
      <w:r>
        <w:t xml:space="preserve">n </w:t>
      </w:r>
      <w:r>
        <w:fldChar w:fldCharType="begin"/>
      </w:r>
      <w:r w:rsidR="002D20B5">
        <w:instrText xml:space="preserve"> ADDIN ZOTERO_ITEM CSL_CITATION {"citationID":"QY9ZLzCO","properties":{"formattedCitation":"\\super 248\\nosupersub{}","plainCitation":"248","noteIndex":0},"citationItems":[{"id":19204,"uris":["http://zotero.org/users/3444308/items/3A63AVZU"],"itemData":{"id":19204,"type":"article-journal","abstract":"Regular physical activity is associated with an increased quality of life and reduced morbidity and mortality in the general population and in patients with chronic kidney disease (CKD). Physical activity, cardiorespiratory fitness, and muscle mass decrease even in the early stages of CKD, and continue to decrease with disease progression; notably, full recovery is generally not achieved with transplantation. The combined effects of uraemia and physical inactivity drive the loss of muscle mass. Regular physical activity benefits cardiometabolic, neuromuscular and cognitive function across all stages of CKD, and therefore provides an approach to address the multimorbidity of the CKD population. Interestingly, maintenance of muscle health is associated with renoprotective effects. Despite evidence of its benefits, physical activity and exercise management are not routinely addressed in the care of these patients. Although studies defining the optimum frequency, duration and intensity of physical activity are lacking, evidence from related fields can guide practical approaches to the care of patients with renal disease. Optimization of metabolic and nutritional status alongside promotion of physical activity is recommended. Behavioural approaches are now recognized as crucial in helping patients to adopt lifestyle changes and might prove valuable in integrating physical activity into renal care.","container-title":"Nature Reviews. Nephrology","DOI":"10.1038/nrneph.2016.187","ISSN":"1759-507X","issue":"3","journalAbbreviation":"Nat Rev Nephrol","language":"eng","note":"PMID: 28138130","page":"152-168","source":"PubMed","title":"Physical inactivity: a risk factor and target for intervention in renal care","title-short":"Physical inactivity","volume":"13","author":[{"family":"Zelle","given":"Dorien M."},{"family":"Klaassen","given":"Gerald"},{"family":"Adrichem","given":"Edwin","non-dropping-particle":"van"},{"family":"Bakker","given":"Stephan J. L."},{"family":"Corpeleijn","given":"Eva"},{"family":"Navis","given":"Gerjan"}],"issued":{"date-parts":[["2017",3]]}}}],"schema":"https://github.com/citation-style-language/schema/raw/master/csl-citation.json"} </w:instrText>
      </w:r>
      <w:r>
        <w:fldChar w:fldCharType="separate"/>
      </w:r>
      <w:r w:rsidR="002D20B5" w:rsidRPr="002D20B5">
        <w:rPr>
          <w:rFonts w:ascii="Calibri" w:hAnsi="Calibri" w:cs="Calibri"/>
          <w:vertAlign w:val="superscript"/>
        </w:rPr>
        <w:t>248</w:t>
      </w:r>
      <w:r>
        <w:fldChar w:fldCharType="end"/>
      </w:r>
      <w:r w:rsidRPr="005F2801">
        <w:t>. During the first year after transplantation, a partial recovery of physical activity occurs and activity is higher overall than in patients on dialysis therapy</w:t>
      </w:r>
      <w:r>
        <w:t xml:space="preserve"> </w:t>
      </w:r>
      <w:r>
        <w:fldChar w:fldCharType="begin"/>
      </w:r>
      <w:r w:rsidR="002D20B5">
        <w:instrText xml:space="preserve"> ADDIN ZOTERO_ITEM CSL_CITATION {"citationID":"4wkF4JKk","properties":{"formattedCitation":"\\super 249,250\\nosupersub{}","plainCitation":"249,250","noteIndex":0},"citationItems":[{"id":19202,"uris":["http://zotero.org/users/3444308/items/ILV5IF8K"],"itemData":{"id":19202,"type":"article-journal","abstract":"BACKGROUND: Sedentary lifestyle is a problem among hemodialysis (HD) patients, potentially attenuated after kidney transplantation. However, the effect of kidney transplantation on physical activity has not been thoroughly investigated.\nOBJECTIVE: This study sought to evaluate the physical activity in daily life in kidney transplant recipients (KTRs) compared with HD patients and to explore its relationship with clinical variables.\nMETHODS: A cross-sectional study enrolled KTRs who received transplants at least 6 months before the study (N = 23; 48.3 ± 10.3 years) and patients undergoing HD for at least 6 months (N = 20; 47.3 ± 12.6 years). Time spent in different activities (walking, standing, sitting, and lying down) and number of steps taken, measured by a multiaxial accelerometer used for 12 h/d on 2 consecutive days for KTRs and on 4 consecutive days for HD patients, were evaluated.\nRESULTS: KTRs engaged in more active time per day (sum of walking and standing time) than HD patients (311 ± 87 vs 196 ± 54 min/d; P = .001), with longer walking (106 ± 53 vs 70 ± 27 min/d; P = .008) and standing time (205 ± 55 vs 126 ± 42 min/d; P &lt; .001). Sixty-five percent of KTRs were classified as active (&gt;7500 steps/d) compared with only 20% of the HD group (P &lt; .05). The multivariate analysis showed that time posttransplantation was significantly associated with walking time and active time.\nCONCLUSIONS: By using an accelerometer, a precise method, this study showed that KTRs are significantly more active in daily life than HD patients, and that daily physical activity increases with time since transplantation.","container-title":"Transplantation Proceedings","DOI":"10.1016/j.transproceed.2014.05.019","ISSN":"1873-2623","issue":"6","journalAbbreviation":"Transplant Proc","language":"eng","note":"PMID: 25131019","page":"1713-1717","source":"PubMed","title":"Physical activity in daily life assessed by an accelerometer in kidney transplant recipients and hemodialysis patients","volume":"46","author":[{"family":"Carvalho","given":"E. V."},{"family":"Reboredo","given":"M. M."},{"family":"Gomes","given":"E. P."},{"family":"Teixeira","given":"D. R."},{"family":"Roberti","given":"N. C."},{"family":"Mendes","given":"J. O."},{"family":"Oliveira","given":"J. C. A."},{"family":"Sanders-Pinheiro","given":"H."},{"family":"Pinheiro","given":"B. V."}],"issued":{"date-parts":[["2014"]]}}},{"id":19203,"uris":["http://zotero.org/users/3444308/items/MFUYBJJR"],"itemData":{"id":19203,"type":"article-journal","abstract":"BACKGROUND: People with chronic kidney disease (CKD) report high levels of physical inactivity, a major modifiable risk factor for morbidity and mortality. Understanding the biological, psychosocial and demographic causes of physical activity behaviour is essential for the development and improvement of potential health interventions and promotional initiatives. This study investigated the prevalence of physical inactivity and determined individual correlates of this behaviour in a large sample of patients across the spectrum of kidney disease.\nMETHODS: A total of 5656 people across all stages of CKD (1-2, 3, 4-5, haemodialysis, peritoneal dialysis and renal transplant recipients) were recruited from 17 sites in England from July 2012 to October 2018. Physical activity was evaluated using the General Practice Physical Activity Questionnaire. Self-reported cardiorespiratory fitness, self-efficacy and stage of change were also assessed. Binominal generalized linear mutually adjusted models were conducted to explore the associations between physical activity and correlate variables. This cross-sectional observational multi-centre study was registered retrospectively as ISRCTN87066351 (October 2015).\nRESULTS: The prevalence of physical activity (6-34%) was low and worsened with disease progression. Being older, female and having a greater number of comorbidities were associated with greater odds of being physically inactive. Higher haemoglobin, cardiorespiratory fitness and self-efficacy levels were associated with increased odds of being active. Neither ethnicity nor smoking history had any effect on physical activity.\nCONCLUSIONS: Levels of physical inactivity are high across all stages of CKD. The identification of stage-specific correlates of physical activity may help to prioritize factors in target groups of kidney patients and improve the development and improvement of public health interventions.","container-title":"Nephrology, Dialysis, Transplantation: Official Publication of the European Dialysis and Transplant Association - European Renal Association","DOI":"10.1093/ndt/gfz235","ISSN":"1460-2385","issue":"4","journalAbbreviation":"Nephrol Dial Transplant","language":"eng","note":"PMID: 31725147","page":"641-649","source":"PubMed","title":"Prevalence and correlates of physical activity across kidney disease stages: an observational multicentre study","title-short":"Prevalence and correlates of physical activity across kidney disease stages","volume":"36","author":[{"family":"Wilkinson","given":"Thomas J."},{"family":"Clarke","given":"Amy L."},{"family":"Nixon","given":"Daniel G. D."},{"family":"Hull","given":"Katherine L."},{"family":"Song","given":"Yan"},{"family":"Burton","given":"James O."},{"family":"Yates","given":"Thomas"},{"family":"Smith","given":"Alice C."}],"issued":{"date-parts":[["2021",3,29]]}}}],"schema":"https://github.com/citation-style-language/schema/raw/master/csl-citation.json"} </w:instrText>
      </w:r>
      <w:r>
        <w:fldChar w:fldCharType="separate"/>
      </w:r>
      <w:r w:rsidR="002D20B5" w:rsidRPr="002D20B5">
        <w:rPr>
          <w:rFonts w:ascii="Calibri" w:hAnsi="Calibri" w:cs="Calibri"/>
          <w:vertAlign w:val="superscript"/>
        </w:rPr>
        <w:t>249,250</w:t>
      </w:r>
      <w:r>
        <w:fldChar w:fldCharType="end"/>
      </w:r>
      <w:r w:rsidRPr="005F2801">
        <w:t xml:space="preserve">; however, levels remain considerably below </w:t>
      </w:r>
      <w:r>
        <w:t>those</w:t>
      </w:r>
      <w:r w:rsidRPr="005F2801">
        <w:t xml:space="preserve"> of age-matched healthy controls </w:t>
      </w:r>
      <w:r>
        <w:fldChar w:fldCharType="begin"/>
      </w:r>
      <w:r w:rsidR="002D20B5">
        <w:instrText xml:space="preserve"> ADDIN ZOTERO_ITEM CSL_CITATION {"citationID":"Yhz6F7Ol","properties":{"formattedCitation":"\\super 247,248,251\\nosupersub{}","plainCitation":"247,248,251","noteIndex":0},"citationItems":[{"id":19206,"uris":["http://zotero.org/users/3444308/items/XJPUT3TB"],"itemData":{"id":19206,"type":"article-journal","abstract":"Physical activity has known health benefits and is associated with reduced cardiovascular risk in the general population. Relatively few data are available for physical activity in kidney transplant recipients. Compared to the general population, physical activity levels are lower overall in kidney recipients, although somewhat higher compared to the dialysis population. Recipient comorbid condition, psychosocial and socioeconomic factors, and long-term immunosuppression use negatively affect physical activity. Physical inactivity in kidney recipients may be associated with reduced quality of life, as well as increased mortality. Interventions such as exercise training appear to be safe in kidney transplant recipients and are associated with improved quality of life and exercise capacity. Additional studies are required to evaluate long-term effects on cardiovascular risk factors and ultimately cardiovascular disease outcomes and patient survival. Currently available data are characterized by wide variability in the interventions and outcome measures investigated in studies, as well as use of small sample-sized cohorts. These limitations highlight the need for larger studies using objective and standardized measures of physical activity and physical fitness in kidney transplant recipients.","container-title":"American Journal of Kidney Diseases: The Official Journal of the National Kidney Foundation","DOI":"10.1053/j.ajkd.2017.12.005","ISSN":"1523-6838","issue":"3","journalAbbreviation":"Am J Kidney Dis","language":"eng","note":"PMID: 29482935","page":"433-443","source":"PubMed","title":"Physical Activity in Kidney Transplant Recipients: A Review","title-short":"Physical Activity in Kidney Transplant Recipients","volume":"72","author":[{"family":"Takahashi","given":"Ashley"},{"family":"Hu","given":"Susie L."},{"family":"Bostom","given":"Andrew"}],"issued":{"date-parts":[["2018",9]]}}},{"id":19204,"uris":["http://zotero.org/users/3444308/items/3A63AVZU"],"itemData":{"id":19204,"type":"article-journal","abstract":"Regular physical activity is associated with an increased quality of life and reduced morbidity and mortality in the general population and in patients with chronic kidney disease (CKD). Physical activity, cardiorespiratory fitness, and muscle mass decrease even in the early stages of CKD, and continue to decrease with disease progression; notably, full recovery is generally not achieved with transplantation. The combined effects of uraemia and physical inactivity drive the loss of muscle mass. Regular physical activity benefits cardiometabolic, neuromuscular and cognitive function across all stages of CKD, and therefore provides an approach to address the multimorbidity of the CKD population. Interestingly, maintenance of muscle health is associated with renoprotective effects. Despite evidence of its benefits, physical activity and exercise management are not routinely addressed in the care of these patients. Although studies defining the optimum frequency, duration and intensity of physical activity are lacking, evidence from related fields can guide practical approaches to the care of patients with renal disease. Optimization of metabolic and nutritional status alongside promotion of physical activity is recommended. Behavioural approaches are now recognized as crucial in helping patients to adopt lifestyle changes and might prove valuable in integrating physical activity into renal care.","container-title":"Nature Reviews. Nephrology","DOI":"10.1038/nrneph.2016.187","ISSN":"1759-507X","issue":"3","journalAbbreviation":"Nat Rev Nephrol","language":"eng","note":"PMID: 28138130","page":"152-168","source":"PubMed","title":"Physical inactivity: a risk factor and target for intervention in renal care","title-short":"Physical inactivity","volume":"13","author":[{"family":"Zelle","given":"Dorien M."},{"family":"Klaassen","given":"Gerald"},{"family":"Adrichem","given":"Edwin","non-dropping-particle":"van"},{"family":"Bakker","given":"Stephan J. L."},{"family":"Corpeleijn","given":"Eva"},{"family":"Navis","given":"Gerjan"}],"issued":{"date-parts":[["2017",3]]}}},{"id":19201,"uris":["http://zotero.org/users/3444308/items/B8YSFRQF"],"itemData":{"id":19201,"type":"article-journal","abstract":"BACKGROUND AND OBJECTIVES: Low physical activity (PA) is a risk factor for mortality in the general population. This is largely unexplored in renal transplant recipients (RTRs). We studied whether PA is associated with cardiovascular and all-cause mortality in a prospective cohort of RTR.\nDESIGN, SETTING, PARTICIPANTS, &amp; MEASUREMENTS: Between 2001 and 2003, 540 RTRs were studied (age, 51 ± 12 years; 54% male). PA was assessed using validated questionnaires (Tecumseh Occupational Activity Questionnaire and the Minnesota Leisure Time Physical Activity Questionnaire). Cardiovascular and all-cause mortality were recorded until August 2007.\nRESULTS: Independent of age, PA was inversely associated with metabolic syndrome, history of cardiovascular disease, fasting insulin, and triglyceride concentration, and positively associated with kidney function and 24-hour urinary creatinine excretion (i.e., muscle mass). During follow-up for 5.3 years (range, 4.7 to 5.7 years), 81 RTRs died, with 37 cardiovascular deaths. Cardiovascular mortality was 11.7, 7.2, and 1.7%, respectively, according to gender-stratified tertiles of PA (P=0.001). All-cause mortality was 24.4, 15.0, and 5.6% according to these tertiles (P&lt;0.001). In Cox regression analyses, adjustment for potential confounders including history of cardiovascular disease, muscle mass, and traditional risk factors for cardiovascular disease did not materially change these associations.\nCONCLUSIONS: Low PA is strongly associated with increased risk for cardiovascular and all-cause mortality in RTRs. Intervention studies are necessary to investigate whether PA improves long-term survival after renal transplantation.","container-title":"Clinical journal of the American Society of Nephrology: CJASN","DOI":"10.2215/CJN.03340410","ISSN":"1555-905X","issue":"4","journalAbbreviation":"Clin J Am Soc Nephrol","language":"eng","note":"PMID: 21372213\nPMCID: PMC3069385","page":"898-905","source":"PubMed","title":"Low physical activity and risk of cardiovascular and all-cause mortality in renal transplant recipients","volume":"6","author":[{"family":"Zelle","given":"Dorien M."},{"family":"Corpeleijn","given":"Eva"},{"family":"Stolk","given":"Ronald P."},{"family":"Greef","given":"Mathieu H. G.","non-dropping-particle":"de"},{"family":"Gans","given":"Rijk O. B."},{"family":"Heide","given":"Jaap J. Homan","non-dropping-particle":"van der"},{"family":"Navis","given":"Gerjan"},{"family":"Bakker","given":"Stephan J. L."}],"issued":{"date-parts":[["2011",4]]}}}],"schema":"https://github.com/citation-style-language/schema/raw/master/csl-citation.json"} </w:instrText>
      </w:r>
      <w:r>
        <w:fldChar w:fldCharType="separate"/>
      </w:r>
      <w:r w:rsidR="002D20B5" w:rsidRPr="002D20B5">
        <w:rPr>
          <w:rFonts w:ascii="Calibri" w:hAnsi="Calibri" w:cs="Calibri"/>
          <w:vertAlign w:val="superscript"/>
        </w:rPr>
        <w:t>247,248,251</w:t>
      </w:r>
      <w:r>
        <w:fldChar w:fldCharType="end"/>
      </w:r>
      <w:r w:rsidRPr="005F2801">
        <w:t xml:space="preserve">. Sufficient physical activity estimates range from ~11-55% </w:t>
      </w:r>
      <w:r>
        <w:fldChar w:fldCharType="begin"/>
      </w:r>
      <w:r w:rsidR="002D20B5">
        <w:instrText xml:space="preserve"> ADDIN ZOTERO_ITEM CSL_CITATION {"citationID":"O4YkqLaP","properties":{"formattedCitation":"\\super 246,248,251\\uc0\\u8211{}255\\nosupersub{}","plainCitation":"246,248,251–255","noteIndex":0},"citationItems":[{"id":19199,"uris":["http://zotero.org/users/3444308/items/NDXGSF7J"],"itemData":{"id":19199,"type":"article-journal","abstract":"The purpose of this longitudinal observational study was to (i) examine the change of daily physical activity in 28 adult kidney transplant recipients over the first 12 months following transplantation; and (ii) to examine the change in metabolic characteristics and renal function. Accelerometer-based daily physical activity and metabolic- and clinical characteristics were measured at six wk (T1), three months (T2), six months (T3) and 12 months (T4) following transplantation. Linear mixed effect analyses showed an increase in steps/d (T1 = 6326 ± 2906; T4 = 7562 ± 3785; F = 3.52; p = 0.02), but one yr after transplantation only 25% achieved the recommended 10 000 steps/d. There was no significant increase in minutes per day spent on moderate-to-vigorous intensity physical activity (T1 = 80.4 ± 63.6; T4 = 93.2 ± 55.1; F = 1.71; p = 0.17). Body mass index increased over time (T1 = 25.4 ± 3.2; T4 = 27.2 ± 3.8; F = 12.62; p &lt; 0.001), mainly due to an increase in fat percentage (T1 = 30.3 ± 8.0; T4 = 34.0 ± 7.9; F = 14.63; p &lt; 0.001). There was no significant change in renal function (F = 0.17; p = 0.92). Although the recipients increased physical activity, the majority did not meet the recommended levels of physical activity after one yr. In addition to the weight gain, this may result in negative health consequences. Therefore, it is important to develop strategies to support kidney transplant recipients to comply with healthy lifestyle recommendations, including regular physical activity.","container-title":"Clinical Transplantation","DOI":"10.1111/ctr.12325","ISSN":"1399-0012","issue":"4","journalAbbreviation":"Clin Transplant","language":"eng","note":"PMID: 24635476","page":"394-402","source":"PubMed","title":"Longitudinal measurement of physical activity following kidney transplantation","volume":"28","author":[{"family":"Dontje","given":"M. L."},{"family":"Greef","given":"M. H. G.","non-dropping-particle":"de"},{"family":"Krijnen","given":"W. P."},{"family":"Corpeleijn","given":"E."},{"family":"Kok","given":"T."},{"family":"Bakker","given":"S. J. L."},{"family":"Stolk","given":"R. P."},{"family":"Schans","given":"C. P.","non-dropping-particle":"van der"}],"issued":{"date-parts":[["2014",4]]}}},{"id":19197,"uris":["http://zotero.org/users/3444308/items/XWVG3TBJ"],"itemData":{"id":19197,"type":"article-journal","abstract":"Self-care is recommended to kidney transplant recipients as a vital component to maintain long-term graft function. However, little is known about the effects of physical activity, fluid intake, and smoking history on graft function. This longitudinal study examined the relationship between self-care practices on graft function among 88 new kidney transplant recipients in Chicago, IL and Albany, NY between 2005 and 2008. Participants were interviewed, completed surveys, and medical charts were abstracted. Physical activity, fluid intake, and smoking history at baseline were compared with changes in estimated glomerular filtration rate (eGFR) (every 6 months up to 1 year) using bivariate and multivariate regression analysis, while controlling for sociodemographic and clinical transplant variables. Multivariate analyses revealed that greater physical activity was significantly (P &lt; 0.05) associated with improvement in GFR at 6 months; while greater physical activity, absence of smoking history, and nonwhite ethnicity were significant (P &lt; 0.05) predictors of improvement in GFR at 12 months. These results suggest that increasing physical activity levels in kidney recipients may be an effective behavioral measure to help ensure graft functioning. Our findings suggest the need for a randomized controlled trial of exercise, fluid intake, and smoking history on GFR beyond 12 months.","container-title":"Transplant International: Official Journal of the European Society for Organ Transplantation","DOI":"10.1111/j.1432-2277.2009.00917.x","ISSN":"1432-2277","issue":"10","journalAbbreviation":"Transpl Int","language":"eng","note":"PMID: 19619168\nPMCID: PMC2925536","page":"990-998","source":"PubMed","title":"Longitudinal analysis of physical activity, fluid intake, and graft function among kidney transplant recipients","volume":"22","author":[{"family":"Gordon","given":"Elisa J."},{"family":"Prohaska","given":"Thomas R."},{"family":"Gallant","given":"Mary P."},{"family":"Sehgal","given":"Ashwini R."},{"family":"Strogatz","given":"David"},{"family":"Yucel","given":"Recai"},{"family":"Conti","given":"David"},{"family":"Siminoff","given":"Laura A."}],"issued":{"date-parts":[["2009",10]]}}},{"id":19205,"uris":["http://zotero.org/users/3444308/items/C68WPPK5"],"itemData":{"id":19205,"type":"article-journal","abstract":"BACKGROUND Physical activity is a key factor in improvement of quality of life. This study aimed to assess the extent of physical activity in solid-organ transplant recipients. MATERIAL AND METHODS The study involved 106 patients, mostly kidney (64.15%) and liver (28.30%) recipients, observed in a Warsaw transplant center. The study group was dominated by women (56.6%), mean age 49.25±14.09 years, the time since transplantation ranged from 1 month to 28 years, with a mean of 93.9±71.83 months. Recipients were educated about physical activity in the immediate post-transplant period and during follow-up visits. The study was conducted in early 2021 and used the long form of the International Physical Activity Questionnaire (IPAQ) validated for Polish patients, consisting of the of 5 parts - physical activity, professional work, travel, housework, recreation, and time spent sitting - containing a total of 27 questions in the main part of the questionnaire and 7 questions in the introductory part determining the typicality of the last 7 days. RESULTS More than half (57.5%) of the transplant recipients reported high levels of physical activity. Patients reported the highest mean physical activity in job-related physical activity (P&lt;0.001). Patients also had high scores for walking and moderate-intensity physical activity, while the lowest mean scores were for leisure-time physical activity, total vigorous-intensity physical activity, and housework-related activity. CONCLUSIONS When undertaking physical activity, patients turn to activities that do not involve intense effort, are less physically demanding, and do not result in high energy expenditure. Employed patients had higher PA levels in all domains.","container-title":"Annals of Transplantation","DOI":"10.12659/AOT.944101","ISSN":"2329-0358","journalAbbreviation":"Ann Transplant","language":"eng","note":"PMID: 38859567\nPMCID: PMC11179440","page":"e944101","source":"PubMed","title":"Physical Activity Levels in Transplant Recipients","volume":"29","author":[{"family":"Hreńczuk","given":"Marta"},{"family":"Wasińska","given":"Ewelina"},{"family":"Małkowski","given":"Piotr"}],"issued":{"date-parts":[["2024",6,11]]}}},{"id":19198,"uris":["http://zotero.org/users/3444308/items/7A24D4A5"],"itemData":{"id":19198,"type":"article-journal","abstract":"BACKGROUND: Physical activity is recommended for kidney transplant recipents as it may improve outcomes including mortality, exercise capacity, muscle strength, and health-related quality of life.\nOBJECTIVE: The objective of this study was to examine accelerometer-based physical activity and sedentary time profiles among kidney transplant recipients and examine possible demographic and clinical correlates of physical activity and sedentary time.\nDESIGN: Cross-sectional.\nSETTING: Edmonton, Alberta, Canada.\nPATIENTS: Kidney transplant recipients were recruited (N = 1,284) from the Northern Alberta Renal Program's Nephrology Information System database (1993-2016).\nMEASUREMENTS: Participants wore an ActiGraph GT3X+ accelerometer on their hip during waking hours for seven consecutive days.\nMETHODS: Kidney transplant recipients (1993-2016) recruited from the Northern Alberta Renal Program's Nephrology Information System database wore an accelerometer and completed a self-reported questionnaire. Multiple linear regression was used to determine associations between activity level, demographic, and clinical characteristics.\nRESULTS: Participants' (n = 133; 11% response rate) mean age (SD) was 58 (14) years and 56% were female. Mean total sedentary time was 9.4 (1.4) hours per day; total moderate-to-vigorous physical activity (MVPA) time was 20.7 (19.6) minutes per day. MVPA was significantly associated with age where each additional year was associated with 0.48 fewer min/day (ie, ~30 seconds) (unstandardized beta: B = -0.48 min/day, 95% confidence interval [95% CI]: -0.75, -0.22). Sedentary time was significantly associated with age (B = 1.0 min/day, 95% CI: 0.03, 1.9), body mass index (B = 2.7 min/day, 95% CI: 0.2, 5.13), education (B = 39.1 min/day, 95% CI: 12.3, -65.8), and inversely associated with income (B = -44.9 min/day, 95% CI: -73.1, -16.8).\nLIMITATIONS: Limitations include the cross-sectional design, poor response rate, and limited generalizability of the results.\nCONCLUSIONS: Kidney transplant recipients showed high volumes of sedentary time and low volumes of health-enhancing physical activity. Understanding correlates of these behaviors may aid in the development of interventions to favorably change these behaviors.","container-title":"Canadian Journal of Kidney Health and Disease","DOI":"10.1177/2054358119882658","ISSN":"2054-3581","journalAbbreviation":"Can J Kidney Health Dis","language":"eng","note":"PMID: 31695921\nPMCID: PMC6820169","page":"2054358119882658","source":"PubMed","title":"Prevalence and Correlates of Accelerometer-Based Physical Activity and Sedentary Time Among Kidney Transplant Recipients","volume":"6","author":[{"family":"Vallance","given":"Jeff K."},{"family":"Johnson","given":"Steven T."},{"family":"Thompson","given":"Stephanie"},{"family":"Wen","given":"Kevin"},{"family":"Lam","given":"Ngan N."},{"family":"Boyle","given":"Terry"},{"family":"Juárez","given":"Itzel"},{"family":"Shojai","given":"Soroush"}],"issued":{"date-parts":[["2019"]]}}},{"id":19204,"uris":["http://zotero.org/users/3444308/items/3A63AVZU"],"itemData":{"id":19204,"type":"article-journal","abstract":"Regular physical activity is associated with an increased quality of life and reduced morbidity and mortality in the general population and in patients with chronic kidney disease (CKD). Physical activity, cardiorespiratory fitness, and muscle mass decrease even in the early stages of CKD, and continue to decrease with disease progression; notably, full recovery is generally not achieved with transplantation. The combined effects of uraemia and physical inactivity drive the loss of muscle mass. Regular physical activity benefits cardiometabolic, neuromuscular and cognitive function across all stages of CKD, and therefore provides an approach to address the multimorbidity of the CKD population. Interestingly, maintenance of muscle health is associated with renoprotective effects. Despite evidence of its benefits, physical activity and exercise management are not routinely addressed in the care of these patients. Although studies defining the optimum frequency, duration and intensity of physical activity are lacking, evidence from related fields can guide practical approaches to the care of patients with renal disease. Optimization of metabolic and nutritional status alongside promotion of physical activity is recommended. Behavioural approaches are now recognized as crucial in helping patients to adopt lifestyle changes and might prove valuable in integrating physical activity into renal care.","container-title":"Nature Reviews. Nephrology","DOI":"10.1038/nrneph.2016.187","ISSN":"1759-507X","issue":"3","journalAbbreviation":"Nat Rev Nephrol","language":"eng","note":"PMID: 28138130","page":"152-168","source":"PubMed","title":"Physical inactivity: a risk factor and target for intervention in renal care","title-short":"Physical inactivity","volume":"13","author":[{"family":"Zelle","given":"Dorien M."},{"family":"Klaassen","given":"Gerald"},{"family":"Adrichem","given":"Edwin","non-dropping-particle":"van"},{"family":"Bakker","given":"Stephan J. L."},{"family":"Corpeleijn","given":"Eva"},{"family":"Navis","given":"Gerjan"}],"issued":{"date-parts":[["2017",3]]}}},{"id":19200,"uris":["http://zotero.org/users/3444308/items/KX9LGM5M"],"itemData":{"id":19200,"type":"article-journal","abstract":"BACKGROUND: Long-term survival of renal transplant recipients (RTR) has not improved over the past 20 yr. The question rises to what extent lifestyle factors play a role in post-transplant weight gain and its associated risks after transplantation.\nMETHODS: Twenty-six RTR were measured for body weight, body composition, blood lipids, renal function, dietary intake, and physical activity at six wk, and three, six, and 12 months after transplantation.\nRESULTS: Weight gain ranged between -2.4 kg and 19.5 kg and was largely due to increase in body fat. RTR who remained body fat stable, showed more daily physical activity (p = 0.014), tended to consume less energy from drinks and dairy (p = 0.054), consumed less mono- and disaccharides (sugars) (p = 0.021) and ate more vegetables (p = 0.043) compared with those who gained body fat. Gain in body fat was strongly related to total cholesterol (r = 0.46, p = 0.017) and triglyceride (r = 0.511, p = 0.011) at one yr after transplantation.\nCONCLUSIONS: Gain in adiposity after renal transplantation is related to lifestyle factors such as high consumption of energy-rich drinks, high intake of mono- and disaccharides and low daily physical activity. RCTs are needed to investigate potential benefits of lifestyle intervention on long-term morbidity and mortality.","container-title":"Clinical Transplantation","DOI":"10.1111/ctr.12149","ISSN":"1399-0012","issue":"4","journalAbbreviation":"Clin Transplant","language":"eng","note":"PMID: 23758229","page":"E484-490","source":"PubMed","title":"The role of diet and physical activity in post-transplant weight gain after renal transplantation","volume":"27","author":[{"family":"Zelle","given":"Dorien M."},{"family":"Kok","given":"Trijntje"},{"family":"Dontje","given":"Manon L."},{"family":"Danchell","given":"Eva I."},{"family":"Navis","given":"Gerjan"},{"family":"Son","given":"Willem J.","non-dropping-particle":"van"},{"family":"Bakker","given":"Stephan J. L."},{"family":"Corpeleijn","given":"Eva"}],"issued":{"date-parts":[["2013"]]}}},{"id":19201,"uris":["http://zotero.org/users/3444308/items/B8YSFRQF"],"itemData":{"id":19201,"type":"article-journal","abstract":"BACKGROUND AND OBJECTIVES: Low physical activity (PA) is a risk factor for mortality in the general population. This is largely unexplored in renal transplant recipients (RTRs). We studied whether PA is associated with cardiovascular and all-cause mortality in a prospective cohort of RTR.\nDESIGN, SETTING, PARTICIPANTS, &amp; MEASUREMENTS: Between 2001 and 2003, 540 RTRs were studied (age, 51 ± 12 years; 54% male). PA was assessed using validated questionnaires (Tecumseh Occupational Activity Questionnaire and the Minnesota Leisure Time Physical Activity Questionnaire). Cardiovascular and all-cause mortality were recorded until August 2007.\nRESULTS: Independent of age, PA was inversely associated with metabolic syndrome, history of cardiovascular disease, fasting insulin, and triglyceride concentration, and positively associated with kidney function and 24-hour urinary creatinine excretion (i.e., muscle mass). During follow-up for 5.3 years (range, 4.7 to 5.7 years), 81 RTRs died, with 37 cardiovascular deaths. Cardiovascular mortality was 11.7, 7.2, and 1.7%, respectively, according to gender-stratified tertiles of PA (P=0.001). All-cause mortality was 24.4, 15.0, and 5.6% according to these tertiles (P&lt;0.001). In Cox regression analyses, adjustment for potential confounders including history of cardiovascular disease, muscle mass, and traditional risk factors for cardiovascular disease did not materially change these associations.\nCONCLUSIONS: Low PA is strongly associated with increased risk for cardiovascular and all-cause mortality in RTRs. Intervention studies are necessary to investigate whether PA improves long-term survival after renal transplantation.","container-title":"Clinical journal of the American Society of Nephrology: CJASN","DOI":"10.2215/CJN.03340410","ISSN":"1555-905X","issue":"4","journalAbbreviation":"Clin J Am Soc Nephrol","language":"eng","note":"PMID: 21372213\nPMCID: PMC3069385","page":"898-905","source":"PubMed","title":"Low physical activity and risk of cardiovascular and all-cause mortality in renal transplant recipients","volume":"6","author":[{"family":"Zelle","given":"Dorien M."},{"family":"Corpeleijn","given":"Eva"},{"family":"Stolk","given":"Ronald P."},{"family":"Greef","given":"Mathieu H. G.","non-dropping-particle":"de"},{"family":"Gans","given":"Rijk O. B."},{"family":"Heide","given":"Jaap J. Homan","non-dropping-particle":"van der"},{"family":"Navis","given":"Gerjan"},{"family":"Bakker","given":"Stephan J. L."}],"issued":{"date-parts":[["2011",4]]}}}],"schema":"https://github.com/citation-style-language/schema/raw/master/csl-citation.json"} </w:instrText>
      </w:r>
      <w:r>
        <w:fldChar w:fldCharType="separate"/>
      </w:r>
      <w:r w:rsidR="002D20B5" w:rsidRPr="002D20B5">
        <w:rPr>
          <w:rFonts w:ascii="Calibri" w:hAnsi="Calibri" w:cs="Calibri"/>
          <w:vertAlign w:val="superscript"/>
        </w:rPr>
        <w:t>246,248,251–255</w:t>
      </w:r>
      <w:r>
        <w:fldChar w:fldCharType="end"/>
      </w:r>
      <w:r w:rsidRPr="005F2801">
        <w:t>.</w:t>
      </w:r>
    </w:p>
    <w:p w14:paraId="61B17948" w14:textId="56761B75" w:rsidR="00ED6CD4" w:rsidRPr="005F2801" w:rsidRDefault="00ED6CD4" w:rsidP="00FB039F">
      <w:r w:rsidRPr="005F2801">
        <w:t>Epidemiological evidence suggests that higher levels of physical activity are associated with reduced mortality</w:t>
      </w:r>
      <w:r>
        <w:t xml:space="preserve"> </w:t>
      </w:r>
      <w:r>
        <w:fldChar w:fldCharType="begin"/>
      </w:r>
      <w:r w:rsidR="002D20B5">
        <w:instrText xml:space="preserve"> ADDIN ZOTERO_ITEM CSL_CITATION {"citationID":"pnB1PbNj","properties":{"formattedCitation":"\\super 248,251,256,257\\nosupersub{}","plainCitation":"248,251,256,257","noteIndex":0},"citationItems":[{"id":19195,"uris":["http://zotero.org/users/3444308/items/ZCEWZAY6"],"itemData":{"id":19195,"type":"article-journal","abstract":"BACKGROUND: Insufficient physical activity (PA) may increase the risk of all-cause mortality and cardiovascular disease (CVD) morbidity and mortality among kidney transplant recipients (KTRs), but limited research is available. We examine the relationship between PA and the development of CVD events, CVD death and all-cause mortality among KTRs.\nMETHODS: A total of 3050 KTRs enrolled in an international homocysteine-lowering randomized controlled trial were examined (38% female; mean age 51.8</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9.4</w:instrText>
      </w:r>
      <w:r w:rsidR="002D20B5">
        <w:rPr>
          <w:rFonts w:ascii="Arial" w:hAnsi="Arial" w:cs="Arial"/>
        </w:rPr>
        <w:instrText> </w:instrText>
      </w:r>
      <w:r w:rsidR="002D20B5">
        <w:instrText>years; 75% white; 20% with prevalent CVD). PA was measured at baseline using a modified Yale Physical Activity Survey, divided into tertiles (T1, T2 and T3) from lowest to highest PA. Kaplan-Meier survival curves were used to graph the risk of events; Cox proportional hazards regression models examined the association of baseline PA levels with CVD events (e.g. stroke, myocardial infarction), CVD mortality and all-cause mortality over time.\nRESULTS: Participants were followed up to 2500</w:instrText>
      </w:r>
      <w:r w:rsidR="002D20B5">
        <w:rPr>
          <w:rFonts w:ascii="Arial" w:hAnsi="Arial" w:cs="Arial"/>
        </w:rPr>
        <w:instrText> </w:instrText>
      </w:r>
      <w:r w:rsidR="002D20B5">
        <w:instrText>days (mean 3.7</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1.6</w:instrText>
      </w:r>
      <w:r w:rsidR="002D20B5">
        <w:rPr>
          <w:rFonts w:ascii="Arial" w:hAnsi="Arial" w:cs="Arial"/>
        </w:rPr>
        <w:instrText> </w:instrText>
      </w:r>
      <w:r w:rsidR="002D20B5">
        <w:instrText xml:space="preserve">years). The cohort experienced 426 CVD events and 357 deaths. Fully adjusted models revealed that, compared to the lowest tertile of PA, the highest tertile experienced a significantly lower risk of CVD events {hazard ratio [HR] 0.76 [95% confidence interval (CI) 0.59-0.98]}, CVD mortality [HR 0.58 (95% CI 0.35-0.96)] and all-cause mortality [HR 0.76 (95% CI 0.59-0.98)]. Results were similar in unadjusted models.\nCONCLUSIONS: PA was associated with a reduced risk of CVD events and all-cause mortality among KTRs. These observed associations in a large, international sample, even when controlling for traditional CVD risk factors, indicate the potential importance of PA in reducing CVD and death among KTRs.","container-title":"Nephrology, Dialysis, Transplantation: Official Publication of the European Dialysis and Transplant Association - European Renal Association","DOI":"10.1093/ndt/gfaa038","ISSN":"1460-2385","issue":"8","journalAbbreviation":"Nephrol Dial Transplant","language":"eng","note":"PMID: 32437569\nPMCID: PMC7828582","page":"1436-1443","source":"PubMed","title":"Physical activity and risk of cardiovascular events and all-cause mortality among kidney transplant recipients","volume":"35","author":[{"family":"Kang","given":"Augustine W."},{"family":"Bostom","given":"Andrew G."},{"family":"Kim","given":"Hongseok"},{"family":"Eaton","given":"Charles B."},{"family":"Gohh","given":"Reginald"},{"family":"Kusek","given":"John W."},{"family":"Pfeffer","given":"Marc A."},{"family":"Risica","given":"Patricia M."},{"family":"Garber","given":"Carol E."}],"issued":{"date-parts":[["2020",8,1]]}}},{"id":19196,"uris":["http://zotero.org/users/3444308/items/K8AE6H8H"],"itemData":{"id":19196,"type":"article-journal","abstract":"BACKGROUND: Low physical activity (PA) has been associated with higher rates of cardiovascular disease (CVD) and mortality in the general population. Despite the benefits of kidney transplantation, kidney transplant recipients (KTRs) remain at elevated risk for CVD and mortality compared to individuals without kidney disease.\nMETHODS: A prospective cohort of 507 adult KTRs from three academic centers completed the Physical Activity Scale for the Elderly (PASE) at transplantation. PASE scores were divided into tertiles.\nRESULTS: PA was lower with older age, history of CVD, smoking, and diabetes. During the median 8-year follow-up period, 128 individuals died, among whom 101 had a functioning allograft. In multivariable Cox regression for all-cause mortality, greater PA was strongly associated with better survival (HR: 0.52 for most active vs. inactive tertiles, 95% CI: 0.31-0.87, p = 0.01). Secondary analyses, in which (1) death with a functioning graft was the primary outcome, and (2) PASE scores were converted to the metabolic equivalent of task, revealed similar results. We did not find an association between change of PA after transplantation and mortality.\nCONCLUSIONS: PA at the time of kidney transplantation is a strong predictor of all-cause mortality and death with graft function. Evaluation of PA level among kidney transplant candidates may be a useful method to risk-stratify patients for survival after kidney transplantation. Kidney transplant candidates and recipients should also be encouraged to be physically active.","container-title":"American Journal of Nephrology","DOI":"10.1159/000334732","ISSN":"1421-9670","issue":"1","journalAbbreviation":"Am J Nephrol","language":"eng","note":"PMID: 22156548\nPMCID: PMC3251242","page":"17-23","source":"PubMed","title":"Pretransplant physical activity predicts all-cause mortality in kidney transplant recipients","volume":"35","author":[{"family":"Rosas","given":"Sylvia E."},{"family":"Reese","given":"Peter P."},{"family":"Huan","given":"Yonghong"},{"family":"Doria","given":"Cataldo"},{"family":"Cochetti","given":"Philip T."},{"family":"Doyle","given":"Alden"}],"issued":{"date-parts":[["2012"]]}}},{"id":19204,"uris":["http://zotero.org/users/3444308/items/3A63AVZU"],"itemData":{"id":19204,"type":"article-journal","abstract":"Regular physical activity is associated with an increased quality of life and reduced morbidity and mortality in the general population and in patients with chronic kidney disease (CKD). Physical activity, cardiorespiratory fitness, and muscle mass decrease even in the early stages of CKD, and continue to decrease with disease progression; notably, full recovery is generally not achieved with transplantation. The combined effects of uraemia and physical inactivity drive the loss of muscle mass. Regular physical activity benefits cardiometabolic, neuromuscular and cognitive function across all stages of CKD, and therefore provides an approach to address the multimorbidity of the CKD population. Interestingly, maintenance of muscle health is associated with renoprotective effects. Despite evidence of its benefits, physical activity and exercise management are not routinely addressed in the care of these patients. Although studies defining the optimum frequency, duration and intensity of physical activity are lacking, evidence from related fields can guide practical approaches to the care of patients with renal disease. Optimization of metabolic and nutritional status alongside promotion of physical activity is recommended. Behavioural approaches are now recognized as crucial in helping patients to adopt lifestyle changes and might prove valuable in integrating physical activity into renal care.","container-title":"Nature Reviews. Nephrology","DOI":"10.1038/nrneph.2016.187","ISSN":"1759-507X","issue":"3","journalAbbreviation":"Nat Rev Nephrol","language":"eng","note":"PMID: 28138130","page":"152-168","source":"PubMed","title":"Physical inactivity: a risk factor and target for intervention in renal care","title-short":"Physical inactivity","volume":"13","author":[{"family":"Zelle","given":"Dorien M."},{"family":"Klaassen","given":"Gerald"},{"family":"Adrichem","given":"Edwin","non-dropping-particle":"van"},{"family":"Bakker","given":"Stephan J. L."},{"family":"Corpeleijn","given":"Eva"},{"family":"Navis","given":"Gerjan"}],"issued":{"date-parts":[["2017",3]]}}},{"id":19201,"uris":["http://zotero.org/users/3444308/items/B8YSFRQF"],"itemData":{"id":19201,"type":"article-journal","abstract":"BACKGROUND AND OBJECTIVES: Low physical activity (PA) is a risk factor for mortality in the general population. This is largely unexplored in renal transplant recipients (RTRs). We studied whether PA is associated with cardiovascular and all-cause mortality in a prospective cohort of RTR.\nDESIGN, SETTING, PARTICIPANTS, &amp; MEASUREMENTS: Between 2001 and 2003, 540 RTRs were studied (age, 51 ± 12 years; 54% male). PA was assessed using validated questionnaires (Tecumseh Occupational Activity Questionnaire and the Minnesota Leisure Time Physical Activity Questionnaire). Cardiovascular and all-cause mortality were recorded until August 2007.\nRESULTS: Independent of age, PA was inversely associated with metabolic syndrome, history of cardiovascular disease, fasting insulin, and triglyceride concentration, and positively associated with kidney function and 24-hour urinary creatinine excretion (i.e., muscle mass). During follow-up for 5.3 years (range, 4.7 to 5.7 years), 81 RTRs died, with 37 cardiovascular deaths. Cardiovascular mortality was 11.7, 7.2, and 1.7%, respectively, according to gender-stratified tertiles of PA (P=0.001). All-cause mortality was 24.4, 15.0, and 5.6% according to these tertiles (P&lt;0.001). In Cox regression analyses, adjustment for potential confounders including history of cardiovascular disease, muscle mass, and traditional risk factors for cardiovascular disease did not materially change these associations.\nCONCLUSIONS: Low PA is strongly associated with increased risk for cardiovascular and all-cause mortality in RTRs. Intervention studies are necessary to investigate whether PA improves long-term survival after renal transplantation.","container-title":"Clinical journal of the American Society of Nephrology: CJASN","DOI":"10.2215/CJN.03340410","ISSN":"1555-905X","issue":"4","journalAbbreviation":"Clin J Am Soc Nephrol","language":"eng","note":"PMID: 21372213\nPMCID: PMC3069385","page":"898-905","source":"PubMed","title":"Low physical activity and risk of cardiovascular and all-cause mortality in renal transplant recipients","volume":"6","author":[{"family":"Zelle","given":"Dorien M."},{"family":"Corpeleijn","given":"Eva"},{"family":"Stolk","given":"Ronald P."},{"family":"Greef","given":"Mathieu H. G.","non-dropping-particle":"de"},{"family":"Gans","given":"Rijk O. B."},{"family":"Heide","given":"Jaap J. Homan","non-dropping-particle":"van der"},{"family":"Navis","given":"Gerjan"},{"family":"Bakker","given":"Stephan J. L."}],"issued":{"date-parts":[["2011",4]]}}}],"schema":"https://github.com/citation-style-language/schema/raw/master/csl-citation.json"} </w:instrText>
      </w:r>
      <w:r>
        <w:fldChar w:fldCharType="separate"/>
      </w:r>
      <w:r w:rsidR="002D20B5" w:rsidRPr="002D20B5">
        <w:rPr>
          <w:rFonts w:ascii="Calibri" w:hAnsi="Calibri" w:cs="Calibri"/>
          <w:vertAlign w:val="superscript"/>
        </w:rPr>
        <w:t>248,251,256,257</w:t>
      </w:r>
      <w:r>
        <w:fldChar w:fldCharType="end"/>
      </w:r>
      <w:r w:rsidRPr="005F2801">
        <w:t xml:space="preserve"> and cardiovascular events </w:t>
      </w:r>
      <w:r w:rsidRPr="005F2801">
        <w:fldChar w:fldCharType="begin">
          <w:fldData xml:space="preserve">PEVuZE5vdGU+PENpdGU+PEF1dGhvcj5LYW5nPC9BdXRob3I+PFllYXI+MjAyMDwvWWVhcj48UmVj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</w:fldData>
        </w:fldChar>
      </w:r>
      <w:r w:rsidRPr="005F2801">
        <w:instrText xml:space="preserve"> ADDIN EN.CITE </w:instrText>
      </w:r>
      <w:r w:rsidRPr="005F2801">
        <w:fldChar w:fldCharType="begin">
          <w:fldData xml:space="preserve">PEVuZE5vdGU+PENpdGU+PEF1dGhvcj5LYW5nPC9BdXRob3I+PFllYXI+MjAyMDwvWWVhcj48UmVj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</w:fldData>
        </w:fldChar>
      </w:r>
      <w:r w:rsidRPr="005F2801">
        <w:instrText xml:space="preserve"> ADDIN EN.CITE.DATA </w:instrText>
      </w:r>
      <w:r w:rsidRPr="005F2801">
        <w:fldChar w:fldCharType="end"/>
      </w:r>
      <w:r w:rsidRPr="005F2801">
        <w:fldChar w:fldCharType="separate"/>
      </w:r>
      <w:r w:rsidRPr="005F2801">
        <w:rPr>
          <w:noProof/>
        </w:rPr>
        <w:t>[5, 14]</w:t>
      </w:r>
      <w:r w:rsidRPr="005F2801">
        <w:fldChar w:fldCharType="end"/>
      </w:r>
      <w:r>
        <w:t xml:space="preserve"> </w:t>
      </w:r>
      <w:r>
        <w:fldChar w:fldCharType="begin"/>
      </w:r>
      <w:r w:rsidR="002D20B5">
        <w:instrText xml:space="preserve"> ADDIN ZOTERO_ITEM CSL_CITATION {"citationID":"1uCntt8Q","properties":{"formattedCitation":"\\super 248,256\\nosupersub{}","plainCitation":"248,256","noteIndex":0},"citationItems":[{"id":19195,"uris":["http://zotero.org/users/3444308/items/ZCEWZAY6"],"itemData":{"id":19195,"type":"article-journal","abstract":"BACKGROUND: Insufficient physical activity (PA) may increase the risk of all-cause mortality and cardiovascular disease (CVD) morbidity and mortality among kidney transplant recipients (KTRs), but limited research is available. We examine the relationship between PA and the development of CVD events, CVD death and all-cause mortality among KTRs.\nMETHODS: A total of 3050 KTRs enrolled in an international homocysteine-lowering randomized controlled trial were examined (38% female; mean age 51.8</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9.4</w:instrText>
      </w:r>
      <w:r w:rsidR="002D20B5">
        <w:rPr>
          <w:rFonts w:ascii="Arial" w:hAnsi="Arial" w:cs="Arial"/>
        </w:rPr>
        <w:instrText> </w:instrText>
      </w:r>
      <w:r w:rsidR="002D20B5">
        <w:instrText>years; 75% white; 20% with prevalent CVD). PA was measured at baseline using a modified Yale Physical Activity Survey, divided into tertiles (T1, T2 and T3) from lowest to highest PA. Kaplan-Meier survival curves were used to graph the risk of events; Cox proportional hazards regression models examined the association of baseline PA levels with CVD events (e.g. stroke, myocardial infarction), CVD mortality and all-cause mortality over time.\nRESULTS: Participants were followed up to 2500</w:instrText>
      </w:r>
      <w:r w:rsidR="002D20B5">
        <w:rPr>
          <w:rFonts w:ascii="Arial" w:hAnsi="Arial" w:cs="Arial"/>
        </w:rPr>
        <w:instrText> </w:instrText>
      </w:r>
      <w:r w:rsidR="002D20B5">
        <w:instrText>days (mean 3.7</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1.6</w:instrText>
      </w:r>
      <w:r w:rsidR="002D20B5">
        <w:rPr>
          <w:rFonts w:ascii="Arial" w:hAnsi="Arial" w:cs="Arial"/>
        </w:rPr>
        <w:instrText> </w:instrText>
      </w:r>
      <w:r w:rsidR="002D20B5">
        <w:instrText xml:space="preserve">years). The cohort experienced 426 CVD events and 357 deaths. Fully adjusted models revealed that, compared to the lowest tertile of PA, the highest tertile experienced a significantly lower risk of CVD events {hazard ratio [HR] 0.76 [95% confidence interval (CI) 0.59-0.98]}, CVD mortality [HR 0.58 (95% CI 0.35-0.96)] and all-cause mortality [HR 0.76 (95% CI 0.59-0.98)]. Results were similar in unadjusted models.\nCONCLUSIONS: PA was associated with a reduced risk of CVD events and all-cause mortality among KTRs. These observed associations in a large, international sample, even when controlling for traditional CVD risk factors, indicate the potential importance of PA in reducing CVD and death among KTRs.","container-title":"Nephrology, Dialysis, Transplantation: Official Publication of the European Dialysis and Transplant Association - European Renal Association","DOI":"10.1093/ndt/gfaa038","ISSN":"1460-2385","issue":"8","journalAbbreviation":"Nephrol Dial Transplant","language":"eng","note":"PMID: 32437569\nPMCID: PMC7828582","page":"1436-1443","source":"PubMed","title":"Physical activity and risk of cardiovascular events and all-cause mortality among kidney transplant recipients","volume":"35","author":[{"family":"Kang","given":"Augustine W."},{"family":"Bostom","given":"Andrew G."},{"family":"Kim","given":"Hongseok"},{"family":"Eaton","given":"Charles B."},{"family":"Gohh","given":"Reginald"},{"family":"Kusek","given":"John W."},{"family":"Pfeffer","given":"Marc A."},{"family":"Risica","given":"Patricia M."},{"family":"Garber","given":"Carol E."}],"issued":{"date-parts":[["2020",8,1]]}}},{"id":19204,"uris":["http://zotero.org/users/3444308/items/3A63AVZU"],"itemData":{"id":19204,"type":"article-journal","abstract":"Regular physical activity is associated with an increased quality of life and reduced morbidity and mortality in the general population and in patients with chronic kidney disease (CKD). Physical activity, cardiorespiratory fitness, and muscle mass decrease even in the early stages of CKD, and continue to decrease with disease progression; notably, full recovery is generally not achieved with transplantation. The combined effects of uraemia and physical inactivity drive the loss of muscle mass. Regular physical activity benefits cardiometabolic, neuromuscular and cognitive function across all stages of CKD, and therefore provides an approach to address the multimorbidity of the CKD population. Interestingly, maintenance of muscle health is associated with renoprotective effects. Despite evidence of its benefits, physical activity and exercise management are not routinely addressed in the care of these patients. Although studies defining the optimum frequency, duration and intensity of physical activity are lacking, evidence from related fields can guide practical approaches to the care of patients with renal disease. Optimization of metabolic and nutritional status alongside promotion of physical activity is recommended. Behavioural approaches are now recognized as crucial in helping patients to adopt lifestyle changes and might prove valuable in integrating physical activity into renal care.","container-title":"Nature Reviews. Nephrology","DOI":"10.1038/nrneph.2016.187","ISSN":"1759-507X","issue":"3","journalAbbreviation":"Nat Rev Nephrol","language":"eng","note":"PMID: 28138130","page":"152-168","source":"PubMed","title":"Physical inactivity: a risk factor and target for intervention in renal care","title-short":"Physical inactivity","volume":"13","author":[{"family":"Zelle","given":"Dorien M."},{"family":"Klaassen","given":"Gerald"},{"family":"Adrichem","given":"Edwin","non-dropping-particle":"van"},{"family":"Bakker","given":"Stephan J. L."},{"family":"Corpeleijn","given":"Eva"},{"family":"Navis","given":"Gerjan"}],"issued":{"date-parts":[["2017",3]]}}}],"schema":"https://github.com/citation-style-language/schema/raw/master/csl-citation.json"} </w:instrText>
      </w:r>
      <w:r>
        <w:fldChar w:fldCharType="separate"/>
      </w:r>
      <w:r w:rsidR="002D20B5" w:rsidRPr="002D20B5">
        <w:rPr>
          <w:rFonts w:ascii="Calibri" w:hAnsi="Calibri" w:cs="Calibri"/>
          <w:vertAlign w:val="superscript"/>
        </w:rPr>
        <w:t>248,256</w:t>
      </w:r>
      <w:r>
        <w:fldChar w:fldCharType="end"/>
      </w:r>
      <w:r w:rsidRPr="005F2801">
        <w:t>. Post-transplantation, several observational studies support a relationship between physical activity and cardiovascular risk factors such as obesity, metabolic syndrome, dyslipidaemia, and glucose intolerance</w:t>
      </w:r>
      <w:r>
        <w:t xml:space="preserve"> </w:t>
      </w:r>
      <w:r>
        <w:fldChar w:fldCharType="begin"/>
      </w:r>
      <w:r w:rsidR="002D20B5">
        <w:instrText xml:space="preserve"> ADDIN ZOTERO_ITEM CSL_CITATION {"citationID":"ixmJLDqV","properties":{"formattedCitation":"\\super 248,251,253,256\\nosupersub{}","plainCitation":"248,251,253,256","noteIndex":0},"citationItems":[{"id":19197,"uris":["http://zotero.org/users/3444308/items/XWVG3TBJ"],"itemData":{"id":19197,"type":"article-journal","abstract":"Self-care is recommended to kidney transplant recipients as a vital component to maintain long-term graft function. However, little is known about the effects of physical activity, fluid intake, and smoking history on graft function. This longitudinal study examined the relationship between self-care practices on graft function among 88 new kidney transplant recipients in Chicago, IL and Albany, NY between 2005 and 2008. Participants were interviewed, completed surveys, and medical charts were abstracted. Physical activity, fluid intake, and smoking history at baseline were compared with changes in estimated glomerular filtration rate (eGFR) (every 6 months up to 1 year) using bivariate and multivariate regression analysis, while controlling for sociodemographic and clinical transplant variables. Multivariate analyses revealed that greater physical activity was significantly (P &lt; 0.05) associated with improvement in GFR at 6 months; while greater physical activity, absence of smoking history, and nonwhite ethnicity were significant (P &lt; 0.05) predictors of improvement in GFR at 12 months. These results suggest that increasing physical activity levels in kidney recipients may be an effective behavioral measure to help ensure graft functioning. Our findings suggest the need for a randomized controlled trial of exercise, fluid intake, and smoking history on GFR beyond 12 months.","container-title":"Transplant International: Official Journal of the European Society for Organ Transplantation","DOI":"10.1111/j.1432-2277.2009.00917.x","ISSN":"1432-2277","issue":"10","journalAbbreviation":"Transpl Int","language":"eng","note":"PMID: 19619168\nPMCID: PMC2925536","page":"990-998","source":"PubMed","title":"Longitudinal analysis of physical activity, fluid intake, and graft function among kidney transplant recipients","volume":"22","author":[{"family":"Gordon","given":"Elisa J."},{"family":"Prohaska","given":"Thomas R."},{"family":"Gallant","given":"Mary P."},{"family":"Sehgal","given":"Ashwini R."},{"family":"Strogatz","given":"David"},{"family":"Yucel","given":"Recai"},{"family":"Conti","given":"David"},{"family":"Siminoff","given":"Laura A."}],"issued":{"date-parts":[["2009",10]]}}},{"id":19195,"uris":["http://zotero.org/users/3444308/items/ZCEWZAY6"],"itemData":{"id":19195,"type":"article-journal","abstract":"BACKGROUND: Insufficient physical activity (PA) may increase the risk of all-cause mortality and cardiovascular disease (CVD) morbidity and mortality among kidney transplant recipients (KTRs), but limited research is available. We examine the relationship between PA and the development of CVD events, CVD death and all-cause mortality among KTRs.\nMETHODS: A total of 3050 KTRs enrolled in an international homocysteine-lowering randomized controlled trial were examined (38% female; mean age 51.8</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9.4</w:instrText>
      </w:r>
      <w:r w:rsidR="002D20B5">
        <w:rPr>
          <w:rFonts w:ascii="Arial" w:hAnsi="Arial" w:cs="Arial"/>
        </w:rPr>
        <w:instrText> </w:instrText>
      </w:r>
      <w:r w:rsidR="002D20B5">
        <w:instrText>years; 75% white; 20% with prevalent CVD). PA was measured at baseline using a modified Yale Physical Activity Survey, divided into tertiles (T1, T2 and T3) from lowest to highest PA. Kaplan-Meier survival curves were used to graph the risk of events; Cox proportional hazards regression models examined the association of baseline PA levels with CVD events (e.g. stroke, myocardial infarction), CVD mortality and all-cause mortality over time.\nRESULTS: Participants were followed up to 2500</w:instrText>
      </w:r>
      <w:r w:rsidR="002D20B5">
        <w:rPr>
          <w:rFonts w:ascii="Arial" w:hAnsi="Arial" w:cs="Arial"/>
        </w:rPr>
        <w:instrText> </w:instrText>
      </w:r>
      <w:r w:rsidR="002D20B5">
        <w:instrText>days (mean 3.7</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1.6</w:instrText>
      </w:r>
      <w:r w:rsidR="002D20B5">
        <w:rPr>
          <w:rFonts w:ascii="Arial" w:hAnsi="Arial" w:cs="Arial"/>
        </w:rPr>
        <w:instrText> </w:instrText>
      </w:r>
      <w:r w:rsidR="002D20B5">
        <w:instrText xml:space="preserve">years). The cohort experienced 426 CVD events and 357 deaths. Fully adjusted models revealed that, compared to the lowest tertile of PA, the highest tertile experienced a significantly lower risk of CVD events {hazard ratio [HR] 0.76 [95% confidence interval (CI) 0.59-0.98]}, CVD mortality [HR 0.58 (95% CI 0.35-0.96)] and all-cause mortality [HR 0.76 (95% CI 0.59-0.98)]. Results were similar in unadjusted models.\nCONCLUSIONS: PA was associated with a reduced risk of CVD events and all-cause mortality among KTRs. These observed associations in a large, international sample, even when controlling for traditional CVD risk factors, indicate the potential importance of PA in reducing CVD and death among KTRs.","container-title":"Nephrology, Dialysis, Transplantation: Official Publication of the European Dialysis and Transplant Association - European Renal Association","DOI":"10.1093/ndt/gfaa038","ISSN":"1460-2385","issue":"8","journalAbbreviation":"Nephrol Dial Transplant","language":"eng","note":"PMID: 32437569\nPMCID: PMC7828582","page":"1436-1443","source":"PubMed","title":"Physical activity and risk of cardiovascular events and all-cause mortality among kidney transplant recipients","volume":"35","author":[{"family":"Kang","given":"Augustine W."},{"family":"Bostom","given":"Andrew G."},{"family":"Kim","given":"Hongseok"},{"family":"Eaton","given":"Charles B."},{"family":"Gohh","given":"Reginald"},{"family":"Kusek","given":"John W."},{"family":"Pfeffer","given":"Marc A."},{"family":"Risica","given":"Patricia M."},{"family":"Garber","given":"Carol E."}],"issued":{"date-parts":[["2020",8,1]]}}},{"id":19204,"uris":["http://zotero.org/users/3444308/items/3A63AVZU"],"itemData":{"id":19204,"type":"article-journal","abstract":"Regular physical activity is associated with an increased quality of life and reduced morbidity and mortality in the general population and in patients with chronic kidney disease (CKD). Physical activity, cardiorespiratory fitness, and muscle mass decrease even in the early stages of CKD, and continue to decrease with disease progression; notably, full recovery is generally not achieved with transplantation. The combined effects of uraemia and physical inactivity drive the loss of muscle mass. Regular physical activity benefits cardiometabolic, neuromuscular and cognitive function across all stages of CKD, and therefore provides an approach to address the multimorbidity of the CKD population. Interestingly, maintenance of muscle health is associated with renoprotective effects. Despite evidence of its benefits, physical activity and exercise management are not routinely addressed in the care of these patients. Although studies defining the optimum frequency, duration and intensity of physical activity are lacking, evidence from related fields can guide practical approaches to the care of patients with renal disease. Optimization of metabolic and nutritional status alongside promotion of physical activity is recommended. Behavioural approaches are now recognized as crucial in helping patients to adopt lifestyle changes and might prove valuable in integrating physical activity into renal care.","container-title":"Nature Reviews. Nephrology","DOI":"10.1038/nrneph.2016.187","ISSN":"1759-507X","issue":"3","journalAbbreviation":"Nat Rev Nephrol","language":"eng","note":"PMID: 28138130","page":"152-168","source":"PubMed","title":"Physical inactivity: a risk factor and target for intervention in renal care","title-short":"Physical inactivity","volume":"13","author":[{"family":"Zelle","given":"Dorien M."},{"family":"Klaassen","given":"Gerald"},{"family":"Adrichem","given":"Edwin","non-dropping-particle":"van"},{"family":"Bakker","given":"Stephan J. L."},{"family":"Corpeleijn","given":"Eva"},{"family":"Navis","given":"Gerjan"}],"issued":{"date-parts":[["2017",3]]}}},{"id":19201,"uris":["http://zotero.org/users/3444308/items/B8YSFRQF"],"itemData":{"id":19201,"type":"article-journal","abstract":"BACKGROUND AND OBJECTIVES: Low physical activity (PA) is a risk factor for mortality in the general population. This is largely unexplored in renal transplant recipients (RTRs). We studied whether PA is associated with cardiovascular and all-cause mortality in a prospective cohort of RTR.\nDESIGN, SETTING, PARTICIPANTS, &amp; MEASUREMENTS: Between 2001 and 2003, 540 RTRs were studied (age, 51 ± 12 years; 54% male). PA was assessed using validated questionnaires (Tecumseh Occupational Activity Questionnaire and the Minnesota Leisure Time Physical Activity Questionnaire). Cardiovascular and all-cause mortality were recorded until August 2007.\nRESULTS: Independent of age, PA was inversely associated with metabolic syndrome, history of cardiovascular disease, fasting insulin, and triglyceride concentration, and positively associated with kidney function and 24-hour urinary creatinine excretion (i.e., muscle mass). During follow-up for 5.3 years (range, 4.7 to 5.7 years), 81 RTRs died, with 37 cardiovascular deaths. Cardiovascular mortality was 11.7, 7.2, and 1.7%, respectively, according to gender-stratified tertiles of PA (P=0.001). All-cause mortality was 24.4, 15.0, and 5.6% according to these tertiles (P&lt;0.001). In Cox regression analyses, adjustment for potential confounders including history of cardiovascular disease, muscle mass, and traditional risk factors for cardiovascular disease did not materially change these associations.\nCONCLUSIONS: Low PA is strongly associated with increased risk for cardiovascular and all-cause mortality in RTRs. Intervention studies are necessary to investigate whether PA improves long-term survival after renal transplantation.","container-title":"Clinical journal of the American Society of Nephrology: CJASN","DOI":"10.2215/CJN.03340410","ISSN":"1555-905X","issue":"4","journalAbbreviation":"Clin J Am Soc Nephrol","language":"eng","note":"PMID: 21372213\nPMCID: PMC3069385","page":"898-905","source":"PubMed","title":"Low physical activity and risk of cardiovascular and all-cause mortality in renal transplant recipients","volume":"6","author":[{"family":"Zelle","given":"Dorien M."},{"family":"Corpeleijn","given":"Eva"},{"family":"Stolk","given":"Ronald P."},{"family":"Greef","given":"Mathieu H. G.","non-dropping-particle":"de"},{"family":"Gans","given":"Rijk O. B."},{"family":"Heide","given":"Jaap J. Homan","non-dropping-particle":"van der"},{"family":"Navis","given":"Gerjan"},{"family":"Bakker","given":"Stephan J. L."}],"issued":{"date-parts":[["2011",4]]}}}],"schema":"https://github.com/citation-style-language/schema/raw/master/csl-citation.json"} </w:instrText>
      </w:r>
      <w:r>
        <w:fldChar w:fldCharType="separate"/>
      </w:r>
      <w:r w:rsidR="002D20B5" w:rsidRPr="002D20B5">
        <w:rPr>
          <w:rFonts w:ascii="Calibri" w:hAnsi="Calibri" w:cs="Calibri"/>
          <w:vertAlign w:val="superscript"/>
        </w:rPr>
        <w:t>248,251,253,256</w:t>
      </w:r>
      <w:r>
        <w:fldChar w:fldCharType="end"/>
      </w:r>
      <w:r w:rsidRPr="005F2801">
        <w:t>.</w:t>
      </w:r>
    </w:p>
    <w:p w14:paraId="78A7E949" w14:textId="2EC76C09" w:rsidR="00ED6CD4" w:rsidRPr="005F2801" w:rsidRDefault="00ED6CD4" w:rsidP="00FB039F">
      <w:r w:rsidRPr="005F2801">
        <w:t xml:space="preserve">Previous physical activity guidance in KTRs has been non-descript and limited in terms of practical and useful implementable clinical recommendations, including the 2009 ‘KDIGO Clinical Practice Guideline for the Care of Kidney Transplant Recipients’ </w:t>
      </w:r>
      <w:r>
        <w:fldChar w:fldCharType="begin"/>
      </w:r>
      <w:r w:rsidR="006528EA">
        <w:instrText xml:space="preserve"> ADDIN ZOTERO_ITEM CSL_CITATION {"citationID":"FL6x5ZC9","properties":{"formattedCitation":"\\super 117\\nosupersub{}","plainCitation":"117","noteIndex":0},"citationItems":[{"id":19088,"uris":["http://zotero.org/users/3444308/items/86ET5ZDV","http://zotero.org/users/3444308/items/FWU5Z7XK"],"itemData":{"id":19088,"type":"article-journal","abstract":"The 2009 Kidney Disease: Improving Global Outcomes (KDIGO) clinical practice guideline on the monitoring, management, and treatment of kidney transplant recipients is intended to assist the practitioner caring for adults and children after kidney transplantation. The guideline development process followed an evidence-based approach, and management recommendations are based on systematic reviews of relevant treatment trials. Critical appraisal of the quality of the evidence and the strength of recommendations followed the Grades of Recommendation Assessment, Development, and Evaluation (GRADE) approach. The guideline makes recommendations for immunosuppression and graft monitoring, as well as prevention and treatment of infection, cardiovascular disease, malignancy, and other complications that are common in kidney transplant recipients, including hematological and bone disorders. Limitations of the evidence, especially the lack of definitive clinical outcome trials, are discussed and suggestions are provided for future research. This summary includes a brief description of methodology and the complete guideline recommendations but does not include the rationale and references for each recommendation, which are published elsewhere.","container-title":"Kidney International","DOI":"10.1038/ki.2009.377","ISSN":"1523-1755","issue":"4","journalAbbreviation":"Kidney Int","language":"eng","note":"PMID: 19847156","page":"299-311","source":"PubMed","title":"KDIGO clinical practice guideline for the care of kidney transplant recipients: a summary","title-short":"KDIGO clinical practice guideline for the care of kidney transplant recipients","volume":"77","author":[{"family":"Kasiske","given":"Bertram L."},{"family":"Zeier","given":"Martin G."},{"family":"Chapman","given":"Jeremy R."},{"family":"Craig","given":"Jonathan C."},{"family":"Ekberg","given":"Henrik"},{"family":"Garvey","given":"Catherine A."},{"family":"Green","given":"Michael D."},{"family":"Jha","given":"Vivekanand"},{"family":"Josephson","given":"Michelle A."},{"family":"Kiberd","given":"Bryce A."},{"family":"Kreis","given":"Henri A."},{"family":"McDonald","given":"Ruth A."},{"family":"Newmann","given":"John M."},{"family":"Obrador","given":"Gregorio T."},{"family":"Vincenti","given":"Flavio G."},{"family":"Cheung","given":"Michael"},{"family":"Earley","given":"Amy"},{"family":"Raman","given":"Gowri"},{"family":"Abariga","given":"Samuel"},{"family":"Wagner","given":"Martin"},{"family":"Balk","given":"Ethan M."},{"literal":"Kidney Disease: Improving Global Outcomes"}],"issued":{"date-parts":[["2010",2]]}}}],"schema":"https://github.com/citation-style-language/schema/raw/master/csl-citation.json"} </w:instrText>
      </w:r>
      <w:r>
        <w:fldChar w:fldCharType="separate"/>
      </w:r>
      <w:r w:rsidR="002119AF" w:rsidRPr="002119AF">
        <w:rPr>
          <w:rFonts w:ascii="Calibri" w:hAnsi="Calibri" w:cs="Calibri"/>
          <w:vertAlign w:val="superscript"/>
        </w:rPr>
        <w:t>117</w:t>
      </w:r>
      <w:r>
        <w:fldChar w:fldCharType="end"/>
      </w:r>
      <w:r w:rsidRPr="005F2801">
        <w:t xml:space="preserve"> and the previous iteration of this UKKA guideline ‘Post-operative care in kidney transplant recipients’ from 2017</w:t>
      </w:r>
      <w:r>
        <w:t xml:space="preserve"> </w:t>
      </w:r>
      <w:r>
        <w:fldChar w:fldCharType="begin"/>
      </w:r>
      <w:r w:rsidR="002D20B5">
        <w:instrText xml:space="preserve"> ADDIN ZOTERO_ITEM CSL_CITATION {"citationID":"wVVTIcUE","properties":{"formattedCitation":"\\super 258\\nosupersub{}","plainCitation":"258","noteIndex":0},"citationItems":[{"id":19047,"uris":["http://zotero.org/users/3444308/items/KDIFZ8MM"],"itemData":{"id":19047,"type":"article-journal","abstract":"These guidelines cover the care of patients from the period following kidney transplantation until the transplant is no longer working or the patient dies. During the early phase prevention of acute rejection and infection are the priority. After around 3–6 months, the priorities change to preservation of transplant function and avoiding the long-term complications of immunosuppressive medication (the medication used to suppress the immune system to prevent rejection). The topics discussed include organization of outpatient follow up, immunosuppressive medication, treatment of acute and chronic rejection, and prevention of complications. The potential complications discussed include heart disease, infection, cancer, bone disease and blood disorders. There is also a section on contraception and reproductive issues. Immediately after the introduction there is a statement of all the recommendations. These recommendations are written in a language that we think should be understandable by many patients, relatives, carers and other interested people. Consequently we have not reworded or restated them in this lay summary. They are graded 1 or 2 depending on the strength of the recommendation by the authors, and AD depending on the quality of the evidence that the recommendation is based on.","container-title":"BMC Nephrology","DOI":"10.1186/s12882-017-0553-2","ISSN":"1471-2369","issue":"1","journalAbbreviation":"BMC Nephrol","language":"en","license":"2017 The Author(s).","note":"publisher: BioMed Central","page":"1-41","source":"bmcnephrol.biomedcentral.com","title":"Renal association clinical practice guideline in post-operative care in the kidney transplant recipient","volume":"18","author":[{"family":"Baker","given":"Richard J."},{"family":"Mark","given":"Patrick B."},{"family":"Patel","given":"Rajan K."},{"family":"Stevens","given":"Kate K."},{"family":"Palmer","given":"Nicholas"}],"issued":{"date-parts":[["2017",12]]}}}],"schema":"https://github.com/citation-style-language/schema/raw/master/csl-citation.json"} </w:instrText>
      </w:r>
      <w:r>
        <w:fldChar w:fldCharType="separate"/>
      </w:r>
      <w:r w:rsidR="002D20B5" w:rsidRPr="002D20B5">
        <w:rPr>
          <w:rFonts w:ascii="Calibri" w:hAnsi="Calibri" w:cs="Calibri"/>
          <w:vertAlign w:val="superscript"/>
        </w:rPr>
        <w:t>258</w:t>
      </w:r>
      <w:r>
        <w:fldChar w:fldCharType="end"/>
      </w:r>
      <w:r w:rsidRPr="005F2801">
        <w:t>. British and Australian Expert and Position Statements on exercise in CKD endorse the KDIGO recommendations but do not provide specific guidance for KTRs</w:t>
      </w:r>
      <w:r>
        <w:t xml:space="preserve"> </w:t>
      </w:r>
      <w:r>
        <w:fldChar w:fldCharType="begin"/>
      </w:r>
      <w:r w:rsidR="002D20B5">
        <w:instrText xml:space="preserve"> ADDIN ZOTERO_ITEM CSL_CITATION {"citationID":"wDRwjAI9","properties":{"formattedCitation":"\\super 259,260\\nosupersub{}","plainCitation":"259,260","noteIndex":0},"citationItems":[{"id":19193,"uris":["http://zotero.org/users/3444308/items/GMJJTDRG"],"itemData":{"id":19193,"type":"article-journal","abstract":"Chronic kidney disease (CKD) is becoming a serious health problem throughout the world and is one of the most potent known risk factors for cardiovascular disease, which is the leading cause of morbidity and mortality in this patient population. Physical inactivity has emerged as a significant and independent risk factor for accelerated deterioration of kidney function, physical function, cardiovascular function and quality of life in people in all stages of CKD. CKD specific research evidence, combined with the strong evidence on the multiple health benefits of regular and adequate amounts of PA in other cardiometabolic conditions, has resulted in physical inactivity being identified by national and international CKD clinical practice guidelines as one of the multiple risk factors that require simultaneous and early intervention for optimum prevention/management of CKD. Despite this realisation, physical inactivity is not systematically addressed by renal care teams. The purpose of this expert statement is therefore to inform exercise and renal care specialists about the clinical value of exercise therapy in CKD, as well as to provide some practical recommendations on how to more effectively translate the existing evidence into effective clinical practice.","container-title":"Journal of Sports Sciences","DOI":"10.1080/02640414.2015.1017733","ISSN":"1466-447X","issue":"18","journalAbbreviation":"J Sports Sci","language":"eng","note":"PMID: 25805155","page":"1902-1907","source":"PubMed","title":"The BASES expert statement on exercise therapy for people with chronic kidney disease","volume":"33","author":[{"family":"Koufaki","given":"Pelagia"},{"family":"Greenwood","given":"Sharlene"},{"family":"Painter","given":"Patricia"},{"family":"Mercer","given":"Thomas"}],"issued":{"date-parts":[["2015"]]}}},{"id":19194,"uris":["http://zotero.org/users/3444308/items/4QVI7DQ6"],"itemData":{"id":19194,"type":"article-journal","abstract":"OBJECTIVES: Chronic kidney disease (CKD) is prevalent, affecting 13% of adult Australians and poses increased risk for cardiovascular morbidity and mortality. This position article provides evidence-based guidelines on the role of exercise training for CKD patients and provides recommendations for prescribing and delivering exercise training.\nDESIGN: Position stand.\nMETHODS: Synthesis of published work within the field of exercise training and chronic kidney disease.\nRESULTS: Exercise training likely to provide benefits to CKD patients, including improvements in cardio-respiratory fitness, quality of life, sympatho-adrenal activity, muscle strength and increased energy intake and possible reduction in inflammatory biomarkers. Existing studies generally report small sample sizes, brief training periods and relatively high attrition rates. Exercise training appears to be safe for CKD patients with no deaths directly related to exercise training in over 30,000 patient-hours, although strict medical exclusion criteria in previous studies resulted in 25% of patients being excluded potentially impacting the generalisability of the findings.\nCONCLUSIONS: Aerobic exercise at an intensity of &gt;60% of maximum capacity is recommended to improve cardio-respiratory fitness. Few data are available on resistance training and it is unclear whether this form of training retards catabolic/inflammatory processes typical of CKD. However, it should be considered important due to its proven beneficial effects on bone density and muscle mass. Due to the high prevalence and incidence of co-morbidities in CKD patients, exercise training programs should be prescribed and delivered by individuals with appropriate qualifications and experience to recognise and accommodate co-morbidities and associated complications.","container-title":"Journal of Science and Medicine in Sport","DOI":"10.1016/j.jsams.2013.01.005","ISSN":"1878-1861","issue":"5","journalAbbreviation":"J Sci Med Sport","language":"eng","note":"PMID: 23434075","page":"406-411","source":"PubMed","title":"Exercise &amp; Sports Science Australia (ESSA) position statement on exercise and chronic kidney disease","volume":"16","author":[{"family":"Smart","given":"Neil A."},{"family":"Williams","given":"Andrew D."},{"family":"Levinger","given":"Itamar"},{"family":"Selig","given":"Steve"},{"family":"Howden","given":"Erin"},{"family":"Coombes","given":"Jeff S."},{"family":"Fassett","given":"Robert G."}],"issued":{"date-parts":[["2013",9]]}}}],"schema":"https://github.com/citation-style-language/schema/raw/master/csl-citation.json"} </w:instrText>
      </w:r>
      <w:r>
        <w:fldChar w:fldCharType="separate"/>
      </w:r>
      <w:r w:rsidR="002D20B5" w:rsidRPr="002D20B5">
        <w:rPr>
          <w:rFonts w:ascii="Calibri" w:hAnsi="Calibri" w:cs="Calibri"/>
          <w:vertAlign w:val="superscript"/>
        </w:rPr>
        <w:t>259,260</w:t>
      </w:r>
      <w:r>
        <w:fldChar w:fldCharType="end"/>
      </w:r>
      <w:r w:rsidRPr="005F2801">
        <w:t>. Likewise, the current NICE guideline for managing kidney disease in adults encourages exercise, but does not provide any specific guidance beyond this, nor does it distinguish between KTRs and other stages of CKD. Similarly, the Japanese Society of Renal Rehabilitation Clinical Practice Guideline proposes the implementation of physical activity (and exercise) therapy for KTRs</w:t>
      </w:r>
      <w:r>
        <w:t xml:space="preserve"> </w:t>
      </w:r>
      <w:r>
        <w:fldChar w:fldCharType="begin"/>
      </w:r>
      <w:r w:rsidR="002D20B5">
        <w:instrText xml:space="preserve"> ADDIN ZOTERO_ITEM CSL_CITATION {"citationID":"RDuJr54o","properties":{"formattedCitation":"\\super 261\\nosupersub{}","plainCitation":"261","noteIndex":0},"citationItems":[{"id":19192,"uris":["http://zotero.org/users/3444308/items/GNDM24BA"],"itemData":{"id":19192,"type":"article-journal","container-title":"Renal Replacement Therapy","DOI":"10.1186/s41100-019-0209-8","ISSN":"2059-1381","issue":"1","journalAbbreviation":"Ren Replace Ther","language":"en","page":"28","source":"DOI.org (Crossref)","title":"Clinical practice guideline for renal rehabilitation: systematic reviews and recommendations of exercise therapies in patients with kidney diseases","title-short":"Clinical practice guideline for renal rehabilitation","volume":"5","author":[{"family":"Yamagata","given":"Kunihiro"},{"family":"Hoshino","given":"Junichi"},{"family":"Sugiyama","given":"Hitoshi"},{"family":"Hanafusa","given":"Norio"},{"family":"Shibagaki","given":"Yugo"},{"family":"Komatsu","given":"Yasuhiro"},{"family":"Konta","given":"Tsuneo"},{"family":"Fujii","given":"Naohiko"},{"family":"Kanda","given":"Eiichiro"},{"family":"Sofue","given":"Tadashi"},{"family":"Ishizuka","given":"Kiyonobu"},{"family":"Kitagawa","given":"Masashi"},{"family":"Kono","given":"Keiji"},{"family":"Hinamoto","given":"Norikazu"},{"family":"Miyai","given":"Takayuki"},{"family":"Koike","given":"Kiyomi"},{"family":"Toda","given":"Susumu"},{"family":"Hasegawa","given":"Jumpei"},{"family":"Yamanouchi","given":"Masayuki"},{"family":"Yoshimura","given":"Ryuichi"},{"family":"Ishii","given":"Ryota"},{"family":"Goto","given":"Shunsuke"},{"family":"Kawarazaki","given":"Hiroo"},{"family":"Takase","given":"Kentaro"},{"family":"Taki","given":"Fumika"},{"family":"Matsumura","given":"Mimiko"},{"family":"Raita","given":"Yoshihiko"},{"family":"Sakurai","given":"Satoko"},{"family":"Shimizu","given":"Tatsuya"},{"family":"Yamanoto","given":"Suguru"},{"family":"Kawaguchi","given":"Takehiko"},{"family":"Oguchi","given":"Hideyo"},{"family":"Tsujita","given":"Makoto"},{"family":"Yazawa","given":"Masahiko"},{"family":"Uchida","given":"Akiko"},{"family":"Ando","given":"Yasuhiro"},{"family":"Kaneko","given":"Satoru"},{"family":"Matsunaga","given":"Atsuhiko"},{"family":"Harada","given":"Taku"},{"family":"Ito","given":"Osamu"},{"family":"Kohzuki","given":"Masahiro"}],"issued":{"date-parts":[["2019",12]]}}}],"schema":"https://github.com/citation-style-language/schema/raw/master/csl-citation.json"} </w:instrText>
      </w:r>
      <w:r>
        <w:fldChar w:fldCharType="separate"/>
      </w:r>
      <w:r w:rsidR="002D20B5" w:rsidRPr="002D20B5">
        <w:rPr>
          <w:rFonts w:ascii="Calibri" w:hAnsi="Calibri" w:cs="Calibri"/>
          <w:vertAlign w:val="superscript"/>
        </w:rPr>
        <w:t>261</w:t>
      </w:r>
      <w:r>
        <w:fldChar w:fldCharType="end"/>
      </w:r>
      <w:r w:rsidRPr="005F2801">
        <w:t xml:space="preserve">, yet stops short of addressing the type, intensity or duration. </w:t>
      </w:r>
    </w:p>
    <w:p w14:paraId="1323EE58" w14:textId="79821192" w:rsidR="00FB039F" w:rsidRDefault="00ED6CD4" w:rsidP="00FB039F">
      <w:r w:rsidRPr="005F2801">
        <w:t>The most comprehensive clinical guidelines for physical activity, exercise, and lifestyle for people living with KTRs were published in 2021 by the UKKA</w:t>
      </w:r>
      <w:r>
        <w:t xml:space="preserve"> </w:t>
      </w:r>
      <w:r>
        <w:fldChar w:fldCharType="begin"/>
      </w:r>
      <w:r w:rsidR="002D20B5">
        <w:instrText xml:space="preserve"> ADDIN ZOTERO_ITEM CSL_CITATION {"citationID":"ni2Rd5C9","properties":{"formattedCitation":"\\super 262\\nosupersub{}","plainCitation":"262","noteIndex":0},"citationItems":[{"id":19191,"uris":["http://zotero.org/users/3444308/items/UXEU5UF6"],"itemData":{"id":19191,"type":"article-journal","container-title":"BMC nephrology","DOI":"10.1186/s12882-021-02618-1","ISSN":"1471-2369","issue":"1","journalAbbreviation":"BMC Nephrol","language":"eng","note":"PMID: 35193515\nPMCID: PMC8862368","page":"75","source":"PubMed","title":"Clinical practice guideline exercise and lifestyle in chronic kidney disease","volume":"23","author":[{"family":"Baker","given":"Luke A."},{"family":"March","given":"Daniel S."},{"family":"Wilkinson","given":"Thomas J."},{"family":"Billany","given":"Roseanne E."},{"family":"Bishop","given":"Nicolette C."},{"family":"Castle","given":"Ellen M."},{"family":"Chilcot","given":"Joseph"},{"family":"Davies","given":"Mark D."},{"family":"Graham-Brown","given":"Matthew P. M."},{"family":"Greenwood","given":"Sharlene A."},{"family":"Junglee","given":"Naushad A."},{"family":"Kanavaki","given":"Archontissa M."},{"family":"Lightfoot","given":"Courtney J."},{"family":"Macdonald","given":"Jamie H."},{"family":"Rossetti","given":"Gabriella M. K."},{"family":"Smith","given":"Alice C."},{"family":"Burton","given":"James O."}],"issued":{"date-parts":[["2022",2,22]]}}}],"schema":"https://github.com/citation-style-language/schema/raw/master/csl-citation.json"} </w:instrText>
      </w:r>
      <w:r>
        <w:fldChar w:fldCharType="separate"/>
      </w:r>
      <w:r w:rsidR="002D20B5" w:rsidRPr="002D20B5">
        <w:rPr>
          <w:rFonts w:ascii="Calibri" w:hAnsi="Calibri" w:cs="Calibri"/>
          <w:vertAlign w:val="superscript"/>
        </w:rPr>
        <w:t>262</w:t>
      </w:r>
      <w:r>
        <w:fldChar w:fldCharType="end"/>
      </w:r>
      <w:r w:rsidRPr="005F2801">
        <w:t>. This document contains comprehensive recommendations, strategies, and guidance for implementing and supporting physical activity and lifestyle behaviour in KTRs. We encourage the reader to review these 2021 guidelines for recommendations across the CKD pathway.</w:t>
      </w:r>
    </w:p>
    <w:p w14:paraId="6B6A6BBB" w14:textId="77777777" w:rsidR="00AF5FCA" w:rsidRDefault="00AF5FCA" w:rsidP="00FB039F"/>
    <w:p w14:paraId="040476DA" w14:textId="7CA9A4CB" w:rsidR="00ED6CD4" w:rsidRPr="00FB039F" w:rsidRDefault="00FB039F" w:rsidP="00FB039F">
      <w:pPr>
        <w:pStyle w:val="GuidelineSubheadings"/>
        <w:rPr>
          <w:rFonts w:cstheme="minorHAnsi"/>
          <w:color w:val="000000" w:themeColor="text1"/>
          <w:sz w:val="22"/>
          <w:szCs w:val="22"/>
        </w:rPr>
      </w:pPr>
      <w:r w:rsidRPr="00FB039F">
        <w:lastRenderedPageBreak/>
        <w:t>Immediate post-transplant recommendations</w:t>
      </w:r>
    </w:p>
    <w:p w14:paraId="33EC5BE1" w14:textId="1CEF5653" w:rsidR="00ED6CD4" w:rsidRPr="00FB039F" w:rsidRDefault="00ED6CD4" w:rsidP="00FB039F">
      <w:pPr>
        <w:rPr>
          <w:rStyle w:val="normaltextrun"/>
        </w:rPr>
      </w:pPr>
      <w:r w:rsidRPr="005F2801">
        <w:t>In exercise-based RCT studies</w:t>
      </w:r>
      <w:r>
        <w:t xml:space="preserve"> </w:t>
      </w:r>
      <w:r>
        <w:fldChar w:fldCharType="begin"/>
      </w:r>
      <w:r w:rsidR="002D20B5">
        <w:instrText xml:space="preserve"> ADDIN ZOTERO_ITEM CSL_CITATION {"citationID":"nFOYejJY","properties":{"formattedCitation":"\\super 263\\uc0\\u8211{}265\\nosupersub{}","plainCitation":"263–265","noteIndex":0},"citationItems":[{"id":19188,"uris":["http://zotero.org/users/3444308/items/UW29WZ5I"],"itemData":{"id":19188,"type":"article-journal","abstract":"Regular physical activity is usually associated with significant health benefits, but therapeutic exercise is seldom routine in renal transplant recipients. We report a randomized clinical trial of exercise training after renal transplantation. Sixty-nine patients were randomly recruited on the first or second day after kidney transplantation into two groups: exercise intervention (PT) and standard care (CT) as controls. The exercise training program consisted of tailored exercises to be performed under a physiotherapist's supervision for 15 to 30 minutes every second hospital day. At that time, biochemical markers of graft function were assessed including specific tests for atherosclerosis. Repeated measures analysis of variance was performed to determine differences between the two groups. We found an inverse correlation between total homocysteine as well as interleukin-18 (IL:18) levels and muscle strength of the upper limbs (r = -.78, P &lt; .0001). There was a positive correlation between muscle strength and improved graft function in the PT group versus CT groups (r = .05; P &lt; .05). Hyperhomocysteinemia and high IL-18 expression in renal allograft recipients may be independent markers of early atherosclerosis development.","container-title":"Transplantation Proceedings","DOI":"10.1016/j.transproceed.2005.12.077","ISSN":"0041-1345","issue":"1","journalAbbreviation":"Transplant Proc","language":"eng","note":"PMID: 16504691","page":"157-160","source":"PubMed","title":"Physical rehabilitation and risk of atherosclerosis after successful kidney transplantation","volume":"38","author":[{"family":"Juskowa","given":"J."},{"family":"Lewandowska","given":"M."},{"family":"Bartłomiejczyk","given":"I."},{"family":"Foroncewicz","given":"B."},{"family":"Korabiewska","given":"I."},{"family":"Niewczas","given":"M."},{"family":"Sierdziński","given":"J."}],"issued":{"date-parts":[["2006"]]}}},{"id":19187,"uris":["http://zotero.org/users/3444308/items/NWIPW8DA"],"itemData":{"id":19187,"type":"article-journal","abstract":"INTRODUCTION: Cardiorespiratory and musculoskeletal dysfunctions are common in the postoperative period of kidney transplant patients and are often accompanied by low exercise tolerance.\nOBJECTIVE: The purpose of this study was to evaluate the impact of an early physiotherapy program during hospital stay on functional capacity and peripheral and respiratory muscle strength after kidney transplant.\nMETHODS: An open, randomized clinical trial was conducted in patients undergoing living donor kidney transplant. Sixty-three patients were included (intervention group-IG: n = 30; control group-CG: n = 33). IG received an early physiotherapy program from first postoperative day until hospital discharge and CG received standard care. The variables of interest were measured preoperatively and at discharge except for respiratory muscle strength and vital capacity (VC), which were also measured on the first postoperative day. Functional capacity was evaluated through six-minute walk test (6MWT); peripheral and respiratory muscle strength using a dynamometer and manovacuometer, respectively; and VC through spirometer.\nRESULTS: After surgery, there was a reduction in functional walking capacity and peripheral muscle strength without different between groups (p &gt; 0.05); however, respiratory muscle strength was significantly higher in IG (p &lt; 0.001) at hospital discharge, when comparing with CG.\nCONCLUSIONS: An early physiotherapy program during hospitalization for patients undergoing living donor kidney transplant caused a lower reduction in respiratory muscle strength and without additional benefits in the functional capacity, when compared to a control group, although the clinical relevance of this finding is uncertain.","container-title":"Jornal Brasileiro De Nefrologia","DOI":"10.5935/0101-2800.20170075","ISSN":"2175-8239","issue":"4","journalAbbreviation":"J Bras Nefrol","language":"eng, por","note":"PMID: 29319769","page":"424-432","source":"PubMed","title":"Impact of an early physiotherapy program after kidney transplant during hospital stay: a randomized controlled trial","title-short":"Impact of an early physiotherapy program after kidney transplant during hospital stay","volume":"39","author":[{"family":"Onofre","given":"Tatiana"},{"family":"Fiore Junior","given":"Julio Flavio"},{"family":"Amorim","given":"César Ferreira"},{"family":"Minamoto","given":"Suzana Tanni"},{"family":"Paisani","given":"Denise de Moraes"},{"family":"Chiavegato","given":"Luciana Dias"}],"issued":{"date-parts":[["2017"]]}}},{"id":19186,"uris":["http://zotero.org/users/3444308/items/UEBQZ9PN"],"itemData":{"id":19186,"type":"article-journal","abstract":"BACKGROUND: Kidney transplant has become the preferred therapy for end-stage renal disease. However, kidney transplant recipients (KTRs) still face several challenges, such as physical inactivity. The purpose of this study was to explore the effects of a nurse-led physical exercise program in Chinese KTRs.\nMETHODS: A total of 106 participants were enrolled from the Third Xiangya Hospital of Central South University between July 2021 and June 2022 and randomly assigned to the control or intervention groups. Participants in the control group were provided with routine nursing care and participants in the intervention group received a nurse-led rigorous physical exercise program that was divided into two stages: the pre-discharge stage and the post-discharge stage. The pre-discharge stage included the non-ambulatory and ambulatory stages. The Chinese traditional exercise Baduanjin was incorporated into the physical exercise during the ambulatory stage. The post-discharge stage continued the same exercise as the ambulatory stage at home. After 3 months of intervention, both groups received the same follow-up for 3 months. The primary and secondary outcomes of all participants were collected. The data were analysed with repeated measures analysis of variance to examine the effectiveness of the intervention.\nRESULTS: Compared with the control group, the intervention group had less fatigue and more motivation to be active in primary outcomes. Moreover, patients in the intervention group had a higher phase angle, a longer 6-minute walk distance, more 30-second chair stand times and decreased anxiety and depression levels in secondary outcomes. No adverse events were observed during the intervention. There were no significant differences in all dimensions of the quality-of-life questionnaire between the intervention and the control group.\nCONCLUSION: Chinese KTRs could benefit from the nurse-led physical exercise program post-operatively.\nTRIAL REGISTRATION: ChiCTR2100048755.","container-title":"Clinical Kidney Journal","DOI":"10.1093/ckj/sfad065","ISSN":"2048-8505","issue":"8","journalAbbreviation":"Clin Kidney J","language":"eng","note":"PMID: 37529646\nPMCID: PMC10387397","page":"1316-1329","source":"PubMed","title":"The effects of a physical exercise program in Chinese kidney transplant recipients: a prospective randomised controlled trial","title-short":"The effects of a physical exercise program in Chinese kidney transplant recipients","volume":"16","author":[{"family":"Zhang","given":"Pengpeng"},{"family":"Liu","given":"Shan"},{"family":"Zhu","given":"Xiao"},{"family":"Liu","given":"Huan"},{"family":"Zeng","given":"Le"},{"family":"Yan","given":"Jin"},{"family":"Liu","given":"Jia"}],"issued":{"date-parts":[["2023",8]]}}}],"schema":"https://github.com/citation-style-language/schema/raw/master/csl-citation.json"} </w:instrText>
      </w:r>
      <w:r>
        <w:fldChar w:fldCharType="separate"/>
      </w:r>
      <w:r w:rsidR="002D20B5" w:rsidRPr="002D20B5">
        <w:rPr>
          <w:rFonts w:ascii="Calibri" w:hAnsi="Calibri" w:cs="Calibri"/>
          <w:vertAlign w:val="superscript"/>
        </w:rPr>
        <w:t>263–265</w:t>
      </w:r>
      <w:r>
        <w:fldChar w:fldCharType="end"/>
      </w:r>
      <w:r w:rsidRPr="005F2801">
        <w:t xml:space="preserve"> involving ‘newly’ transplanted patients (i.e., &lt;2-3 days posttransplant), no additional benefits of exercise or intense physiotherapy were reported when compared to usual care. Given the small amount of research into this area, further data is needed to support the use of early intervention post-transplantation</w:t>
      </w:r>
      <w:r>
        <w:t>.</w:t>
      </w:r>
    </w:p>
    <w:p w14:paraId="0DFCD7F1" w14:textId="26D5FC8C" w:rsidR="00ED6CD4" w:rsidRPr="005F2801" w:rsidRDefault="00FB039F" w:rsidP="00FB039F">
      <w:pPr>
        <w:pStyle w:val="GuidelineSubheadings"/>
      </w:pPr>
      <w:r w:rsidRPr="00FB039F">
        <w:t>Safety and contraindication recommendations</w:t>
      </w:r>
    </w:p>
    <w:p w14:paraId="50B77FA8" w14:textId="3C3E37FE" w:rsidR="00ED6CD4" w:rsidRPr="005F2801" w:rsidRDefault="00ED6CD4" w:rsidP="00445691">
      <w:r w:rsidRPr="005F2801">
        <w:t>Sports, or exercise involving significant contact, may be an appropriate means for an individual to engage in physical activity</w:t>
      </w:r>
      <w:r>
        <w:t xml:space="preserve"> </w:t>
      </w:r>
      <w:r>
        <w:fldChar w:fldCharType="begin"/>
      </w:r>
      <w:r w:rsidR="002D20B5">
        <w:instrText xml:space="preserve"> ADDIN ZOTERO_ITEM CSL_CITATION {"citationID":"knp4GDzr","properties":{"formattedCitation":"\\super 266\\nosupersub{}","plainCitation":"266","noteIndex":0},"citationItems":[{"id":19185,"uris":["http://zotero.org/users/3444308/items/TPID42LH"],"itemData":{"id":19185,"type":"article-journal","abstract":"An increasing body of randomized controlled trials suggests the safety of engaging in moderate to vigorous intensity exercise training following solid organ transplantation. Fueled by emerging sport events designed for transplant recipients and the ever-growing body of research highlighting the diverse health benefits of physical activity, transplant recipients are now increasingly participating in strenuous and occasionally competitive physical endeavors that largely surpass those evaluated in controlled research settings. This viewpoint article adopts a cautionary stance to counterbalance the prevalent one-sided optimistic perspective regarding posttransplant physical activity. While discussing methodological limitations, we explore plausible adverse impacts on the cardiovascular, immunological, and musculoskeletal systems. We also examine the physiological consequences of exercising in the heat, at high altitude, and in areas with high air pollution. Risks associated with employing performance-enhancing strategies and the conceivable psychological implications regarding physical activity as a tribute to the 'gift of life' are discussed. With a deliberate focus on the potential adverse outcomes of strenuous posttransplant physical activity, this viewpoint aims to restore a balanced dialogue on our comprehension of both beneficial and potentially detrimental outcomes of physical activity that ultimately underscores the imperative of well-informed decision-making and tailored exercise regimens in the realm of posttransplant care.","container-title":"Transplant International: Official Journal of the European Society for Organ Transplantation","DOI":"10.3389/ti.2024.12448","ISSN":"1432-2277","journalAbbreviation":"Transpl Int","language":"eng","note":"PMID: 38414660\nPMCID: PMC10898592","page":"12448","source":"PubMed","title":"Physical Exercise After Solid Organ Transplantation: A Cautionary Tale","title-short":"Physical Exercise After Solid Organ Transplantation","volume":"37","author":[{"family":"Stylemans","given":"Dimitri"},{"family":"Vandecruys","given":"Marieke"},{"family":"Leunis","given":"Sofie"},{"family":"Engelborghs","given":"Sofie"},{"family":"Gargioli","given":"Davide"},{"family":"Monbaliu","given":"Diethard"},{"family":"Cornelissen","given":"Véronique"},{"family":"Van Craenenbroeck","given":"Amaryllis H."},{"family":"De Smet","given":"Stefan"}],"issued":{"date-parts":[["2024"]]}}}],"schema":"https://github.com/citation-style-language/schema/raw/master/csl-citation.json"} </w:instrText>
      </w:r>
      <w:r>
        <w:fldChar w:fldCharType="separate"/>
      </w:r>
      <w:r w:rsidR="002D20B5" w:rsidRPr="002D20B5">
        <w:rPr>
          <w:rFonts w:ascii="Calibri" w:hAnsi="Calibri" w:cs="Calibri"/>
          <w:vertAlign w:val="superscript"/>
        </w:rPr>
        <w:t>266</w:t>
      </w:r>
      <w:r>
        <w:fldChar w:fldCharType="end"/>
      </w:r>
      <w:r w:rsidRPr="005F2801">
        <w:t>. Whilst the risk of traumatic damage to transplanted kidneys is low</w:t>
      </w:r>
      <w:r>
        <w:t xml:space="preserve"> </w:t>
      </w:r>
      <w:r>
        <w:fldChar w:fldCharType="begin"/>
      </w:r>
      <w:r w:rsidR="002D20B5">
        <w:instrText xml:space="preserve"> ADDIN ZOTERO_ITEM CSL_CITATION {"citationID":"R8fW4wLi","properties":{"formattedCitation":"\\super 267\\nosupersub{}","plainCitation":"267","noteIndex":0},"citationItems":[{"id":19184,"uris":["http://zotero.org/users/3444308/items/M53CPX4Z"],"itemData":{"id":19184,"type":"article-journal","abstract":"A postal questionnaire on sporting activity following renal transplantation revealed that most units encouraged participation in the majority of sports, but counselled against contact sports such as rugby football, boxing, and Asian martial arts.","container-title":"Pediatric Nephrology (Berlin, Germany)","DOI":"10.1007/s004670050484","ISSN":"0931-041X","issue":"6","journalAbbreviation":"Pediatr Nephrol","language":"eng","note":"PMID: 9745865","page":"447-448","source":"PubMed","title":"Sporting activity following kidney transplantation","volume":"12","author":[{"family":"Heffernan","given":"A."},{"family":"Gill","given":"D."}],"issued":{"date-parts":[["1998",8]]}}}],"schema":"https://github.com/citation-style-language/schema/raw/master/csl-citation.json"} </w:instrText>
      </w:r>
      <w:r>
        <w:fldChar w:fldCharType="separate"/>
      </w:r>
      <w:r w:rsidR="002D20B5" w:rsidRPr="002D20B5">
        <w:rPr>
          <w:rFonts w:ascii="Calibri" w:hAnsi="Calibri" w:cs="Calibri"/>
          <w:vertAlign w:val="superscript"/>
        </w:rPr>
        <w:t>267</w:t>
      </w:r>
      <w:r>
        <w:fldChar w:fldCharType="end"/>
      </w:r>
      <w:r w:rsidRPr="005F2801">
        <w:t>, the decision to participate in contact sports (e.g., rugby, martial arts, ice hockey, boxing) is complex. Combat sports are routinely discouraged</w:t>
      </w:r>
      <w:r>
        <w:t>,</w:t>
      </w:r>
      <w:r w:rsidRPr="005F2801">
        <w:t xml:space="preserve"> and the decision to include other activities that could damage or compromise the transplanted organ must be considered carefully</w:t>
      </w:r>
      <w:r>
        <w:t xml:space="preserve"> </w:t>
      </w:r>
      <w:r>
        <w:fldChar w:fldCharType="begin"/>
      </w:r>
      <w:r w:rsidR="002D20B5">
        <w:instrText xml:space="preserve"> ADDIN ZOTERO_ITEM CSL_CITATION {"citationID":"Ee62AqAp","properties":{"formattedCitation":"\\super 268\\nosupersub{}","plainCitation":"268","noteIndex":0},"citationItems":[{"id":19183,"uris":["http://zotero.org/users/3444308/items/C67LVL5F"],"itemData":{"id":19183,"type":"article-journal","abstract":"Over 100</w:instrText>
      </w:r>
      <w:r w:rsidR="002D20B5">
        <w:rPr>
          <w:rFonts w:ascii="Arial" w:hAnsi="Arial" w:cs="Arial"/>
        </w:rPr>
        <w:instrText> </w:instrText>
      </w:r>
      <w:r w:rsidR="002D20B5">
        <w:instrText xml:space="preserve">000 solid organ transplants are performed worldwide each year and this has a significant impact on physical function and quality of life. However, the capacity for exercise in solid-organ recipients is reduced. Regular physical activity improves most of the indices of fitness in these patients but, with few exceptions, they do not reach the values seen in healthy controls. The reason for the 40-60% reduction in maximal exercise capacity is not clear; the disease process, need for life long immunosuppression and sedentary lifestyle all contribute. The interaction between exercise and immunosuppressing medication merits research as does the specifics of the exercise prescription for these patients. This paper reviews important features of this rapidly expanding group of patients and suggests clinical considerations in the application of exercise in this population.","container-title":"British Journal of Sports Medicine","DOI":"10.1136/bjsports-2014-093583","ISSN":"1473-0480","issue":"2","journalAbbreviation":"Br J Sports Med","language":"eng","note":"PMID: 25115810","page":"76-78","source":"PubMed","title":"Solid organ transplant recipients: clinical considerations in the application of exercise","title-short":"Solid organ transplant recipients","volume":"49","author":[{"family":"McKenzie","given":"K.-J. L."},{"family":"McKenzie","given":"D. C."},{"family":"Yoshida","given":"E. M."}],"issued":{"date-parts":[["2015",1]]}}}],"schema":"https://github.com/citation-style-language/schema/raw/master/csl-citation.json"} </w:instrText>
      </w:r>
      <w:r>
        <w:fldChar w:fldCharType="separate"/>
      </w:r>
      <w:r w:rsidR="002D20B5" w:rsidRPr="002D20B5">
        <w:rPr>
          <w:rFonts w:ascii="Calibri" w:hAnsi="Calibri" w:cs="Calibri"/>
          <w:vertAlign w:val="superscript"/>
        </w:rPr>
        <w:t>268</w:t>
      </w:r>
      <w:r>
        <w:fldChar w:fldCharType="end"/>
      </w:r>
      <w:r w:rsidRPr="005F2801">
        <w:t>. The previous guidelines for post-operative care in KTRs</w:t>
      </w:r>
      <w:r>
        <w:t xml:space="preserve"> </w:t>
      </w:r>
      <w:r>
        <w:fldChar w:fldCharType="begin"/>
      </w:r>
      <w:r w:rsidR="002D20B5">
        <w:instrText xml:space="preserve"> ADDIN ZOTERO_ITEM CSL_CITATION {"citationID":"rnxG3IeW","properties":{"formattedCitation":"\\super 258\\nosupersub{}","plainCitation":"258","noteIndex":0},"citationItems":[{"id":19047,"uris":["http://zotero.org/users/3444308/items/KDIFZ8MM"],"itemData":{"id":19047,"type":"article-journal","abstract":"These guidelines cover the care of patients from the period following kidney transplantation until the transplant is no longer working or the patient dies. During the early phase prevention of acute rejection and infection are the priority. After around 3–6 months, the priorities change to preservation of transplant function and avoiding the long-term complications of immunosuppressive medication (the medication used to suppress the immune system to prevent rejection). The topics discussed include organization of outpatient follow up, immunosuppressive medication, treatment of acute and chronic rejection, and prevention of complications. The potential complications discussed include heart disease, infection, cancer, bone disease and blood disorders. There is also a section on contraception and reproductive issues. Immediately after the introduction there is a statement of all the recommendations. These recommendations are written in a language that we think should be understandable by many patients, relatives, carers and other interested people. Consequently we have not reworded or restated them in this lay summary. They are graded 1 or 2 depending on the strength of the recommendation by the authors, and AD depending on the quality of the evidence that the recommendation is based on.","container-title":"BMC Nephrology","DOI":"10.1186/s12882-017-0553-2","ISSN":"1471-2369","issue":"1","journalAbbreviation":"BMC Nephrol","language":"en","license":"2017 The Author(s).","note":"publisher: BioMed Central","page":"1-41","source":"bmcnephrol.biomedcentral.com","title":"Renal association clinical practice guideline in post-operative care in the kidney transplant recipient","volume":"18","author":[{"family":"Baker","given":"Richard J."},{"family":"Mark","given":"Patrick B."},{"family":"Patel","given":"Rajan K."},{"family":"Stevens","given":"Kate K."},{"family":"Palmer","given":"Nicholas"}],"issued":{"date-parts":[["2017",12]]}}}],"schema":"https://github.com/citation-style-language/schema/raw/master/csl-citation.json"} </w:instrText>
      </w:r>
      <w:r>
        <w:fldChar w:fldCharType="separate"/>
      </w:r>
      <w:r w:rsidR="002D20B5" w:rsidRPr="002D20B5">
        <w:rPr>
          <w:rFonts w:ascii="Calibri" w:hAnsi="Calibri" w:cs="Calibri"/>
          <w:vertAlign w:val="superscript"/>
        </w:rPr>
        <w:t>258</w:t>
      </w:r>
      <w:r>
        <w:fldChar w:fldCharType="end"/>
      </w:r>
      <w:r w:rsidRPr="005F2801">
        <w:t xml:space="preserve">, endorsed by the British Transplant Society, encouraged sporting events but cautioned against participation in sports where a direct blow to the allograft is possible. </w:t>
      </w:r>
    </w:p>
    <w:p w14:paraId="3819B1C7" w14:textId="35F3404F" w:rsidR="00ED6CD4" w:rsidRPr="005F2801" w:rsidRDefault="00ED6CD4" w:rsidP="00445691">
      <w:r w:rsidRPr="005F2801">
        <w:t>Whilst evidence suggests that the performance of KTRs can be maintained even in challenging environmental conditions (e.g., desert trekking</w:t>
      </w:r>
      <w:r>
        <w:t xml:space="preserve"> </w:t>
      </w:r>
      <w:r>
        <w:fldChar w:fldCharType="begin"/>
      </w:r>
      <w:r w:rsidR="002D20B5">
        <w:instrText xml:space="preserve"> ADDIN ZOTERO_ITEM CSL_CITATION {"citationID":"GdBPADeJ","properties":{"formattedCitation":"\\super 269\\nosupersub{}","plainCitation":"269","noteIndex":0},"citationItems":[{"id":19182,"uris":["http://zotero.org/users/3444308/items/F8YJU2W2"],"itemData":{"id":19182,"type":"article-journal","abstract":"Physical performance of kidney transplanted patients in challenging environments, such as deserts, has been poorly studied. Six kidney transplanted (T: 5 males, 1 female; 45±6 yrs) and 8 control (C: 5 males, 3 females; 49±13 yrs) subjects participated in a 5-day desert trek. Blood pressure, hydration status (Height2/Rz by bioimpedance), heart rate, energy expenditure (by SenseWear Pro Armband) and walking velocities were recorded during each daily trekking stage (GPS-assisted wearable devices). Systo-diastolic blood pressure did not differ between C (119/77±12/8 mmHg) and T (121/77±10/6 mmHg) groups throughout the study. The hydration status was stable from day 1 (Ht2/Rz: 64±13 cm2/Ohm in T and 59±12 cm2/Ohm in C subjects) to day 5 (66±11 cm2/Ohm in T and 61±13 cm2/Ohm in C subjects) in both groups. Two patients on steroid treatment showed a relative hyperhydration. Mean heart rate did not differ between T (135±10 bpm) and C (136±5 bpm) subjects throughout the study, although a reduction from day 1 to day 5 was observed in T subjects only (p&lt;0.05 vs C group). No differences were found between T and C group in walking velocity (1.7±0.6 km/h in T and 1.7±0.5 km/h in C group); mean intensity of physical activity was 3.4±0.5 METs in T and 3.3±0.6 METs in C group during each trekking stage. Negligible differences were observed in cardiovascular, metabolic and hydration status adaptations to desert trekking between selected T and C individuals. T subjects with creatinine clearance &gt; 55 ml/min showed acceptable physical performance and acclimatization to desert environment, suggesting a good long-term outcome of transplantation.","container-title":"Journal of Biological Regulators and Homeostatic Agents","ISSN":"0393-974X","issue":"3","journalAbbreviation":"J Biol Regul Homeost Agents","language":"eng","note":"PMID: 22023766","page":"417-425","source":"PubMed","title":"Physical performance in kidney transplanted patients: a study on desert trekking","title-short":"Physical performance in kidney transplanted patients","volume":"25","author":[{"family":"Mosconi","given":"G."},{"family":"Colombo","given":"D."},{"family":"Graziani","given":"E."},{"family":"Franceschelli","given":"N."},{"family":"Roi","given":"G. S."},{"family":"Totti","given":"V."},{"family":"Nanni Costa","given":"A."},{"family":"Stefoni","given":"S."}],"issued":{"date-parts":[["2011"]]}}}],"schema":"https://github.com/citation-style-language/schema/raw/master/csl-citation.json"} </w:instrText>
      </w:r>
      <w:r>
        <w:fldChar w:fldCharType="separate"/>
      </w:r>
      <w:r w:rsidR="002D20B5" w:rsidRPr="002D20B5">
        <w:rPr>
          <w:rFonts w:ascii="Calibri" w:hAnsi="Calibri" w:cs="Calibri"/>
          <w:vertAlign w:val="superscript"/>
        </w:rPr>
        <w:t>269</w:t>
      </w:r>
      <w:r>
        <w:fldChar w:fldCharType="end"/>
      </w:r>
      <w:r w:rsidRPr="005F2801">
        <w:t>, high-altitude climbing</w:t>
      </w:r>
      <w:r>
        <w:t xml:space="preserve"> </w:t>
      </w:r>
      <w:r>
        <w:fldChar w:fldCharType="begin"/>
      </w:r>
      <w:r w:rsidR="002D20B5">
        <w:instrText xml:space="preserve"> ADDIN ZOTERO_ITEM CSL_CITATION {"citationID":"Ooi4wbDH","properties":{"formattedCitation":"\\super 266\\nosupersub{}","plainCitation":"266","noteIndex":0},"citationItems":[{"id":19185,"uris":["http://zotero.org/users/3444308/items/TPID42LH"],"itemData":{"id":19185,"type":"article-journal","abstract":"An increasing body of randomized controlled trials suggests the safety of engaging in moderate to vigorous intensity exercise training following solid organ transplantation. Fueled by emerging sport events designed for transplant recipients and the ever-growing body of research highlighting the diverse health benefits of physical activity, transplant recipients are now increasingly participating in strenuous and occasionally competitive physical endeavors that largely surpass those evaluated in controlled research settings. This viewpoint article adopts a cautionary stance to counterbalance the prevalent one-sided optimistic perspective regarding posttransplant physical activity. While discussing methodological limitations, we explore plausible adverse impacts on the cardiovascular, immunological, and musculoskeletal systems. We also examine the physiological consequences of exercising in the heat, at high altitude, and in areas with high air pollution. Risks associated with employing performance-enhancing strategies and the conceivable psychological implications regarding physical activity as a tribute to the 'gift of life' are discussed. With a deliberate focus on the potential adverse outcomes of strenuous posttransplant physical activity, this viewpoint aims to restore a balanced dialogue on our comprehension of both beneficial and potentially detrimental outcomes of physical activity that ultimately underscores the imperative of well-informed decision-making and tailored exercise regimens in the realm of posttransplant care.","container-title":"Transplant International: Official Journal of the European Society for Organ Transplantation","DOI":"10.3389/ti.2024.12448","ISSN":"1432-2277","journalAbbreviation":"Transpl Int","language":"eng","note":"PMID: 38414660\nPMCID: PMC10898592","page":"12448","source":"PubMed","title":"Physical Exercise After Solid Organ Transplantation: A Cautionary Tale","title-short":"Physical Exercise After Solid Organ Transplantation","volume":"37","author":[{"family":"Stylemans","given":"Dimitri"},{"family":"Vandecruys","given":"Marieke"},{"family":"Leunis","given":"Sofie"},{"family":"Engelborghs","given":"Sofie"},{"family":"Gargioli","given":"Davide"},{"family":"Monbaliu","given":"Diethard"},{"family":"Cornelissen","given":"Véronique"},{"family":"Van Craenenbroeck","given":"Amaryllis H."},{"family":"De Smet","given":"Stefan"}],"issued":{"date-parts":[["2024"]]}}}],"schema":"https://github.com/citation-style-language/schema/raw/master/csl-citation.json"} </w:instrText>
      </w:r>
      <w:r>
        <w:fldChar w:fldCharType="separate"/>
      </w:r>
      <w:r w:rsidR="002D20B5" w:rsidRPr="002D20B5">
        <w:rPr>
          <w:rFonts w:ascii="Calibri" w:hAnsi="Calibri" w:cs="Calibri"/>
          <w:vertAlign w:val="superscript"/>
        </w:rPr>
        <w:t>266</w:t>
      </w:r>
      <w:r>
        <w:fldChar w:fldCharType="end"/>
      </w:r>
      <w:r w:rsidRPr="005F2801">
        <w:t>), prolonged, strenuous physically demanding activities, such as marathons, Ironman triathlons etc., challenge many physiological systems and should only be considered by transplanted athletes with a knowledgeable support team that includes an exercise physiologist, an experienced coach, and sports medicine doctor and with the advice of a transplant physician</w:t>
      </w:r>
      <w:r>
        <w:t xml:space="preserve"> </w:t>
      </w:r>
      <w:r>
        <w:fldChar w:fldCharType="begin"/>
      </w:r>
      <w:r w:rsidR="002D20B5">
        <w:instrText xml:space="preserve"> ADDIN ZOTERO_ITEM CSL_CITATION {"citationID":"grT20tEg","properties":{"formattedCitation":"\\super 266,268\\nosupersub{}","plainCitation":"266,268","noteIndex":0},"citationItems":[{"id":19183,"uris":["http://zotero.org/users/3444308/items/C67LVL5F"],"itemData":{"id":19183,"type":"article-journal","abstract":"Over 100</w:instrText>
      </w:r>
      <w:r w:rsidR="002D20B5">
        <w:rPr>
          <w:rFonts w:ascii="Arial" w:hAnsi="Arial" w:cs="Arial"/>
        </w:rPr>
        <w:instrText> </w:instrText>
      </w:r>
      <w:r w:rsidR="002D20B5">
        <w:instrText xml:space="preserve">000 solid organ transplants are performed worldwide each year and this has a significant impact on physical function and quality of life. However, the capacity for exercise in solid-organ recipients is reduced. Regular physical activity improves most of the indices of fitness in these patients but, with few exceptions, they do not reach the values seen in healthy controls. The reason for the 40-60% reduction in maximal exercise capacity is not clear; the disease process, need for life long immunosuppression and sedentary lifestyle all contribute. The interaction between exercise and immunosuppressing medication merits research as does the specifics of the exercise prescription for these patients. This paper reviews important features of this rapidly expanding group of patients and suggests clinical considerations in the application of exercise in this population.","container-title":"British Journal of Sports Medicine","DOI":"10.1136/bjsports-2014-093583","ISSN":"1473-0480","issue":"2","journalAbbreviation":"Br J Sports Med","language":"eng","note":"PMID: 25115810","page":"76-78","source":"PubMed","title":"Solid organ transplant recipients: clinical considerations in the application of exercise","title-short":"Solid organ transplant recipients","volume":"49","author":[{"family":"McKenzie","given":"K.-J. L."},{"family":"McKenzie","given":"D. C."},{"family":"Yoshida","given":"E. M."}],"issued":{"date-parts":[["2015",1]]}}},{"id":19185,"uris":["http://zotero.org/users/3444308/items/TPID42LH"],"itemData":{"id":19185,"type":"article-journal","abstract":"An increasing body of randomized controlled trials suggests the safety of engaging in moderate to vigorous intensity exercise training following solid organ transplantation. Fueled by emerging sport events designed for transplant recipients and the ever-growing body of research highlighting the diverse health benefits of physical activity, transplant recipients are now increasingly participating in strenuous and occasionally competitive physical endeavors that largely surpass those evaluated in controlled research settings. This viewpoint article adopts a cautionary stance to counterbalance the prevalent one-sided optimistic perspective regarding posttransplant physical activity. While discussing methodological limitations, we explore plausible adverse impacts on the cardiovascular, immunological, and musculoskeletal systems. We also examine the physiological consequences of exercising in the heat, at high altitude, and in areas with high air pollution. Risks associated with employing performance-enhancing strategies and the conceivable psychological implications regarding physical activity as a tribute to the 'gift of life' are discussed. With a deliberate focus on the potential adverse outcomes of strenuous posttransplant physical activity, this viewpoint aims to restore a balanced dialogue on our comprehension of both beneficial and potentially detrimental outcomes of physical activity that ultimately underscores the imperative of well-informed decision-making and tailored exercise regimens in the realm of posttransplant care.","container-title":"Transplant International: Official Journal of the European Society for Organ Transplantation","DOI":"10.3389/ti.2024.12448","ISSN":"1432-2277","journalAbbreviation":"Transpl Int","language":"eng","note":"PMID: 38414660\nPMCID: PMC10898592","page":"12448","source":"PubMed","title":"Physical Exercise After Solid Organ Transplantation: A Cautionary Tale","title-short":"Physical Exercise After Solid Organ Transplantation","volume":"37","author":[{"family":"Stylemans","given":"Dimitri"},{"family":"Vandecruys","given":"Marieke"},{"family":"Leunis","given":"Sofie"},{"family":"Engelborghs","given":"Sofie"},{"family":"Gargioli","given":"Davide"},{"family":"Monbaliu","given":"Diethard"},{"family":"Cornelissen","given":"Véronique"},{"family":"Van Craenenbroeck","given":"Amaryllis H."},{"family":"De Smet","given":"Stefan"}],"issued":{"date-parts":[["2024"]]}}}],"schema":"https://github.com/citation-style-language/schema/raw/master/csl-citation.json"} </w:instrText>
      </w:r>
      <w:r>
        <w:fldChar w:fldCharType="separate"/>
      </w:r>
      <w:r w:rsidR="002D20B5" w:rsidRPr="002D20B5">
        <w:rPr>
          <w:rFonts w:ascii="Calibri" w:hAnsi="Calibri" w:cs="Calibri"/>
          <w:vertAlign w:val="superscript"/>
        </w:rPr>
        <w:t>266,268</w:t>
      </w:r>
      <w:r>
        <w:fldChar w:fldCharType="end"/>
      </w:r>
      <w:r w:rsidRPr="005F2801">
        <w:t>. Overall, whilst there are notable cases of KTRs successfully returning to high-intensity sports</w:t>
      </w:r>
      <w:r>
        <w:t>,</w:t>
      </w:r>
      <w:r w:rsidRPr="005F2801">
        <w:t xml:space="preserve"> including professional boxing </w:t>
      </w:r>
      <w:r>
        <w:fldChar w:fldCharType="begin"/>
      </w:r>
      <w:r w:rsidR="002D20B5">
        <w:instrText xml:space="preserve"> ADDIN ZOTERO_ITEM CSL_CITATION {"citationID":"Gfrb1IaG","properties":{"formattedCitation":"\\super 270\\nosupersub{}","plainCitation":"270","noteIndex":0},"citationItems":[{"id":19181,"uris":["http://zotero.org/users/3444308/items/6636J9R3"],"itemData":{"id":19181,"type":"article-journal","abstract":"Significant health benefits result from regular physical activity for kidney transplant recipients. Nevertheless, some adverse effects also have been shown to be associated with highly intensive exercises. We report a kidney transplant professional boxer whose kidney allograft has remained in good health, despite his violent sport activities.","container-title":"Saudi Journal of Kidney Diseases and Transplantation: An Official Publication of the Saudi Center for Organ Transplantation, Saudi Arabia","ISSN":"1319-2442","issue":"2","journalAbbreviation":"Saudi J Kidney Dis Transpl","language":"eng","note":"PMID: 18310875","page":"241-243","source":"PubMed","title":"Renal allograft in a professional boxer","volume":"19","author":[{"family":"Einollahi","given":"Behzad"},{"family":"Nafar","given":"Mohsen"},{"family":"Taheri","given":"Saeed"},{"family":"Nemati","given":"Eghlim"}],"issued":{"date-parts":[["2008",3]]}}}],"schema":"https://github.com/citation-style-language/schema/raw/master/csl-citation.json"} </w:instrText>
      </w:r>
      <w:r>
        <w:fldChar w:fldCharType="separate"/>
      </w:r>
      <w:r w:rsidR="002D20B5" w:rsidRPr="002D20B5">
        <w:rPr>
          <w:rFonts w:ascii="Calibri" w:hAnsi="Calibri" w:cs="Calibri"/>
          <w:vertAlign w:val="superscript"/>
        </w:rPr>
        <w:t>270</w:t>
      </w:r>
      <w:r>
        <w:fldChar w:fldCharType="end"/>
      </w:r>
      <w:r w:rsidRPr="005F2801">
        <w:t xml:space="preserve"> and rugby, weighing the </w:t>
      </w:r>
      <w:r>
        <w:t>risk-to-benefit</w:t>
      </w:r>
      <w:r w:rsidRPr="005F2801">
        <w:t xml:space="preserve"> of any activity is an important consideration </w:t>
      </w:r>
      <w:r>
        <w:fldChar w:fldCharType="begin"/>
      </w:r>
      <w:r w:rsidR="002D20B5">
        <w:instrText xml:space="preserve"> ADDIN ZOTERO_ITEM CSL_CITATION {"citationID":"36a30ZDG","properties":{"formattedCitation":"\\super 266,268\\nosupersub{}","plainCitation":"266,268","noteIndex":0},"citationItems":[{"id":19183,"uris":["http://zotero.org/users/3444308/items/C67LVL5F"],"itemData":{"id":19183,"type":"article-journal","abstract":"Over 100</w:instrText>
      </w:r>
      <w:r w:rsidR="002D20B5">
        <w:rPr>
          <w:rFonts w:ascii="Arial" w:hAnsi="Arial" w:cs="Arial"/>
        </w:rPr>
        <w:instrText> </w:instrText>
      </w:r>
      <w:r w:rsidR="002D20B5">
        <w:instrText xml:space="preserve">000 solid organ transplants are performed worldwide each year and this has a significant impact on physical function and quality of life. However, the capacity for exercise in solid-organ recipients is reduced. Regular physical activity improves most of the indices of fitness in these patients but, with few exceptions, they do not reach the values seen in healthy controls. The reason for the 40-60% reduction in maximal exercise capacity is not clear; the disease process, need for life long immunosuppression and sedentary lifestyle all contribute. The interaction between exercise and immunosuppressing medication merits research as does the specifics of the exercise prescription for these patients. This paper reviews important features of this rapidly expanding group of patients and suggests clinical considerations in the application of exercise in this population.","container-title":"British Journal of Sports Medicine","DOI":"10.1136/bjsports-2014-093583","ISSN":"1473-0480","issue":"2","journalAbbreviation":"Br J Sports Med","language":"eng","note":"PMID: 25115810","page":"76-78","source":"PubMed","title":"Solid organ transplant recipients: clinical considerations in the application of exercise","title-short":"Solid organ transplant recipients","volume":"49","author":[{"family":"McKenzie","given":"K.-J. L."},{"family":"McKenzie","given":"D. C."},{"family":"Yoshida","given":"E. M."}],"issued":{"date-parts":[["2015",1]]}}},{"id":19185,"uris":["http://zotero.org/users/3444308/items/TPID42LH"],"itemData":{"id":19185,"type":"article-journal","abstract":"An increasing body of randomized controlled trials suggests the safety of engaging in moderate to vigorous intensity exercise training following solid organ transplantation. Fueled by emerging sport events designed for transplant recipients and the ever-growing body of research highlighting the diverse health benefits of physical activity, transplant recipients are now increasingly participating in strenuous and occasionally competitive physical endeavors that largely surpass those evaluated in controlled research settings. This viewpoint article adopts a cautionary stance to counterbalance the prevalent one-sided optimistic perspective regarding posttransplant physical activity. While discussing methodological limitations, we explore plausible adverse impacts on the cardiovascular, immunological, and musculoskeletal systems. We also examine the physiological consequences of exercising in the heat, at high altitude, and in areas with high air pollution. Risks associated with employing performance-enhancing strategies and the conceivable psychological implications regarding physical activity as a tribute to the 'gift of life' are discussed. With a deliberate focus on the potential adverse outcomes of strenuous posttransplant physical activity, this viewpoint aims to restore a balanced dialogue on our comprehension of both beneficial and potentially detrimental outcomes of physical activity that ultimately underscores the imperative of well-informed decision-making and tailored exercise regimens in the realm of posttransplant care.","container-title":"Transplant International: Official Journal of the European Society for Organ Transplantation","DOI":"10.3389/ti.2024.12448","ISSN":"1432-2277","journalAbbreviation":"Transpl Int","language":"eng","note":"PMID: 38414660\nPMCID: PMC10898592","page":"12448","source":"PubMed","title":"Physical Exercise After Solid Organ Transplantation: A Cautionary Tale","title-short":"Physical Exercise After Solid Organ Transplantation","volume":"37","author":[{"family":"Stylemans","given":"Dimitri"},{"family":"Vandecruys","given":"Marieke"},{"family":"Leunis","given":"Sofie"},{"family":"Engelborghs","given":"Sofie"},{"family":"Gargioli","given":"Davide"},{"family":"Monbaliu","given":"Diethard"},{"family":"Cornelissen","given":"Véronique"},{"family":"Van Craenenbroeck","given":"Amaryllis H."},{"family":"De Smet","given":"Stefan"}],"issued":{"date-parts":[["2024"]]}}}],"schema":"https://github.com/citation-style-language/schema/raw/master/csl-citation.json"} </w:instrText>
      </w:r>
      <w:r>
        <w:fldChar w:fldCharType="separate"/>
      </w:r>
      <w:r w:rsidR="002D20B5" w:rsidRPr="002D20B5">
        <w:rPr>
          <w:rFonts w:ascii="Calibri" w:hAnsi="Calibri" w:cs="Calibri"/>
          <w:vertAlign w:val="superscript"/>
        </w:rPr>
        <w:t>266,268</w:t>
      </w:r>
      <w:r>
        <w:fldChar w:fldCharType="end"/>
      </w:r>
      <w:r>
        <w:t>.</w:t>
      </w:r>
    </w:p>
    <w:p w14:paraId="60A8CDE5" w14:textId="57790281" w:rsidR="00ED6CD4" w:rsidRDefault="00ED6CD4" w:rsidP="00445691">
      <w:r w:rsidRPr="005F2801">
        <w:t>Evidence from healthy younger and older adults suggests that regular exercise can reduce the risk of respiratory infections and latent herpesvirus reactivation and improve antibody responses to vaccination, which is of great importance for organ transplantation recipients</w:t>
      </w:r>
      <w:r>
        <w:t xml:space="preserve"> </w:t>
      </w:r>
      <w:r>
        <w:fldChar w:fldCharType="begin"/>
      </w:r>
      <w:r w:rsidR="002D20B5">
        <w:instrText xml:space="preserve"> ADDIN ZOTERO_ITEM CSL_CITATION {"citationID":"zK3kGj5x","properties":{"formattedCitation":"\\super 271\\nosupersub{}","plainCitation":"271","noteIndex":0},"citationItems":[{"id":19180,"uris":["http://zotero.org/users/3444308/items/6WWFCQ5W"],"itemData":{"id":19180,"type":"article-journal","abstract":"PURPOSE OF REVIEW: Solid organ transplantation recipients have an increased risk of infection, exacerbated by immunosuppressant medications that need to finely balance suppression of the immune system to prevent allograft rejection while avoiding over-suppression leading to infections and malignancy. Exercise modulates immune functions, with moderate-intensity activities particularly associated with enhanced antiviral immunity and reduced infection incidence. However, investigations of the effects of exercise and physical activity on immune function and infection risk posttransplantation are scarce. This review highlights areas where the relationship between exercise, immune function and infection risk has greatest potential for benefit for solid organ transplantation and therefore greatest need for investigation.\nRECENT FINDINGS: Moderate and higher intensity exercise do not appear to cause adverse immunological effects in kidney transplantation recipients, although evidence from other organ transplantation is lacking. Evidence from healthy younger and older adults suggests that regular exercise can reduce risk of respiratory infections and latent herpesvirus reactivation and improves antibody responses to vaccination, which is of great importance for organ transplantation recipients.\nSUMMARY: There is a strong need for research to investigate the role of exercise on immune function and infection risk in solid organ transplantation to improve both allograft survival and long-term health of the recipient.","container-title":"Current Opinion in Organ Transplantation","DOI":"10.1097/MOT.0000000000001156","ISSN":"1531-7013","issue":"4","journalAbbreviation":"Curr Opin Organ Transplant","language":"eng","note":"PMID: 38847176","page":"271-276","source":"PubMed","title":"Physical exercise, the immune system and infection risk: implications for prehabilitation and rehabilitation for solid organ transplantation candidates and recipients","title-short":"Physical exercise, the immune system and infection risk","volume":"29","author":[{"family":"Bishop","given":"Nicolette C."}],"issued":{"date-parts":[["2024",8,1]]}}}],"schema":"https://github.com/citation-style-language/schema/raw/master/csl-citation.json"} </w:instrText>
      </w:r>
      <w:r>
        <w:fldChar w:fldCharType="separate"/>
      </w:r>
      <w:r w:rsidR="002D20B5" w:rsidRPr="002D20B5">
        <w:rPr>
          <w:rFonts w:ascii="Calibri" w:hAnsi="Calibri" w:cs="Calibri"/>
          <w:vertAlign w:val="superscript"/>
        </w:rPr>
        <w:t>271</w:t>
      </w:r>
      <w:r>
        <w:fldChar w:fldCharType="end"/>
      </w:r>
      <w:r w:rsidRPr="005F2801">
        <w:t xml:space="preserve">. Infection remains a concern in any organ transplant </w:t>
      </w:r>
      <w:r>
        <w:t>recipient</w:t>
      </w:r>
      <w:r w:rsidRPr="005F2801">
        <w:t>, possibly exacerbated by immunosuppressant medications and, as exercise can be detrimental to the immune system, it should be considered when athletes who are already immunosuppressed are training intensely</w:t>
      </w:r>
      <w:r>
        <w:t xml:space="preserve"> </w:t>
      </w:r>
      <w:r>
        <w:fldChar w:fldCharType="begin"/>
      </w:r>
      <w:r w:rsidR="002D20B5">
        <w:instrText xml:space="preserve"> ADDIN ZOTERO_ITEM CSL_CITATION {"citationID":"B6U6Smn8","properties":{"formattedCitation":"\\super 266,271,272\\nosupersub{}","plainCitation":"266,271,272","noteIndex":0},"citationItems":[{"id":19180,"uris":["http://zotero.org/users/3444308/items/6WWFCQ5W"],"itemData":{"id":19180,"type":"article-journal","abstract":"PURPOSE OF REVIEW: Solid organ transplantation recipients have an increased risk of infection, exacerbated by immunosuppressant medications that need to finely balance suppression of the immune system to prevent allograft rejection while avoiding over-suppression leading to infections and malignancy. Exercise modulates immune functions, with moderate-intensity activities particularly associated with enhanced antiviral immunity and reduced infection incidence. However, investigations of the effects of exercise and physical activity on immune function and infection risk posttransplantation are scarce. This review highlights areas where the relationship between exercise, immune function and infection risk has greatest potential for benefit for solid organ transplantation and therefore greatest need for investigation.\nRECENT FINDINGS: Moderate and higher intensity exercise do not appear to cause adverse immunological effects in kidney transplantation recipients, although evidence from other organ transplantation is lacking. Evidence from healthy younger and older adults suggests that regular exercise can reduce risk of respiratory infections and latent herpesvirus reactivation and improves antibody responses to vaccination, which is of great importance for organ transplantation recipients.\nSUMMARY: There is a strong need for research to investigate the role of exercise on immune function and infection risk in solid organ transplantation to improve both allograft survival and long-term health of the recipient.","container-title":"Current Opinion in Organ Transplantation","DOI":"10.1097/MOT.0000000000001156","ISSN":"1531-7013","issue":"4","journalAbbreviation":"Curr Opin Organ Transplant","language":"eng","note":"PMID: 38847176","page":"271-276","source":"PubMed","title":"Physical exercise, the immune system and infection risk: implications for prehabilitation and rehabilitation for solid organ transplantation candidates and recipients","title-short":"Physical exercise, the immune system and infection risk","volume":"29","author":[{"family":"Bishop","given":"Nicolette C."}],"issued":{"date-parts":[["2024",8,1]]}}},{"id":19179,"uris":["http://zotero.org/users/3444308/items/72HDPGIF"],"itemData":{"id":19179,"type":"article-journal","abstract":"Subsequent to prolonged exhausting exercise a transient immunosuppression is often observed in athletes. This so-called \"open window\" results in a reduced resistance of the athletes to viral and bacterial infections after an exhaustive exercise bout. Concerning the effect of bacterial endotoxin contact after exhausting exercise in transplant recipients, who are innately immunosuppressed by their medication, no data exists at present. After performing 81 km cycling, including ascending more than 1800 m in altitude, peripheral blood from 10 male kidney transplant recipients and from 10 healthy controls matched for age and gender was obtained. Simulating contact of the athletes with a pathogen post-exercise, the blood samples were incubated with Lipopolysaccharides (LPS). Thereafter microarray analysis was performed. Microarray analysis revealed a markedly oppositional pattern of gene expression in transplant recipients compared with their controls after LPS incubation. Especially immune response genes were significantly over-represented in controls immediately after the exhaustive exercise bout with LPS stimulation, whereas numerous apoptotic genes were over-represented in transplant recipients. Merging our previous data with these recent findings it should be discussed if transplant recipients need to reduce their immunosuppressive medication before performing exhaustive exercise.","container-title":"Exercise Immunology Review","ISSN":"1077-5552","journalAbbreviation":"Exerc Immunol Rev","language":"eng","note":"PMID: 22876728","page":"177-183","source":"PubMed","title":"Impact of endotoxin exposure after exhausting exercise on the immune system in solid organ transplant recipients","volume":"18","author":[{"family":"Königsrainer","given":"Ingmar"},{"family":"Löffler","given":"Markus"},{"family":"Bühler","given":"Sarah"},{"family":"Walter","given":"Michael"},{"family":"Schafbuch","given":"Luana"},{"family":"Beckert","given":"Stefan"},{"family":"Glatzle","given":"Jörg"},{"family":"Horvath","given":"Philipp"},{"family":"Northoff","given":"Hinnak"},{"family":"Nadalin","given":"Silvio"},{"family":"Königsrainer","given":"Alfred"},{"family":"Zieker","given":"Derek"}],"issued":{"date-parts":[["2012"]]}}},{"id":19185,"uris":["http://zotero.org/users/3444308/items/TPID42LH"],"itemData":{"id":19185,"type":"article-journal","abstract":"An increasing body of randomized controlled trials suggests the safety of engaging in moderate to vigorous intensity exercise training following solid organ transplantation. Fueled by emerging sport events designed for transplant recipients and the ever-growing body of research highlighting the diverse health benefits of physical activity, transplant recipients are now increasingly participating in strenuous and occasionally competitive physical endeavors that largely surpass those evaluated in controlled research settings. This viewpoint article adopts a cautionary stance to counterbalance the prevalent one-sided optimistic perspective regarding posttransplant physical activity. While discussing methodological limitations, we explore plausible adverse impacts on the cardiovascular, immunological, and musculoskeletal systems. We also examine the physiological consequences of exercising in the heat, at high altitude, and in areas with high air pollution. Risks associated with employing performance-enhancing strategies and the conceivable psychological implications regarding physical activity as a tribute to the 'gift of life' are discussed. With a deliberate focus on the potential adverse outcomes of strenuous posttransplant physical activity, this viewpoint aims to restore a balanced dialogue on our comprehension of both beneficial and potentially detrimental outcomes of physical activity that ultimately underscores the imperative of well-informed decision-making and tailored exercise regimens in the realm of posttransplant care.","container-title":"Transplant International: Official Journal of the European Society for Organ Transplantation","DOI":"10.3389/ti.2024.12448","ISSN":"1432-2277","journalAbbreviation":"Transpl Int","language":"eng","note":"PMID: 38414660\nPMCID: PMC10898592","page":"12448","source":"PubMed","title":"Physical Exercise After Solid Organ Transplantation: A Cautionary Tale","title-short":"Physical Exercise After Solid Organ Transplantation","volume":"37","author":[{"family":"Stylemans","given":"Dimitri"},{"family":"Vandecruys","given":"Marieke"},{"family":"Leunis","given":"Sofie"},{"family":"Engelborghs","given":"Sofie"},{"family":"Gargioli","given":"Davide"},{"family":"Monbaliu","given":"Diethard"},{"family":"Cornelissen","given":"Véronique"},{"family":"Van Craenenbroeck","given":"Amaryllis H."},{"family":"De Smet","given":"Stefan"}],"issued":{"date-parts":[["2024"]]}}}],"schema":"https://github.com/citation-style-language/schema/raw/master/csl-citation.json"} </w:instrText>
      </w:r>
      <w:r>
        <w:fldChar w:fldCharType="separate"/>
      </w:r>
      <w:r w:rsidR="002D20B5" w:rsidRPr="002D20B5">
        <w:rPr>
          <w:rFonts w:ascii="Calibri" w:hAnsi="Calibri" w:cs="Calibri"/>
          <w:vertAlign w:val="superscript"/>
        </w:rPr>
        <w:t>266,271,272</w:t>
      </w:r>
      <w:r>
        <w:fldChar w:fldCharType="end"/>
      </w:r>
      <w:r w:rsidRPr="005F2801">
        <w:t>. Moderate and higher-intensity exercise does not appear to cause adverse immunological effects in KTRs</w:t>
      </w:r>
      <w:r>
        <w:t xml:space="preserve"> </w:t>
      </w:r>
      <w:r>
        <w:fldChar w:fldCharType="begin"/>
      </w:r>
      <w:r w:rsidR="002D20B5">
        <w:instrText xml:space="preserve"> ADDIN ZOTERO_ITEM CSL_CITATION {"citationID":"rBv0vR1z","properties":{"formattedCitation":"\\super 271\\uc0\\u8211{}273\\nosupersub{}","plainCitation":"271–273","noteIndex":0},"citationItems":[{"id":19180,"uris":["http://zotero.org/users/3444308/items/6WWFCQ5W"],"itemData":{"id":19180,"type":"article-journal","abstract":"PURPOSE OF REVIEW: Solid organ transplantation recipients have an increased risk of infection, exacerbated by immunosuppressant medications that need to finely balance suppression of the immune system to prevent allograft rejection while avoiding over-suppression leading to infections and malignancy. Exercise modulates immune functions, with moderate-intensity activities particularly associated with enhanced antiviral immunity and reduced infection incidence. However, investigations of the effects of exercise and physical activity on immune function and infection risk posttransplantation are scarce. This review highlights areas where the relationship between exercise, immune function and infection risk has greatest potential for benefit for solid organ transplantation and therefore greatest need for investigation.\nRECENT FINDINGS: Moderate and higher intensity exercise do not appear to cause adverse immunological effects in kidney transplantation recipients, although evidence from other organ transplantation is lacking. Evidence from healthy younger and older adults suggests that regular exercise can reduce risk of respiratory infections and latent herpesvirus reactivation and improves antibody responses to vaccination, which is of great importance for organ transplantation recipients.\nSUMMARY: There is a strong need for research to investigate the role of exercise on immune function and infection risk in solid organ transplantation to improve both allograft survival and long-term health of the recipient.","container-title":"Current Opinion in Organ Transplantation","DOI":"10.1097/MOT.0000000000001156","ISSN":"1531-7013","issue":"4","journalAbbreviation":"Curr Opin Organ Transplant","language":"eng","note":"PMID: 38847176","page":"271-276","source":"PubMed","title":"Physical exercise, the immune system and infection risk: implications for prehabilitation and rehabilitation for solid organ transplantation candidates and recipients","title-short":"Physical exercise, the immune system and infection risk","volume":"29","author":[{"family":"Bishop","given":"Nicolette C."}],"issued":{"date-parts":[["2024",8,1]]}}},{"id":19178,"uris":["http://zotero.org/users/3444308/items/X6C2B8KW"],"itemData":{"id":19178,"type":"article-journal","abstract":"Renal transplant recipients (RTRs) and patients with nondialysis chronic kidney disease display elevated circulating microparticle (MP) counts, while RTRs display immunosuppression-induced infection susceptibility. The impact of aerobic exercise on circulating immune cells and MPs is unknown in RTRs. Fifteen RTRs [age: 52.8</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14.5 yr, estimated glomerular filtration rate (eGFR): 51.7</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19.8 mL</w:instrText>
      </w:r>
      <w:r w:rsidR="002D20B5">
        <w:rPr>
          <w:rFonts w:ascii="Aptos" w:hAnsi="Aptos" w:cs="Aptos"/>
        </w:rPr>
        <w:instrText>·</w:instrText>
      </w:r>
      <w:r w:rsidR="002D20B5">
        <w:instrText>min-1</w:instrText>
      </w:r>
      <w:r w:rsidR="002D20B5">
        <w:rPr>
          <w:rFonts w:ascii="Aptos" w:hAnsi="Aptos" w:cs="Aptos"/>
        </w:rPr>
        <w:instrText>·</w:instrText>
      </w:r>
      <w:r w:rsidR="002D20B5">
        <w:instrText>1.73 m-2 (mean</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SD)] and 16 patients with nondialysis chronic kidney disease (age: 54.8</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16.3 yr, eGFR: 61.9</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21.0 mL</w:instrText>
      </w:r>
      <w:r w:rsidR="002D20B5">
        <w:rPr>
          <w:rFonts w:ascii="Aptos" w:hAnsi="Aptos" w:cs="Aptos"/>
        </w:rPr>
        <w:instrText>·</w:instrText>
      </w:r>
      <w:r w:rsidR="002D20B5">
        <w:instrText>min-1</w:instrText>
      </w:r>
      <w:r w:rsidR="002D20B5">
        <w:rPr>
          <w:rFonts w:ascii="Aptos" w:hAnsi="Aptos" w:cs="Aptos"/>
        </w:rPr>
        <w:instrText>·</w:instrText>
      </w:r>
      <w:r w:rsidR="002D20B5">
        <w:instrText>1.73 m-2, acting as a uremic control group), and 16 healthy control participants (age: 52.2</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16.2 yr, eGFR: 85.6</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6.1 mL</w:instrText>
      </w:r>
      <w:r w:rsidR="002D20B5">
        <w:rPr>
          <w:rFonts w:ascii="Aptos" w:hAnsi="Aptos" w:cs="Aptos"/>
        </w:rPr>
        <w:instrText>·</w:instrText>
      </w:r>
      <w:r w:rsidR="002D20B5">
        <w:instrText>min-1</w:instrText>
      </w:r>
      <w:r w:rsidR="002D20B5">
        <w:rPr>
          <w:rFonts w:ascii="Aptos" w:hAnsi="Aptos" w:cs="Aptos"/>
        </w:rPr>
        <w:instrText>·</w:instrText>
      </w:r>
      <w:r w:rsidR="002D20B5">
        <w:instrText xml:space="preserve">1.73 m-2) completed 20 min of walking at 60-70% peak O2 consumption. Venous blood samples were taken preexercise, postexercise, and 1 h postexercise. Leukocytes and MPs were assessed using flow cytometry. Exercise increased classical (P = 0.001) and nonclassical (P = 0.002) monocyte subset proportions but decreased the intermediate subset (P &lt; 0.001) in all groups. Exercise also decreased the percentage of platelet-derived MPs that expressed tissue factor in all groups (P = 0.01), although no other exercise-dependent effects were observed. The exercise-induced reduction in intermediate monocyte percentage suggests an anti-inflammatory effect, although this requires further investigation. The reduction in the percentage of tissue factor-positive platelet-derived MPs suggests reduced prothrombotic potential, although further functional assays are required. Exercise did not cause aberrant immune cell activation, suggesting its safety from an immunological standpoint (ISRCTN38935454).","container-title":"American Journal of Physiology. Renal Physiology","DOI":"10.1152/ajprenal.00332.2019","ISSN":"1522-1466","issue":"1","journalAbbreviation":"Am J Physiol Renal Physiol","language":"eng","note":"PMID: 31736354","page":"F76-F85","source":"PubMed","title":"Influence of acute moderate- to high-intensity aerobic exercise on markers of immune function and microparticles in renal transplant recipients","volume":"318","author":[{"family":"Highton","given":"Patrick J."},{"family":"White","given":"Alice E. M."},{"family":"Nixon","given":"Daniel G. D."},{"family":"Wilkinson","given":"Thomas J."},{"family":"Neale","given":"Jill"},{"family":"Martin","given":"Naomi"},{"family":"Bishop","given":"Nicolette C."},{"family":"Smith","given":"Alice C."}],"issued":{"date-parts":[["2020",1,1]]}}},{"id":19179,"uris":["http://zotero.org/users/3444308/items/72HDPGIF"],"itemData":{"id":19179,"type":"article-journal","abstract":"Subsequent to prolonged exhausting exercise a transient immunosuppression is often observed in athletes. This so-called \"open window\" results in a reduced resistance of the athletes to viral and bacterial infections after an exhaustive exercise bout. Concerning the effect of bacterial endotoxin contact after exhausting exercise in transplant recipients, who are innately immunosuppressed by their medication, no data exists at present. After performing 81 km cycling, including ascending more than 1800 m in altitude, peripheral blood from 10 male kidney transplant recipients and from 10 healthy controls matched for age and gender was obtained. Simulating contact of the athletes with a pathogen post-exercise, the blood samples were incubated with Lipopolysaccharides (LPS). Thereafter microarray analysis was performed. Microarray analysis revealed a markedly oppositional pattern of gene expression in transplant recipients compared with their controls after LPS incubation. Especially immune response genes were significantly over-represented in controls immediately after the exhaustive exercise bout with LPS stimulation, whereas numerous apoptotic genes were over-represented in transplant recipients. Merging our previous data with these recent findings it should be discussed if transplant recipients need to reduce their immunosuppressive medication before performing exhaustive exercise.","container-title":"Exercise Immunology Review","ISSN":"1077-5552","journalAbbreviation":"Exerc Immunol Rev","language":"eng","note":"PMID: 22876728","page":"177-183","source":"PubMed","title":"Impact of endotoxin exposure after exhausting exercise on the immune system in solid organ transplant recipients","volume":"18","author":[{"family":"Königsrainer","given":"Ingmar"},{"family":"Löffler","given":"Markus"},{"family":"Bühler","given":"Sarah"},{"family":"Walter","given":"Michael"},{"family":"Schafbuch","given":"Luana"},{"family":"Beckert","given":"Stefan"},{"family":"Glatzle","given":"Jörg"},{"family":"Horvath","given":"Philipp"},{"family":"Northoff","given":"Hinnak"},{"family":"Nadalin","given":"Silvio"},{"family":"Königsrainer","given":"Alfred"},{"family":"Zieker","given":"Derek"}],"issued":{"date-parts":[["2012"]]}}}],"schema":"https://github.com/citation-style-language/schema/raw/master/csl-citation.json"} </w:instrText>
      </w:r>
      <w:r>
        <w:fldChar w:fldCharType="separate"/>
      </w:r>
      <w:r w:rsidR="002D20B5" w:rsidRPr="002D20B5">
        <w:rPr>
          <w:rFonts w:ascii="Calibri" w:hAnsi="Calibri" w:cs="Calibri"/>
          <w:vertAlign w:val="superscript"/>
        </w:rPr>
        <w:t>271–273</w:t>
      </w:r>
      <w:r>
        <w:fldChar w:fldCharType="end"/>
      </w:r>
      <w:r w:rsidRPr="005F2801">
        <w:t xml:space="preserve">. </w:t>
      </w:r>
    </w:p>
    <w:p w14:paraId="56ECB411" w14:textId="77777777" w:rsidR="00D724D7" w:rsidRPr="00445691" w:rsidRDefault="00D724D7" w:rsidP="00445691">
      <w:pPr>
        <w:rPr>
          <w:rStyle w:val="normaltextrun"/>
          <w:rFonts w:cstheme="minorHAnsi"/>
          <w:color w:val="000000" w:themeColor="text1"/>
          <w:sz w:val="22"/>
          <w:szCs w:val="22"/>
        </w:rPr>
      </w:pPr>
    </w:p>
    <w:p w14:paraId="26111BFB" w14:textId="4A2C12DF" w:rsidR="00ED6CD4" w:rsidRPr="00D724D7" w:rsidRDefault="00D724D7" w:rsidP="00D724D7">
      <w:pPr>
        <w:pStyle w:val="GuidelineHeadings"/>
      </w:pPr>
      <w:r>
        <w:t>Guideline</w:t>
      </w:r>
      <w:r w:rsidRPr="00D724D7">
        <w:t xml:space="preserve"> 5.</w:t>
      </w:r>
      <w:r>
        <w:t xml:space="preserve">7 </w:t>
      </w:r>
      <w:r w:rsidRPr="00D724D7">
        <w:t>– Dietary measures</w:t>
      </w:r>
    </w:p>
    <w:p w14:paraId="1E44DE54" w14:textId="2A6973FA" w:rsidR="00ED6CD4" w:rsidRPr="004A5142" w:rsidRDefault="00ED6CD4" w:rsidP="00D724D7">
      <w:r w:rsidRPr="004A5142">
        <w:t xml:space="preserve">Transplant recipients may experience weight gain after transplant contributing to the metabolic syndrome, diabetes and their sequelae. One factor may be the challenge in the transition from a focus on complex pre-transplant dietary restrictions to a healthy balanced diet post-transplantation. Individualised dietary information and counselling from a registered </w:t>
      </w:r>
      <w:r w:rsidRPr="004A5142">
        <w:lastRenderedPageBreak/>
        <w:t>dietitian or other health care professional with appropriate training, experience and adequate resources is recommended</w:t>
      </w:r>
      <w:r>
        <w:t xml:space="preserve"> </w:t>
      </w:r>
      <w:r>
        <w:fldChar w:fldCharType="begin"/>
      </w:r>
      <w:r w:rsidR="002D20B5">
        <w:instrText xml:space="preserve"> ADDIN ZOTERO_ITEM CSL_CITATION {"citationID":"tC49cXR0","properties":{"formattedCitation":"\\super 274\\nosupersub{}","plainCitation":"274","noteIndex":0},"citationItems":[{"id":19177,"uris":["http://zotero.org/users/3444308/items/CMQSH5AT"],"itemData":{"id":19177,"type":"report","abstract":"This guideline has been updated and replaced by the NICE guideline on overweight and obesity management (NG246)","language":"eng","publisher":"NICE","title":"Weight management: lifestyle services for overweight or obese adults","title-short":"Weight management","URL":"https://www.nice.org.uk/guidance/ph53","author":[{"literal":"National Institute for Health and Care Excellence"}],"accessed":{"date-parts":[["2025",10,25]]},"issued":{"date-parts":[["2014",5,28]]}}}],"schema":"https://github.com/citation-style-language/schema/raw/master/csl-citation.json"} </w:instrText>
      </w:r>
      <w:r>
        <w:fldChar w:fldCharType="separate"/>
      </w:r>
      <w:r w:rsidR="002D20B5" w:rsidRPr="002D20B5">
        <w:rPr>
          <w:rFonts w:ascii="Calibri" w:hAnsi="Calibri" w:cs="Calibri"/>
          <w:vertAlign w:val="superscript"/>
        </w:rPr>
        <w:t>274</w:t>
      </w:r>
      <w:r>
        <w:fldChar w:fldCharType="end"/>
      </w:r>
      <w:r w:rsidRPr="004A5142">
        <w:t xml:space="preserve">. </w:t>
      </w:r>
    </w:p>
    <w:p w14:paraId="77079D34" w14:textId="39C2ED9D" w:rsidR="00ED6CD4" w:rsidRPr="004A5142" w:rsidRDefault="00ED6CD4" w:rsidP="00D724D7">
      <w:r w:rsidRPr="004A5142">
        <w:t>Whilst metabolic syndrome and obesity have been associated with poorer graft outcomes, the overall impact o</w:t>
      </w:r>
      <w:r>
        <w:t>f</w:t>
      </w:r>
      <w:r w:rsidRPr="004A5142">
        <w:t xml:space="preserve"> obesity on patient and graft outcomes is less than might be expected </w:t>
      </w:r>
      <w:r>
        <w:fldChar w:fldCharType="begin"/>
      </w:r>
      <w:r w:rsidR="002D20B5">
        <w:instrText xml:space="preserve"> ADDIN ZOTERO_ITEM CSL_CITATION {"citationID":"sVxBHKJc","properties":{"formattedCitation":"\\super 275\\nosupersub{}","plainCitation":"275","noteIndex":0},"citationItems":[{"id":19176,"uris":["http://zotero.org/users/3444308/items/8ATQCDSR"],"itemData":{"id":19176,"type":"article-journal","abstract":"BACKGROUND: The potential protective effects of dietary fiber against all-cause mortality, cardiovascular mortality, and cardiovascular disease in patients with chronic kidney disease have not been definitively established. To verify this relationship, a systematic review and a meta-analysis were undertaken.\nMETHODS: PubMed, The Cochrane Library, Web of Science, Embase, ProQuest, and CINAHL were used to systematically search for prospective cohort studies that investigate the association between dietary fiber and all-cause mortality, cardiovascular mortality, and cardiovascular disease in individuals with chronic kidney disease (CKD). This search was conducted up to and including March 2023.\nRESULTS: The analysis included 10 cohort studies, with a total of 19,843 patients who were followed up for 1.5-10.1 y. The results indicated a significant negative correlation between dietary fiber and all-cause mortality among patients with CKD (HR 0.80, 95% CI 0.58-0.97,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Subgroup analysis further revealed that the study population and exposure factors were significantly associated with all-cause mortality (P</w:instrText>
      </w:r>
      <w:r w:rsidR="002D20B5">
        <w:rPr>
          <w:rFonts w:ascii="Arial" w:hAnsi="Arial" w:cs="Arial"/>
        </w:rPr>
        <w:instrText> </w:instrText>
      </w:r>
      <w:r w:rsidR="002D20B5">
        <w:instrText>&lt;</w:instrText>
      </w:r>
      <w:r w:rsidR="002D20B5">
        <w:rPr>
          <w:rFonts w:ascii="Arial" w:hAnsi="Arial" w:cs="Arial"/>
        </w:rPr>
        <w:instrText> </w:instrText>
      </w:r>
      <w:r w:rsidR="002D20B5">
        <w:instrText xml:space="preserve">0.001). Increased dietary fiber intake was associated with a reduced risk of cardiovascular mortality (HR 0.78; 95% CI 0.67-0.90) and a reduced incidence of cardiovascular disease (HR 0.87; 95% CI 0.80-0.95) among patients with CKD.\nCONCLUSIONS: The pooled results of our meta-analysis indicated an inverse association between dietary fiber intake and all-cause mortality, cardiovascular mortality, and cardiovascular disease.","container-title":"Journal of Nephrology","DOI":"10.1007/s40620-023-01808-4","ISSN":"1724-6059","issue":"1","journalAbbreviation":"J Nephrol","language":"eng","note":"PMID: 38165561\nPMCID: PMC10920433","page":"77-93","source":"PubMed","title":"Relationship between dietary fiber and all-cause mortality, cardiovascular mortality, and cardiovascular disease in patients with chronic kidney disease: a systematic review and meta-analysis","title-short":"Relationship between dietary fiber and all-cause mortality, cardiovascular mortality, and cardiovascular disease in patients with chronic kidney disease","volume":"37","author":[{"family":"Gai","given":"Wei"},{"family":"Lin","given":"Lihua"},{"family":"Wang","given":"Yuxuan"},{"family":"Bian","given":"Jia"},{"family":"Tao","given":"Yanling"}],"issued":{"date-parts":[["2024",1]]}}}],"schema":"https://github.com/citation-style-language/schema/raw/master/csl-citation.json"} </w:instrText>
      </w:r>
      <w:r>
        <w:fldChar w:fldCharType="separate"/>
      </w:r>
      <w:r w:rsidR="002D20B5" w:rsidRPr="002D20B5">
        <w:rPr>
          <w:rFonts w:ascii="Calibri" w:hAnsi="Calibri" w:cs="Calibri"/>
          <w:vertAlign w:val="superscript"/>
        </w:rPr>
        <w:t>275</w:t>
      </w:r>
      <w:r>
        <w:fldChar w:fldCharType="end"/>
      </w:r>
      <w:r w:rsidRPr="004A5142">
        <w:t>. However, as longer follow up data emerge from the general population regarding the association between obesity and cardiovascular disease and malignancy</w:t>
      </w:r>
      <w:r>
        <w:t xml:space="preserve"> </w:t>
      </w:r>
      <w:r>
        <w:fldChar w:fldCharType="begin"/>
      </w:r>
      <w:r w:rsidR="002D20B5">
        <w:instrText xml:space="preserve"> ADDIN ZOTERO_ITEM CSL_CITATION {"citationID":"XIfwsjND","properties":{"formattedCitation":"\\super 276\\nosupersub{}","plainCitation":"276","noteIndex":0},"citationItems":[{"id":19175,"uris":["http://zotero.org/users/3444308/items/NTQ5YS3X"],"itemData":{"id":19175,"type":"article-journal","abstract":"Post-transplant diabetes mellitus is associated with long-term immunosuppression and weight gain, and is related to an increased risk of cardiovascular disease, accelerated loss of graft and increased mortality. There is an absence of strong evidence-based dietary guidelines for the prevention and management of post-transplant diabetes mellitus in kidney transplant recipients. The aim of this study was to systematically review all dietary evidence for kidney transplant recipients on clinical outcomes relating to diabetes, patient-reported outcomes and economic outcomes. A comprehensive literature search was conducted in August 2020 using the databases Medline, Embase, CENTRAL and CINAHL. Studies were critically appraised using Cochrane risk of bias tools and GRADE. A total of 12 studies and 1928 participants were included. Four papers focused on diet and exercise, one paper on diet only, two papers on magnesium supplementation, one paper on magnesium and fibre intake, two papers on Mediterranean diet, one paper on marine n-3 fatty acid supplementation and one paper on fruit and vegetable intake. There were no significant effects on outcomes relating to dietary counselling, magnesium supplementation, magnesium and fibre intake or marine n-3 fatty acid supplementation. Low-quality evidence supports the Mediterranean diet in reducing the risk of post-transplant diabetes mellitus and fasting plasma glucose levels. Low-quality evidence suggests vegetable intake being associated with a lower risk of post-transplant diabetes mellitus. This review demonstrates limited evidence for dietary interventions in the prevention and management of diabetes in post-kidney transplantation. The findings suggest that further high-quality research with robust study designs is required.","container-title":"Nephrology (Carlton, Vic.)","DOI":"10.1111/nep.13982","ISSN":"1440-1797","issue":"3","journalAbbreviation":"Nephrology (Carlton)","language":"eng","note":"PMID: 34610191","page":"269-280","source":"PubMed","title":"Dietary interventions on the prevention and management of diabetes in post-kidney transplantation - A systematic review","volume":"27","author":[{"family":"Li","given":"Joanne"},{"family":"Chong","given":"Arian"},{"family":"Carey","given":"Sharon"}],"issued":{"date-parts":[["2022",3]]}}}],"schema":"https://github.com/citation-style-language/schema/raw/master/csl-citation.json"} </w:instrText>
      </w:r>
      <w:r>
        <w:fldChar w:fldCharType="separate"/>
      </w:r>
      <w:r w:rsidR="002D20B5" w:rsidRPr="002D20B5">
        <w:rPr>
          <w:rFonts w:ascii="Calibri" w:hAnsi="Calibri" w:cs="Calibri"/>
          <w:vertAlign w:val="superscript"/>
        </w:rPr>
        <w:t>276</w:t>
      </w:r>
      <w:r>
        <w:fldChar w:fldCharType="end"/>
      </w:r>
      <w:r w:rsidRPr="004A5142">
        <w:t xml:space="preserve"> it would seem prudent for KTRs to avoid obesity. We encourage an integrated, multicomponent (diet, activity, behaviour change), multidisciplinary, non-judgemental approach to the prevention and management of obesity as recommended by NICE</w:t>
      </w:r>
      <w:r>
        <w:t xml:space="preserve"> </w:t>
      </w:r>
      <w:r>
        <w:fldChar w:fldCharType="begin"/>
      </w:r>
      <w:r w:rsidR="002D20B5">
        <w:instrText xml:space="preserve"> ADDIN ZOTERO_ITEM CSL_CITATION {"citationID":"A7wXB1gU","properties":{"formattedCitation":"\\super 274,277\\nosupersub{}","plainCitation":"274,277","noteIndex":0},"citationItems":[{"id":19174,"uris":["http://zotero.org/users/3444308/items/YF9YSM3S"],"itemData":{"id":19174,"type":"webpage","abstract":"This guideline has been updated and replaced by the NICE guideline on overweight and obesity management (NG246)","language":"eng","note":"publisher: NICE","title":"Obesity: identification, assessment and management","title-short":"Obesity","URL":"https://www.nice.org.uk/guidance/cg189","author":[{"literal":"National Institute for Health and Care Excellence"}],"accessed":{"date-parts":[["2025",10,25]]},"issued":{"date-parts":[["2022",9]]}}},{"id":19177,"uris":["http://zotero.org/users/3444308/items/CMQSH5AT"],"itemData":{"id":19177,"type":"report","abstract":"This guideline has been updated and replaced by the NICE guideline on overweight and obesity management (NG246)","language":"eng","publisher":"NICE","title":"Weight management: lifestyle services for overweight or obese adults","title-short":"Weight management","URL":"https://www.nice.org.uk/guidance/ph53","author":[{"literal":"National Institute for Health and Care Excellence"}],"accessed":{"date-parts":[["2025",10,25]]},"issued":{"date-parts":[["2014",5,28]]}}}],"schema":"https://github.com/citation-style-language/schema/raw/master/csl-citation.json"} </w:instrText>
      </w:r>
      <w:r>
        <w:fldChar w:fldCharType="separate"/>
      </w:r>
      <w:r w:rsidR="002D20B5" w:rsidRPr="002D20B5">
        <w:rPr>
          <w:rFonts w:ascii="Calibri" w:hAnsi="Calibri" w:cs="Calibri"/>
          <w:vertAlign w:val="superscript"/>
        </w:rPr>
        <w:t>274,277</w:t>
      </w:r>
      <w:r>
        <w:fldChar w:fldCharType="end"/>
      </w:r>
      <w:r w:rsidRPr="004A5142">
        <w:t xml:space="preserve">. </w:t>
      </w:r>
    </w:p>
    <w:p w14:paraId="3CDA62F4" w14:textId="43E1FC19" w:rsidR="00ED6CD4" w:rsidRPr="004A5142" w:rsidRDefault="00ED6CD4" w:rsidP="00D724D7">
      <w:r w:rsidRPr="004A5142">
        <w:t>Weight targets should be individualised and set in discussion with the patient, accounting for variations in muscle mass, ethnic/genetic variation in fat distribution and cardio metabolic risk, fluid retention and other factors such as polycystic organs</w:t>
      </w:r>
      <w:r>
        <w:t xml:space="preserve"> </w:t>
      </w:r>
      <w:r>
        <w:fldChar w:fldCharType="begin"/>
      </w:r>
      <w:r w:rsidR="002D20B5">
        <w:instrText xml:space="preserve"> ADDIN ZOTERO_ITEM CSL_CITATION {"citationID":"NMKLNpJW","properties":{"formattedCitation":"\\super 277\\nosupersub{}","plainCitation":"277","noteIndex":0},"citationItems":[{"id":19174,"uris":["http://zotero.org/users/3444308/items/YF9YSM3S"],"itemData":{"id":19174,"type":"webpage","abstract":"This guideline has been updated and replaced by the NICE guideline on overweight and obesity management (NG246)","language":"eng","note":"publisher: NICE","title":"Obesity: identification, assessment and management","title-short":"Obesity","URL":"https://www.nice.org.uk/guidance/cg189","author":[{"literal":"National Institute for Health and Care Excellence"}],"accessed":{"date-parts":[["2025",10,25]]},"issued":{"date-parts":[["2022",9]]}}}],"schema":"https://github.com/citation-style-language/schema/raw/master/csl-citation.json"} </w:instrText>
      </w:r>
      <w:r>
        <w:fldChar w:fldCharType="separate"/>
      </w:r>
      <w:r w:rsidR="002D20B5" w:rsidRPr="002D20B5">
        <w:rPr>
          <w:rFonts w:ascii="Calibri" w:hAnsi="Calibri" w:cs="Calibri"/>
          <w:vertAlign w:val="superscript"/>
        </w:rPr>
        <w:t>277</w:t>
      </w:r>
      <w:r>
        <w:fldChar w:fldCharType="end"/>
      </w:r>
      <w:r w:rsidRPr="004A5142">
        <w:t>. Where applicable, oedema-free weight should be used to calculate BMI and documented along with the measured body weight for accurate assessment and monitoring. Height should be measured or estimated in standardised way and documented in health records.</w:t>
      </w:r>
    </w:p>
    <w:p w14:paraId="72072FB2" w14:textId="4EBE63D9" w:rsidR="00ED6CD4" w:rsidRPr="004A5142" w:rsidRDefault="00ED6CD4" w:rsidP="00D724D7">
      <w:r w:rsidRPr="004A5142">
        <w:t>Pharmacological intervention for obesity has not been assessed in a clinical trial in KTR and may interfere with the metabolism and absorption of immunosuppressive agents</w:t>
      </w:r>
      <w:r>
        <w:t xml:space="preserve"> </w:t>
      </w:r>
      <w:r>
        <w:fldChar w:fldCharType="begin"/>
      </w:r>
      <w:r w:rsidR="002D20B5">
        <w:instrText xml:space="preserve"> ADDIN ZOTERO_ITEM CSL_CITATION {"citationID":"iPLRJlR3","properties":{"formattedCitation":"\\super 278\\nosupersub{}","plainCitation":"278","noteIndex":0},"citationItems":[{"id":19173,"uris":["http://zotero.org/users/3444308/items/76D8D7ZX"],"itemData":{"id":19173,"type":"report","language":"en-GB","title":"UK GUIDELINE FOR THE MANAGEMENT OF THE PATIENT WITH A FAILING KIDNEY TRANSPLANT","URL":"https://bts.org.uk/uk-guideline-for-the-management-of-the-patient-with-a-failing-kidney-transplant/","author":[{"literal":"British Transplantation Society"}],"accessed":{"date-parts":[["2025",10,25]]},"issued":{"date-parts":[["2023",6,16]]}}}],"schema":"https://github.com/citation-style-language/schema/raw/master/csl-citation.json"} </w:instrText>
      </w:r>
      <w:r>
        <w:fldChar w:fldCharType="separate"/>
      </w:r>
      <w:r w:rsidR="002D20B5" w:rsidRPr="002D20B5">
        <w:rPr>
          <w:rFonts w:ascii="Calibri" w:hAnsi="Calibri" w:cs="Calibri"/>
          <w:vertAlign w:val="superscript"/>
        </w:rPr>
        <w:t>278</w:t>
      </w:r>
      <w:r>
        <w:fldChar w:fldCharType="end"/>
      </w:r>
      <w:r w:rsidRPr="004A5142">
        <w:t xml:space="preserve">. Bariatric surgery is similarly unproven in this population and likely to have a higher incidence of side effects and potential interactions. Dose reduction or withdrawal of corticosteroids helps weight </w:t>
      </w:r>
      <w:proofErr w:type="gramStart"/>
      <w:r w:rsidRPr="004A5142">
        <w:t>loss</w:t>
      </w:r>
      <w:proofErr w:type="gramEnd"/>
      <w:r w:rsidRPr="004A5142">
        <w:t xml:space="preserve"> but more intensive monitoring is essential around the time of dose changes. </w:t>
      </w:r>
    </w:p>
    <w:p w14:paraId="4328B161" w14:textId="253C663B" w:rsidR="00ED6CD4" w:rsidRPr="004A5142" w:rsidRDefault="00ED6CD4" w:rsidP="00D724D7">
      <w:r w:rsidRPr="004A5142">
        <w:t>It is reasonable to assume that evidence of healthy diet patterns and dietary fibre intake on cardiovascular risk reduction in the general population and people with CKD will apply</w:t>
      </w:r>
      <w:r>
        <w:t xml:space="preserve"> </w:t>
      </w:r>
      <w:r>
        <w:fldChar w:fldCharType="begin"/>
      </w:r>
      <w:r w:rsidR="002D20B5">
        <w:instrText xml:space="preserve"> ADDIN ZOTERO_ITEM CSL_CITATION {"citationID":"Fpus75b3","properties":{"formattedCitation":"\\super 275\\nosupersub{}","plainCitation":"275","noteIndex":0},"citationItems":[{"id":19176,"uris":["http://zotero.org/users/3444308/items/8ATQCDSR"],"itemData":{"id":19176,"type":"article-journal","abstract":"BACKGROUND: The potential protective effects of dietary fiber against all-cause mortality, cardiovascular mortality, and cardiovascular disease in patients with chronic kidney disease have not been definitively established. To verify this relationship, a systematic review and a meta-analysis were undertaken.\nMETHODS: PubMed, The Cochrane Library, Web of Science, Embase, ProQuest, and CINAHL were used to systematically search for prospective cohort studies that investigate the association between dietary fiber and all-cause mortality, cardiovascular mortality, and cardiovascular disease in individuals with chronic kidney disease (CKD). This search was conducted up to and including March 2023.\nRESULTS: The analysis included 10 cohort studies, with a total of 19,843 patients who were followed up for 1.5-10.1 y. The results indicated a significant negative correlation between dietary fiber and all-cause mortality among patients with CKD (HR 0.80, 95% CI 0.58-0.97,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Subgroup analysis further revealed that the study population and exposure factors were significantly associated with all-cause mortality (P</w:instrText>
      </w:r>
      <w:r w:rsidR="002D20B5">
        <w:rPr>
          <w:rFonts w:ascii="Arial" w:hAnsi="Arial" w:cs="Arial"/>
        </w:rPr>
        <w:instrText> </w:instrText>
      </w:r>
      <w:r w:rsidR="002D20B5">
        <w:instrText>&lt;</w:instrText>
      </w:r>
      <w:r w:rsidR="002D20B5">
        <w:rPr>
          <w:rFonts w:ascii="Arial" w:hAnsi="Arial" w:cs="Arial"/>
        </w:rPr>
        <w:instrText> </w:instrText>
      </w:r>
      <w:r w:rsidR="002D20B5">
        <w:instrText xml:space="preserve">0.001). Increased dietary fiber intake was associated with a reduced risk of cardiovascular mortality (HR 0.78; 95% CI 0.67-0.90) and a reduced incidence of cardiovascular disease (HR 0.87; 95% CI 0.80-0.95) among patients with CKD.\nCONCLUSIONS: The pooled results of our meta-analysis indicated an inverse association between dietary fiber intake and all-cause mortality, cardiovascular mortality, and cardiovascular disease.","container-title":"Journal of Nephrology","DOI":"10.1007/s40620-023-01808-4","ISSN":"1724-6059","issue":"1","journalAbbreviation":"J Nephrol","language":"eng","note":"PMID: 38165561\nPMCID: PMC10920433","page":"77-93","source":"PubMed","title":"Relationship between dietary fiber and all-cause mortality, cardiovascular mortality, and cardiovascular disease in patients with chronic kidney disease: a systematic review and meta-analysis","title-short":"Relationship between dietary fiber and all-cause mortality, cardiovascular mortality, and cardiovascular disease in patients with chronic kidney disease","volume":"37","author":[{"family":"Gai","given":"Wei"},{"family":"Lin","given":"Lihua"},{"family":"Wang","given":"Yuxuan"},{"family":"Bian","given":"Jia"},{"family":"Tao","given":"Yanling"}],"issued":{"date-parts":[["2024",1]]}}}],"schema":"https://github.com/citation-style-language/schema/raw/master/csl-citation.json"} </w:instrText>
      </w:r>
      <w:r>
        <w:fldChar w:fldCharType="separate"/>
      </w:r>
      <w:r w:rsidR="002D20B5" w:rsidRPr="002D20B5">
        <w:rPr>
          <w:rFonts w:ascii="Calibri" w:hAnsi="Calibri" w:cs="Calibri"/>
          <w:vertAlign w:val="superscript"/>
        </w:rPr>
        <w:t>275</w:t>
      </w:r>
      <w:r>
        <w:fldChar w:fldCharType="end"/>
      </w:r>
      <w:r w:rsidRPr="004A5142">
        <w:t>. Diets that are rich in fruit, vegetables, whole grains, legumes, seeds, nuts, fish, and dairy and low in meat are encouraged. Intakes of trans fats, refined carbohydrates, salt, processed meats, sweetened beverages and highly processed foods are discouraged.</w:t>
      </w:r>
      <w:r>
        <w:t xml:space="preserve"> </w:t>
      </w:r>
      <w:r w:rsidRPr="004A5142">
        <w:t>Some dietary factors, including DASH, Mediterranean, moderate protein, and low-sodium diet, as well as antioxidants, may be associated with improved survival and kidney function in KTRs</w:t>
      </w:r>
      <w:r>
        <w:t xml:space="preserve"> </w:t>
      </w:r>
      <w:r>
        <w:fldChar w:fldCharType="begin"/>
      </w:r>
      <w:r w:rsidR="002D20B5">
        <w:instrText xml:space="preserve"> ADDIN ZOTERO_ITEM CSL_CITATION {"citationID":"3oVES1Si","properties":{"formattedCitation":"\\super 279\\nosupersub{}","plainCitation":"279","noteIndex":0},"citationItems":[{"id":19172,"uris":["http://zotero.org/users/3444308/items/Z35RYN35"],"itemData":{"id":19172,"type":"article-journal","abstract":"Background:Currently, there is no accounted-for consensus and practical standard when counseling diet modification for kidney transplant recipients (KTRs). There are many differences between transplant centers regarding what KTRs are needed to follow a diet, what dietary factors and supplements are allowed, and how long KTRs should follow a modified diet. Relatively few scatter data are available for dietary factors in KTRs. Thus, we aimed to systematically review the literature on the purported dietary factors for kidney function.Methods:A systematic literature search was performed between February and March 2022 and updated in February 2023 using PubMed, Scopus, Web of Science, and Google Scholar. We included human observational and interventional studies that evaluated a dietary factor on kidney function and graft survival in KTRs. Data were extracted, and the risk of bias was assessed using established tools relevant to the study design.Results:Of the 5341 citations retrieved, seven prospective cohorts, five cross-sectional, seventeen randomized, and ten non-randomized clinical trials were included that evaluated seven purported dietary factors. Almost half of the studies (n = 22; 56%) were classified as having a low degree of bias and sufficient support. Twenty-one studies (54%) reported a positive effect on KTRs. DASH and Mediterranean diets decreased graft failure, low-sodium diet reduced blood pressure, and antioxidants improved creatinine, GFR, and graft function. Of these, only twelve studies (31%) were at low risk of bias.Conclusion:Some dietary factors, including DASH, Mediterranean, moderate protein, and low-- sodium diet, as well as antioxidants, may be associated with improved survival and kidney function in KTRs. However, more research is needed.","container-title":"Current Medicinal Chemistry","DOI":"10.2174/0929867330666230515140454","ISSN":"1875-533X","issue":"35","language":"en","license":"Bentham Science Publishers, 2024","page":"5818-5836","source":"rjraap.com","title":"Current Evidence on Dietary Factors and Kidney Allograft Function in Kidney Transplant Recipients: A Systematic Review","title-short":"Current Evidence on Dietary Factors and Kidney Allograft Function in Kidney Transplant Recipients","volume":"31","author":[{"family":"Nosrati-Oskouie","given":"Mohammad"},{"family":"Salavatizadeh","given":"Marieh"},{"family":"Sabbagh","given":"Mahin Ghorban"},{"family":"Aghili-Moghaddam","given":"Nazanin"},{"family":"Tarighat-Esfanjani","given":"Ali"},{"family":"Sahebkar","given":"Amirhossein"}],"issued":{"date-parts":[["2024",1,1]]}}}],"schema":"https://github.com/citation-style-language/schema/raw/master/csl-citation.json"} </w:instrText>
      </w:r>
      <w:r>
        <w:fldChar w:fldCharType="separate"/>
      </w:r>
      <w:r w:rsidR="002D20B5" w:rsidRPr="002D20B5">
        <w:rPr>
          <w:rFonts w:ascii="Calibri" w:hAnsi="Calibri" w:cs="Calibri"/>
          <w:vertAlign w:val="superscript"/>
        </w:rPr>
        <w:t>279</w:t>
      </w:r>
      <w:r>
        <w:fldChar w:fldCharType="end"/>
      </w:r>
      <w:r>
        <w:t>.</w:t>
      </w:r>
    </w:p>
    <w:p w14:paraId="0B299D46" w14:textId="3A24732E" w:rsidR="00ED6CD4" w:rsidRPr="004A5142" w:rsidRDefault="00ED6CD4" w:rsidP="00D724D7">
      <w:r w:rsidRPr="004A5142">
        <w:t>Evidence suggests cardiovascular benefits from nutrition interventions that focus on dietary quality and Mediterranean diet and a diet with high n-3 polyunsaturated fatty acids</w:t>
      </w:r>
      <w:r w:rsidR="00C13C4F">
        <w:t xml:space="preserve"> </w:t>
      </w:r>
      <w:r w:rsidR="00354A05">
        <w:fldChar w:fldCharType="begin"/>
      </w:r>
      <w:r w:rsidR="002D20B5">
        <w:instrText xml:space="preserve"> ADDIN ZOTERO_ITEM CSL_CITATION {"citationID":"m2DZQYui","properties":{"formattedCitation":"\\super 280\\nosupersub{}","plainCitation":"280","noteIndex":0},"citationItems":[{"id":19985,"uris":["http://zotero.org/users/3444308/items/ELWMLJHX"],"itemData":{"id":19985,"type":"article-journal","container-title":"The Lancet","DOI":"10.1016/S0140-6736(22)00122-2","ISSN":"0140-6736, 1474-547X","issue":"10338","journalAbbreviation":"The Lancet","language":"English","note":"publisher: Elsevier","page":"1876-1885","source":"www.thelancet.com","title":"Long-term secondary prevention of cardiovascular disease with a Mediterranean diet and a low-fat diet (CORDIOPREV): a randomised controlled trial","title-short":"Long-term secondary prevention of cardiovascular disease with a Mediterranean diet and a low-fat diet (CORDIOPREV)","volume":"399","author":[{"family":"Delgado-Lista","given":"Javier"},{"family":"Alcala-Diaz","given":"Juan F."},{"family":"Torres-Peña","given":"Jose D."},{"family":"Quintana-Navarro","given":"Gracia M."},{"family":"Fuentes","given":"Francisco"},{"family":"Garcia-Rios","given":"Antonio"},{"family":"Ortiz-Morales","given":"Ana M."},{"family":"Gonzalez-Requero","given":"Ana I."},{"family":"Perez-Caballero","given":"Ana I."},{"family":"Yubero-Serrano","given":"Elena M."},{"family":"Rangel-Zuñiga","given":"Oriol A."},{"family":"Camargo","given":"Antonio"},{"family":"Rodriguez-Cantalejo","given":"Fernando"},{"family":"Lopez-Segura","given":"Fernando"},{"family":"Badimon","given":"Lina"},{"family":"Ordovas","given":"Jose M."},{"family":"Perez-Jimenez","given":"Francisco"},{"family":"Perez-Martinez","given":"Pablo"},{"family":"Lopez-Miranda","given":"Jose"},{"family":"Alcala-Diaz","given":"Juan F."},{"family":"Peña","given":"Yolanda Almaden"},{"family":"Aranda","given":"Enrique"},{"family":"Larriva","given":"Antonio P. Arenas","dropping-particle":"de"},{"family":"Badimon","given":"Lina"},{"family":"Badimon","given":"Juan J."},{"family":"Blanco-Molina","given":"Angeles"},{"family":"Blanco-Rojo","given":"Ruth"},{"family":"Bolivar-Muñoz","given":"Julia"},{"family":"Caballero-Villarraso","given":"Javier"},{"family":"Camargo","given":"Antonio"},{"family":"Chica","given":"Javier"},{"family":"Corina","given":"Andreea"},{"family":"Criado-Garcia","given":"Juan"},{"family":"Cruz-Teno","given":"Cristina"},{"family":"Daponte-Codina","given":"Antonio"},{"family":"Galvan","given":"Eduardo de Teresa"},{"family":"Delgado-Casado","given":"Nieves"},{"family":"Delgado-Lista","given":"Javier"},{"family":"Estruch","given":"Ramon"},{"family":"Fernandez","given":"Juan M."},{"family":"Fernandez-Gandara","given":"Carolina"},{"family":"Fuentes-Jimenez","given":"Francisco"},{"family":"Fernandez-Pacheco","given":"Sonia Garcia-Carpintero"},{"family":"Garcia-Rios","given":"Antonio"},{"family":"Gomez-Delgado","given":"Francisco"},{"family":"Gomez-Garduño","given":"Angela"},{"family":"Gomez-Luna","given":"Purificacion"},{"family":"Gomez-Luna","given":"Maria J."},{"family":"Gonzalez-Guardia","given":"Lorena"},{"family":"Gonzalez-Requero","given":"Ana I."},{"family":"Gutierrez-Mariscal","given":"Francisco M."},{"family":"Haro-Mariscal","given":"Carmen M."},{"family":"Jimenez-Lucena","given":"Rosa"},{"family":"Jimenez-Morales","given":"Ana I."},{"family":"Leon-Acuña","given":"Ana"},{"family":"Lopez-Miranda","given":"Jose"},{"family":"Lopez-Segura","given":"Fernando"},{"family":"Marin-Hinojosa","given":"Carmen"},{"family":"Alvarez","given":"Maria E. Meneses"},{"family":"Mesa-Luna","given":"Dolores"},{"family":"Moya-Garrido","given":"Maria N."},{"family":"Muñoz-Carvajal","given":"Ignacio"},{"family":"Navarro-Martos","given":"Vanessa"},{"family":"Ochoa","given":"Juan J."},{"family":"Ordovas","given":"Jose M."},{"family":"Ortiz-Minuesa","given":"Juan A."},{"family":"Ortiz-Morales","given":"Ana M."},{"family":"Pan","given":"Manuel"},{"family":"Peña-Orihuela","given":"Patricia"},{"family":"Perez-Caballero","given":"Ana I."},{"family":"Perez-Corral","given":"Isabel"},{"family":"Perez-Jimenez","given":"Francisco"},{"family":"Perez-Martinez","given":"Pablo"},{"family":"Pi-Sunyer","given":"Francesc X."},{"family":"Quintana-Navarro","given":"Gracia M."},{"family":"Ramirez-Lara","given":"Irene"},{"family":"Rangel-Zuñiga","given":"Oriol A."},{"family":"Rodriguez-Artalejo","given":"Fernando"},{"family":"Rodriguez-Cantalejo","given":"Fernando"},{"family":"Romero","given":"Miguel A."},{"family":"Roncero-Ramos","given":"Irene"},{"family":"Ruano-Ruiz","given":"Juan A."},{"family":"Castroviejo","given":"Joaquin Ruiz","dropping-particle":"de"},{"family":"Sanchez-Villegas","given":"Pablo"},{"family":"Lezo","given":"Jose Suarez","dropping-particle":"de"},{"family":"Lezo","given":"Javier Suarez","dropping-particle":"de"},{"family":"Torres-Peña","given":"Jose D."},{"family":"Vals-Delgado","given":"Cristina"},{"family":"Valverde","given":"Roberto"},{"family":"Visioli","given":"Francisco"},{"family":"Yubero-Serrano","given":"Elena M."}],"issued":{"date-parts":[["2022",5,14]]}}}],"schema":"https://github.com/citation-style-language/schema/raw/master/csl-citation.json"} </w:instrText>
      </w:r>
      <w:r w:rsidR="00354A05">
        <w:fldChar w:fldCharType="separate"/>
      </w:r>
      <w:r w:rsidR="002D20B5" w:rsidRPr="002D20B5">
        <w:rPr>
          <w:rFonts w:ascii="Aptos" w:hAnsi="Aptos" w:cs="Times New Roman"/>
          <w:vertAlign w:val="superscript"/>
        </w:rPr>
        <w:t>280</w:t>
      </w:r>
      <w:r w:rsidR="00354A05">
        <w:fldChar w:fldCharType="end"/>
      </w:r>
      <w:r w:rsidRPr="004A5142">
        <w:t xml:space="preserve">. </w:t>
      </w:r>
    </w:p>
    <w:p w14:paraId="0470BE06" w14:textId="0013BDA0" w:rsidR="00ED6CD4" w:rsidRPr="004A5142" w:rsidRDefault="00ED6CD4" w:rsidP="00D724D7">
      <w:r w:rsidRPr="004A5142">
        <w:t xml:space="preserve">In </w:t>
      </w:r>
      <w:r w:rsidR="00C61175" w:rsidRPr="004A5142">
        <w:t>post-transplant</w:t>
      </w:r>
      <w:r w:rsidRPr="004A5142">
        <w:t xml:space="preserve"> patients with diabetes, A recent systematic review reported low-quality evidence for the Mediterranean diet in reducing the risk of post-transplant diabetes mellitus and fasting plasma glucose levels</w:t>
      </w:r>
      <w:r>
        <w:t xml:space="preserve"> </w:t>
      </w:r>
      <w:r>
        <w:fldChar w:fldCharType="begin"/>
      </w:r>
      <w:r w:rsidR="002D20B5">
        <w:instrText xml:space="preserve"> ADDIN ZOTERO_ITEM CSL_CITATION {"citationID":"ikNpAvo3","properties":{"formattedCitation":"\\super 276\\nosupersub{}","plainCitation":"276","noteIndex":0},"citationItems":[{"id":19175,"uris":["http://zotero.org/users/3444308/items/NTQ5YS3X"],"itemData":{"id":19175,"type":"article-journal","abstract":"Post-transplant diabetes mellitus is associated with long-term immunosuppression and weight gain, and is related to an increased risk of cardiovascular disease, accelerated loss of graft and increased mortality. There is an absence of strong evidence-based dietary guidelines for the prevention and management of post-transplant diabetes mellitus in kidney transplant recipients. The aim of this study was to systematically review all dietary evidence for kidney transplant recipients on clinical outcomes relating to diabetes, patient-reported outcomes and economic outcomes. A comprehensive literature search was conducted in August 2020 using the databases Medline, Embase, CENTRAL and CINAHL. Studies were critically appraised using Cochrane risk of bias tools and GRADE. A total of 12 studies and 1928 participants were included. Four papers focused on diet and exercise, one paper on diet only, two papers on magnesium supplementation, one paper on magnesium and fibre intake, two papers on Mediterranean diet, one paper on marine n-3 fatty acid supplementation and one paper on fruit and vegetable intake. There were no significant effects on outcomes relating to dietary counselling, magnesium supplementation, magnesium and fibre intake or marine n-3 fatty acid supplementation. Low-quality evidence supports the Mediterranean diet in reducing the risk of post-transplant diabetes mellitus and fasting plasma glucose levels. Low-quality evidence suggests vegetable intake being associated with a lower risk of post-transplant diabetes mellitus. This review demonstrates limited evidence for dietary interventions in the prevention and management of diabetes in post-kidney transplantation. The findings suggest that further high-quality research with robust study designs is required.","container-title":"Nephrology (Carlton, Vic.)","DOI":"10.1111/nep.13982","ISSN":"1440-1797","issue":"3","journalAbbreviation":"Nephrology (Carlton)","language":"eng","note":"PMID: 34610191","page":"269-280","source":"PubMed","title":"Dietary interventions on the prevention and management of diabetes in post-kidney transplantation - A systematic review","volume":"27","author":[{"family":"Li","given":"Joanne"},{"family":"Chong","given":"Arian"},{"family":"Carey","given":"Sharon"}],"issued":{"date-parts":[["2022",3]]}}}],"schema":"https://github.com/citation-style-language/schema/raw/master/csl-citation.json"} </w:instrText>
      </w:r>
      <w:r>
        <w:fldChar w:fldCharType="separate"/>
      </w:r>
      <w:r w:rsidR="002D20B5" w:rsidRPr="002D20B5">
        <w:rPr>
          <w:rFonts w:ascii="Calibri" w:hAnsi="Calibri" w:cs="Calibri"/>
          <w:vertAlign w:val="superscript"/>
        </w:rPr>
        <w:t>276</w:t>
      </w:r>
      <w:r>
        <w:fldChar w:fldCharType="end"/>
      </w:r>
      <w:r w:rsidRPr="004A5142">
        <w:t xml:space="preserve">. Low-quality evidence associated vegetable intake with a lower risk of post-transplant diabetes mellitus. </w:t>
      </w:r>
    </w:p>
    <w:p w14:paraId="7001F168" w14:textId="7D6D8AD0" w:rsidR="00ED6CD4" w:rsidRPr="00D724D7" w:rsidRDefault="00ED6CD4" w:rsidP="00D724D7">
      <w:r w:rsidRPr="004A5142">
        <w:t xml:space="preserve">In post-transplant patients with hypertension, </w:t>
      </w:r>
      <w:r>
        <w:t>a</w:t>
      </w:r>
      <w:r w:rsidRPr="004A5142">
        <w:t xml:space="preserve"> salt intake of &lt;6g per day is recommended</w:t>
      </w:r>
      <w:r>
        <w:t xml:space="preserve"> </w:t>
      </w:r>
      <w:r>
        <w:fldChar w:fldCharType="begin"/>
      </w:r>
      <w:r w:rsidR="002D20B5">
        <w:instrText xml:space="preserve"> ADDIN ZOTERO_ITEM CSL_CITATION {"citationID":"u4CMLYpz","properties":{"formattedCitation":"\\super 278,281\\nosupersub{}","plainCitation":"278,281","noteIndex":0},"citationItems":[{"id":19173,"uris":["http://zotero.org/users/3444308/items/76D8D7ZX"],"itemData":{"id":19173,"type":"report","language":"en-GB","title":"UK GUIDELINE FOR THE MANAGEMENT OF THE PATIENT WITH A FAILING KIDNEY TRANSPLANT","URL":"https://bts.org.uk/uk-guideline-for-the-management-of-the-patient-with-a-failing-kidney-transplant/","author":[{"literal":"British Transplantation Society"}],"accessed":{"date-parts":[["2025",10,25]]},"issued":{"date-parts":[["2023",6,16]]}}},{"id":19171,"uris":["http://zotero.org/users/3444308/items/76V3J9PJ"],"itemData":{"id":19171,"type":"article-journal","abstract":"BACKGROUND: Evidence indicates that reducing dietary salt may reduce the incidence of heart disease and delay decline in kidney function in people with chronic kidney disease (CKD). This is an update of a review first published in 2015.\nOBJECTIVES: To evaluate the benefits and harms of altering dietary salt for adults with CKD.\nSEARCH METHODS: We searched the Cochrane Kidney and Transplant Register of Studies up to 6 October 2020 through contact with the Information Specialist using search terms relevant to this review. Studies in the Register are identified through searches of CENTRAL, MEDLINE, and EMBASE, conference proceedings, the International Clinical Trials Register (ICTRP) Search Portal and ClinicalTrials.gov.\nSELECTION CRITERIA: Randomised controlled trials comparing two or more levels of salt intake in adults with any stage of CKD.\nDATA COLLECTION AND ANALYSIS: Two authors independently assessed studies for eligibility, conducted risk of bias evaluation and evaluated confidence in the evidence using GRADE. Results were summarised using random effects models as risk ratios (RR) for dichotomous outcomes or mean differences (MD) for continuous outcomes, with 95% confidence intervals (CI).\nMAIN RESULTS: We included 21 studies (1197 randomised participants), 12 in the earlier stages of CKD (779 randomised participants), seven in dialysis (363 randomised participants) and two in post-transplant (55 randomised participants). Selection bias was low in seven studies, high in one and unclear in 13. Performance and detection biases were low in four studies, high in two, and unclear in 15. Attrition and reporting biases were low in 10 studies, high in three and unclear in eight. Because duration of the included studies was too short (1 to 36 weeks) to test the effect of salt restriction on endpoints such as death, cardiovascular events or CKD progression, changes in salt intake on blood pressure and other secondary risk factors were examined. Reducing salt by mean -73.51 mmol/day (95% CI -92.76 to -54.27), equivalent to 4.2 g or 1690 mg sodium/day, reduced systolic/diastolic blood pressure by -6.91/-3.91 mm Hg (95% CI -8.82 to -4.99/-4.80 to -3.02; 19 studies, 1405 participants; high certainty evidence). Albuminuria was reduced by 36% (95% CI 26 to 44) in six studies, five of which were carried out in people in the earlier stages of CKD (MD -0.44, 95% CI -0.58 to -0.30; 501 participants; high certainty evidence). The evidence is very uncertain about the effect of lower salt intake on weight, as the weight change observed (-1.32 kg, 95% CI -1.94 to -0.70; 12 studies, 759 participants) may have been due to fluid volume, lean tissue, or body fat. Lower salt intake may reduce extracellular fluid volume in the earlier stages of CKD (-0.87 L, 95% CI -1.17 to -0.58; 3 studies; 187 participants; low certainty evidence). The evidence is very uncertain about the effect of lower salt intake on reduction in antihypertensive dose (RR 2.45, 95% CI 0.98 to 6.08; 8 studies; 754 participants). Lower salt intake may lead to  symptomatic hypotension (RR 6.70, 95% CI 2.40 to 18.69; 6 studies; 678 participants; moderate certainty evidence). Data were sparse for other types of adverse events.\nAUTHORS' CONCLUSIONS: We found high certainty evidence that salt reduction reduced blood pressure in people with CKD, and albuminuria in people with earlier stage CKD in the short-term. If such reductions could be maintained long-term, this effect may translate to clinically significant reductions in CKD progression and cardiovascular events. Research into the long-term effects of sodium-restricted diet for people with CKD is warranted.","container-title":"The Cochrane Database of Systematic Reviews","DOI":"10.1002/14651858.CD010070.pub3","ISSN":"1469-493X","issue":"6","journalAbbreviation":"Cochrane Database Syst Rev","language":"eng","note":"PMID: 34164803\nPMCID: PMC8222708","page":"CD010070","source":"PubMed","title":"Altered dietary salt intake for people with chronic kidney disease","volume":"6","author":[{"family":"McMahon","given":"Emma J."},{"family":"Campbell","given":"Katrina L."},{"family":"Bauer","given":"Judith D."},{"family":"Mudge","given":"David W."},{"family":"Kelly","given":"Jaimon T."}],"issued":{"date-parts":[["2021",6,24]]}}}],"schema":"https://github.com/citation-style-language/schema/raw/master/csl-citation.json"} </w:instrText>
      </w:r>
      <w:r>
        <w:fldChar w:fldCharType="separate"/>
      </w:r>
      <w:r w:rsidR="002D20B5" w:rsidRPr="002D20B5">
        <w:rPr>
          <w:rFonts w:ascii="Calibri" w:hAnsi="Calibri" w:cs="Calibri"/>
          <w:vertAlign w:val="superscript"/>
        </w:rPr>
        <w:t>278,281</w:t>
      </w:r>
      <w:r>
        <w:fldChar w:fldCharType="end"/>
      </w:r>
      <w:r w:rsidRPr="004A5142">
        <w:t>. There is high certainty evidence that salt reduction reduced blood pressure in people with CKD, and albuminuria in people with earlier stage CKD in the short</w:t>
      </w:r>
      <w:r w:rsidRPr="004A5142">
        <w:rPr>
          <w:rFonts w:ascii="Cambria Math" w:hAnsi="Cambria Math" w:cs="Cambria Math"/>
        </w:rPr>
        <w:t>‐</w:t>
      </w:r>
      <w:r w:rsidRPr="004A5142">
        <w:t xml:space="preserve">term. Long-term </w:t>
      </w:r>
      <w:r w:rsidRPr="004A5142">
        <w:lastRenderedPageBreak/>
        <w:t xml:space="preserve">maintenance may reduce CKD progression and cardiovascular events. The British Transplant Society recommend &lt;6g salt per day for KTR with poor/reducing graft function </w:t>
      </w:r>
      <w:r>
        <w:fldChar w:fldCharType="begin"/>
      </w:r>
      <w:r w:rsidR="002D20B5">
        <w:instrText xml:space="preserve"> ADDIN ZOTERO_ITEM CSL_CITATION {"citationID":"0fBpUe4i","properties":{"formattedCitation":"\\super 278\\nosupersub{}","plainCitation":"278","noteIndex":0},"citationItems":[{"id":19173,"uris":["http://zotero.org/users/3444308/items/76D8D7ZX"],"itemData":{"id":19173,"type":"report","language":"en-GB","title":"UK GUIDELINE FOR THE MANAGEMENT OF THE PATIENT WITH A FAILING KIDNEY TRANSPLANT","URL":"https://bts.org.uk/uk-guideline-for-the-management-of-the-patient-with-a-failing-kidney-transplant/","author":[{"literal":"British Transplantation Society"}],"accessed":{"date-parts":[["2025",10,25]]},"issued":{"date-parts":[["2023",6,16]]}}}],"schema":"https://github.com/citation-style-language/schema/raw/master/csl-citation.json"} </w:instrText>
      </w:r>
      <w:r>
        <w:fldChar w:fldCharType="separate"/>
      </w:r>
      <w:r w:rsidR="002D20B5" w:rsidRPr="002D20B5">
        <w:rPr>
          <w:rFonts w:ascii="Calibri" w:hAnsi="Calibri" w:cs="Calibri"/>
          <w:vertAlign w:val="superscript"/>
        </w:rPr>
        <w:t>278</w:t>
      </w:r>
      <w:r>
        <w:fldChar w:fldCharType="end"/>
      </w:r>
      <w:r>
        <w:t>.</w:t>
      </w:r>
    </w:p>
    <w:p w14:paraId="5F011381" w14:textId="106C6E3B" w:rsidR="00ED6CD4" w:rsidRPr="00524CA4" w:rsidRDefault="009F5881" w:rsidP="009F5881">
      <w:pPr>
        <w:pStyle w:val="GuidelineUpperHeadings"/>
      </w:pPr>
      <w:bookmarkStart w:id="29" w:name="_Toc213749039"/>
      <w:r>
        <w:t xml:space="preserve">6. </w:t>
      </w:r>
      <w:r w:rsidR="009B0CA8" w:rsidRPr="00306FF4">
        <w:t xml:space="preserve">Kidney Transplant Recipient (KTR): </w:t>
      </w:r>
      <w:r w:rsidRPr="009F5881">
        <w:t>Neoplasia</w:t>
      </w:r>
      <w:bookmarkEnd w:id="29"/>
    </w:p>
    <w:p w14:paraId="47561F38" w14:textId="77777777" w:rsidR="00ED6CD4" w:rsidRPr="004A5142" w:rsidRDefault="00ED6CD4" w:rsidP="00ED6CD4">
      <w:pPr>
        <w:autoSpaceDE w:val="0"/>
        <w:autoSpaceDN w:val="0"/>
        <w:adjustRightInd w:val="0"/>
        <w:spacing w:line="276" w:lineRule="auto"/>
        <w:jc w:val="both"/>
        <w:rPr>
          <w:rFonts w:eastAsia="Cambria" w:cstheme="minorHAnsi"/>
          <w:b/>
          <w:bCs/>
          <w:color w:val="000000"/>
          <w:sz w:val="22"/>
          <w:szCs w:val="22"/>
        </w:rPr>
      </w:pPr>
      <w:r w:rsidRPr="004A5142">
        <w:rPr>
          <w:rFonts w:eastAsia="Cambria" w:cstheme="minorHAnsi"/>
          <w:b/>
          <w:bCs/>
          <w:color w:val="000000"/>
          <w:sz w:val="22"/>
          <w:szCs w:val="22"/>
        </w:rPr>
        <w:t>General concepts</w:t>
      </w:r>
    </w:p>
    <w:p w14:paraId="50AC0351" w14:textId="0104AF6F" w:rsidR="00ED6CD4" w:rsidRPr="00524CA4" w:rsidRDefault="00ED6CD4" w:rsidP="00ED6CD4">
      <w:pPr>
        <w:autoSpaceDE w:val="0"/>
        <w:autoSpaceDN w:val="0"/>
        <w:adjustRightInd w:val="0"/>
        <w:spacing w:line="276" w:lineRule="auto"/>
        <w:jc w:val="both"/>
        <w:rPr>
          <w:rFonts w:eastAsia="Cambria"/>
          <w:color w:val="000000"/>
          <w:sz w:val="22"/>
          <w:szCs w:val="22"/>
        </w:rPr>
      </w:pPr>
      <w:r w:rsidRPr="585D8F79">
        <w:rPr>
          <w:rFonts w:eastAsia="Cambria"/>
          <w:color w:val="000000" w:themeColor="text1"/>
          <w:sz w:val="22"/>
          <w:szCs w:val="22"/>
        </w:rPr>
        <w:t xml:space="preserve">Neoplasia is more common in KTRs (over twice the risk higher than the general population </w:t>
      </w:r>
      <w:r w:rsidRPr="585D8F79">
        <w:rPr>
          <w:rFonts w:eastAsia="Cambria"/>
          <w:color w:val="000000" w:themeColor="text1"/>
          <w:sz w:val="22"/>
          <w:szCs w:val="22"/>
        </w:rPr>
        <w:fldChar w:fldCharType="begin"/>
      </w:r>
      <w:r w:rsidR="002D20B5">
        <w:rPr>
          <w:rFonts w:eastAsia="Cambria"/>
          <w:color w:val="000000" w:themeColor="text1"/>
          <w:sz w:val="22"/>
          <w:szCs w:val="22"/>
        </w:rPr>
        <w:instrText xml:space="preserve"> ADDIN ZOTERO_ITEM CSL_CITATION {"citationID":"ENu8aX6t","properties":{"formattedCitation":"\\super 282\\nosupersub{}","plainCitation":"282","noteIndex":0},"citationItems":[{"id":19096,"uris":["http://zotero.org/users/3444308/items/3E5DSNQF","http://zotero.org/users/3444308/items/93HVV6WC"],"itemData":{"id":19096,"type":"article-journal","abstract":"An increased incidence of malignancy is an established complication of organ transplantation and the associated immunosuppression. In this study on cancer incidence in solid organ transplant recipients in Britain, we describe the incidence of de novo cancers in the allograft recipient, and compare these incidences following the transplantation of different organs. Data in the UK Transplant Registry held by NHS Blood and Transplant (NHSBT) were linked with data made available by the cancer registries in England, Scotland and Wales. Incidence rates in the transplanted population were then compared with the general population, using standardized incidence ratios matched for age, gender and time period. The 10-year incidence of de novo cancer in transplant recipients is twice that of the general population, with the incidence of nonmelanoma skin cancer being 13 times greater. Nonmelanoma skin cancer, cancer of the lip, posttransplant lymphoproliferative disease and anal cancer have the largest standardized incidence ratios, but the incidence of different types of malignancy differs according to the organ transplanted. Patterns in standardized incidence ratios over time since transplantation are different for different types of transplant recipient, as well as for different malignancies. These results have implications for a national screening program.","container-title":"American Journal of Transplantation: Official Journal of the American Society of Transplantation and the American Society of Transplant Surgeons","DOI":"10.1111/j.1600-6143.2010.03181.x","ISSN":"1600-6143","issue":"8","journalAbbreviation":"Am J Transplant","language":"eng","note":"PMID: 20659094","page":"1889-1896","source":"PubMed","title":"Comparison of the incidence of malignancy in recipients of different types of organ: a UK Registry audit","title-short":"Comparison of the incidence of malignancy in recipients of different types of organ","volume":"10","author":[{"family":"Collett","given":"D."},{"family":"Mumford","given":"L."},{"family":"Banner","given":"N. R."},{"family":"Neuberger","given":"J."},{"family":"Watson","given":"C."}],"issued":{"date-parts":[["2010",8]]}}}],"schema":"https://github.com/citation-style-language/schema/raw/master/csl-citation.json"} </w:instrText>
      </w:r>
      <w:r w:rsidRPr="585D8F79">
        <w:rPr>
          <w:rFonts w:eastAsia="Cambria"/>
          <w:color w:val="000000" w:themeColor="text1"/>
          <w:sz w:val="22"/>
          <w:szCs w:val="22"/>
        </w:rPr>
        <w:fldChar w:fldCharType="separate"/>
      </w:r>
      <w:r w:rsidR="002D20B5" w:rsidRPr="002D20B5">
        <w:rPr>
          <w:rFonts w:ascii="Calibri" w:hAnsi="Calibri" w:cs="Calibri"/>
          <w:sz w:val="22"/>
          <w:vertAlign w:val="superscript"/>
        </w:rPr>
        <w:t>282</w:t>
      </w:r>
      <w:r w:rsidRPr="585D8F79">
        <w:rPr>
          <w:rFonts w:eastAsia="Cambria"/>
          <w:color w:val="000000" w:themeColor="text1"/>
          <w:sz w:val="22"/>
          <w:szCs w:val="22"/>
        </w:rPr>
        <w:fldChar w:fldCharType="end"/>
      </w:r>
      <w:r w:rsidRPr="585D8F79">
        <w:rPr>
          <w:rFonts w:eastAsia="Cambria"/>
          <w:color w:val="000000" w:themeColor="text1"/>
          <w:sz w:val="22"/>
          <w:szCs w:val="22"/>
        </w:rPr>
        <w:t xml:space="preserve">) due to impaired immunosurveillance and reduced control of </w:t>
      </w:r>
      <w:proofErr w:type="spellStart"/>
      <w:r w:rsidRPr="585D8F79">
        <w:rPr>
          <w:rFonts w:eastAsia="Cambria"/>
          <w:color w:val="000000" w:themeColor="text1"/>
          <w:sz w:val="22"/>
          <w:szCs w:val="22"/>
        </w:rPr>
        <w:t>oncogenetic</w:t>
      </w:r>
      <w:proofErr w:type="spellEnd"/>
      <w:r w:rsidRPr="585D8F79">
        <w:rPr>
          <w:rFonts w:eastAsia="Cambria"/>
          <w:color w:val="000000" w:themeColor="text1"/>
          <w:sz w:val="22"/>
          <w:szCs w:val="22"/>
        </w:rPr>
        <w:t xml:space="preserve"> virus replication.  It is a common cause of morbidity and mortality </w:t>
      </w:r>
      <w:r w:rsidRPr="585D8F79">
        <w:rPr>
          <w:rFonts w:eastAsia="Cambria"/>
          <w:color w:val="000000" w:themeColor="text1"/>
          <w:sz w:val="22"/>
          <w:szCs w:val="22"/>
        </w:rPr>
        <w:fldChar w:fldCharType="begin"/>
      </w:r>
      <w:r w:rsidR="002D20B5">
        <w:rPr>
          <w:rFonts w:eastAsia="Cambria"/>
          <w:color w:val="000000" w:themeColor="text1"/>
          <w:sz w:val="22"/>
          <w:szCs w:val="22"/>
        </w:rPr>
        <w:instrText xml:space="preserve"> ADDIN ZOTERO_ITEM CSL_CITATION {"citationID":"QlJ6RZZP","properties":{"formattedCitation":"\\super 283\\nosupersub{}","plainCitation":"283","noteIndex":0},"citationItems":[{"id":19093,"uris":["http://zotero.org/users/3444308/items/X9TPSGUE","http://zotero.org/users/3444308/items/VRKXLKK4"],"itemData":{"id":19093,"type":"article-journal","abstract":"There is a paucity of studies describing malignancy-related mortality after kidney transplantation. To help quantify this, we extracted data for all kidney-alone transplant procedures performed in England between April 2001 and March 2012. Data linkage analysis was performed between Hospital Episode Statistics and the Office for National Statistics to identify all deaths occurring in this cohort. Among 19,103 kidney transplant procedures analyzed (median follow-up 4.4 years), 2085 deaths occurred, of which 376 (18.0%) were due to malignancy (crude mortality rate 361 malignancy-related deaths per 100,000 person-years). Common sites of malignancy-related death were lymphoma (18.4%), followed by lung (17.6%) and renal (9.8%), with 14.1% unspecified. The risk of malignancy-related death increased with age: under 50 (0.8%), 50-59 (2.5%), 60-69 (4.8%), 70-79 (6.5%) and over 80 years (9.1%). Age- and gender-stratified malignancy-related mortality risk difference was higher in the transplant compared with the general population. Cox proportional hazard models identified increased age, pretransplant history of malignancy and deceased-donor kidney transplantation to be independently associated with risk for post-transplant death from malignancy. Thus, malignancy as a cause of post-kidney transplantation death is common and requires heightened surveillance.","container-title":"Kidney International","DOI":"10.1038/ki.2013.458","ISSN":"1523-1755","issue":"6","journalAbbreviation":"Kidney Int","language":"eng","note":"PMID: 24257690","page":"1395-1403","source":"PubMed","title":"Malignancy-related mortality following kidney transplantation is common","volume":"85","author":[{"family":"Farrugia","given":"Daniela"},{"family":"Mahboob","given":"Sophia"},{"family":"Cheshire","given":"James"},{"family":"Begaj","given":"Irena"},{"family":"Khosla","given":"Sajan"},{"family":"Ray","given":"Daniel"},{"family":"Sharif","given":"Adnan"}],"issued":{"date-parts":[["2014",6]]}}}],"schema":"https://github.com/citation-style-language/schema/raw/master/csl-citation.json"} </w:instrText>
      </w:r>
      <w:r w:rsidRPr="585D8F79">
        <w:rPr>
          <w:rFonts w:eastAsia="Cambria"/>
          <w:color w:val="000000" w:themeColor="text1"/>
          <w:sz w:val="22"/>
          <w:szCs w:val="22"/>
        </w:rPr>
        <w:fldChar w:fldCharType="separate"/>
      </w:r>
      <w:r w:rsidR="002D20B5" w:rsidRPr="002D20B5">
        <w:rPr>
          <w:rFonts w:ascii="Calibri" w:hAnsi="Calibri" w:cs="Calibri"/>
          <w:sz w:val="22"/>
          <w:vertAlign w:val="superscript"/>
        </w:rPr>
        <w:t>283</w:t>
      </w:r>
      <w:r w:rsidRPr="585D8F79">
        <w:rPr>
          <w:rFonts w:eastAsia="Cambria"/>
          <w:color w:val="000000" w:themeColor="text1"/>
          <w:sz w:val="22"/>
          <w:szCs w:val="22"/>
        </w:rPr>
        <w:fldChar w:fldCharType="end"/>
      </w:r>
      <w:r w:rsidRPr="585D8F79">
        <w:rPr>
          <w:rFonts w:eastAsia="Cambria"/>
          <w:color w:val="000000" w:themeColor="text1"/>
          <w:sz w:val="22"/>
          <w:szCs w:val="22"/>
        </w:rPr>
        <w:t xml:space="preserve">. Data from different renal registries vary widely but, in general, the relative risk of cancer is higher in younger patients than older patients </w:t>
      </w:r>
      <w:r w:rsidRPr="585D8F79">
        <w:rPr>
          <w:rFonts w:eastAsia="Cambria"/>
          <w:color w:val="000000" w:themeColor="text1"/>
          <w:sz w:val="22"/>
          <w:szCs w:val="22"/>
        </w:rPr>
        <w:fldChar w:fldCharType="begin"/>
      </w:r>
      <w:r w:rsidR="002D20B5">
        <w:rPr>
          <w:rFonts w:eastAsia="Cambria"/>
          <w:color w:val="000000" w:themeColor="text1"/>
          <w:sz w:val="22"/>
          <w:szCs w:val="22"/>
        </w:rPr>
        <w:instrText xml:space="preserve"> ADDIN ZOTERO_ITEM CSL_CITATION {"citationID":"i4w3lo7x","properties":{"formattedCitation":"\\super 283\\nosupersub{}","plainCitation":"283","noteIndex":0},"citationItems":[{"id":19093,"uris":["http://zotero.org/users/3444308/items/X9TPSGUE","http://zotero.org/users/3444308/items/VRKXLKK4"],"itemData":{"id":19093,"type":"article-journal","abstract":"There is a paucity of studies describing malignancy-related mortality after kidney transplantation. To help quantify this, we extracted data for all kidney-alone transplant procedures performed in England between April 2001 and March 2012. Data linkage analysis was performed between Hospital Episode Statistics and the Office for National Statistics to identify all deaths occurring in this cohort. Among 19,103 kidney transplant procedures analyzed (median follow-up 4.4 years), 2085 deaths occurred, of which 376 (18.0%) were due to malignancy (crude mortality rate 361 malignancy-related deaths per 100,000 person-years). Common sites of malignancy-related death were lymphoma (18.4%), followed by lung (17.6%) and renal (9.8%), with 14.1% unspecified. The risk of malignancy-related death increased with age: under 50 (0.8%), 50-59 (2.5%), 60-69 (4.8%), 70-79 (6.5%) and over 80 years (9.1%). Age- and gender-stratified malignancy-related mortality risk difference was higher in the transplant compared with the general population. Cox proportional hazard models identified increased age, pretransplant history of malignancy and deceased-donor kidney transplantation to be independently associated with risk for post-transplant death from malignancy. Thus, malignancy as a cause of post-kidney transplantation death is common and requires heightened surveillance.","container-title":"Kidney International","DOI":"10.1038/ki.2013.458","ISSN":"1523-1755","issue":"6","journalAbbreviation":"Kidney Int","language":"eng","note":"PMID: 24257690","page":"1395-1403","source":"PubMed","title":"Malignancy-related mortality following kidney transplantation is common","volume":"85","author":[{"family":"Farrugia","given":"Daniela"},{"family":"Mahboob","given":"Sophia"},{"family":"Cheshire","given":"James"},{"family":"Begaj","given":"Irena"},{"family":"Khosla","given":"Sajan"},{"family":"Ray","given":"Daniel"},{"family":"Sharif","given":"Adnan"}],"issued":{"date-parts":[["2014",6]]}}}],"schema":"https://github.com/citation-style-language/schema/raw/master/csl-citation.json"} </w:instrText>
      </w:r>
      <w:r w:rsidRPr="585D8F79">
        <w:rPr>
          <w:rFonts w:eastAsia="Cambria"/>
          <w:color w:val="000000" w:themeColor="text1"/>
          <w:sz w:val="22"/>
          <w:szCs w:val="22"/>
        </w:rPr>
        <w:fldChar w:fldCharType="separate"/>
      </w:r>
      <w:r w:rsidR="002D20B5" w:rsidRPr="002D20B5">
        <w:rPr>
          <w:rFonts w:ascii="Calibri" w:hAnsi="Calibri" w:cs="Calibri"/>
          <w:sz w:val="22"/>
          <w:vertAlign w:val="superscript"/>
        </w:rPr>
        <w:t>283</w:t>
      </w:r>
      <w:r w:rsidRPr="585D8F79">
        <w:rPr>
          <w:rFonts w:eastAsia="Cambria"/>
          <w:color w:val="000000" w:themeColor="text1"/>
          <w:sz w:val="22"/>
          <w:szCs w:val="22"/>
        </w:rPr>
        <w:fldChar w:fldCharType="end"/>
      </w:r>
      <w:r w:rsidRPr="585D8F79">
        <w:rPr>
          <w:rFonts w:eastAsia="Cambria"/>
          <w:color w:val="000000" w:themeColor="text1"/>
          <w:sz w:val="22"/>
          <w:szCs w:val="22"/>
        </w:rPr>
        <w:t xml:space="preserve"> and patients who spent longer on dialysis before implantation </w:t>
      </w:r>
      <w:r w:rsidRPr="585D8F79">
        <w:rPr>
          <w:rFonts w:eastAsia="Cambria"/>
          <w:color w:val="000000" w:themeColor="text1"/>
          <w:sz w:val="22"/>
          <w:szCs w:val="22"/>
        </w:rPr>
        <w:fldChar w:fldCharType="begin"/>
      </w:r>
      <w:r w:rsidR="002D20B5">
        <w:rPr>
          <w:rFonts w:eastAsia="Cambria"/>
          <w:color w:val="000000" w:themeColor="text1"/>
          <w:sz w:val="22"/>
          <w:szCs w:val="22"/>
        </w:rPr>
        <w:instrText xml:space="preserve"> ADDIN ZOTERO_ITEM CSL_CITATION {"citationID":"1Wqjm3g4","properties":{"formattedCitation":"\\super 284\\nosupersub{}","plainCitation":"284","noteIndex":0},"citationItems":[{"id":19170,"uris":["http://zotero.org/users/3444308/items/MJZFM8A8"],"itemData":{"id":19170,"type":"article-journal","abstract":"BACKGROUND: Increasing time on dialysis is an established risk factor for certain cancer types for patients on dialysis, but the relationship between the time on dialysis and cancer risk after transplantation is unclear. We aimed to determine if the length of time on maintenance dialysis before the first kidney transplantation was associated with the risk of site-specific and overall incident cancers after transplantation.\nMETHODS: Using the Australia and New Zealand Dialysis and Transplant Registry, we assessed the association between both all cancers (except for nonmelanocytic skin cancers) and site-specific cancer incidence and the duration on dialysis before the first transplantation using adjusted Cox proportional hazards and competing risk models.\nRESULTS: Over a median follow-up of 4.4 years (interquartile range, 1.7-7.7 years), the total cumulative incidence of all cancers after the first kidney transplantation was 15.0 per 1000 patient-years. There was a linear relationship between the duration of dialysis and the risk of cancer after transplantation (Ptrend=0.02). The excess risks for lung and urinary tract cancers were highest among recipients who had been on dialysis for the longest duration before transplantation (adjusted hazard ratio [95% confidence interval], 3.32 [1.00-11.4]; P=0.05 and 2.57 [1.33-4.95]; P=0.005, respectively).\nCONCLUSION: Increasing time on dialysis is a significant risk factor for common solid organ cancers, such as lung cancer, and urinary tract cancers in kidney transplant recipients, irrespective of age. Strategies to improve cancer surveillance among recipients who had been on dialysis for a longer time may be warranted.","container-title":"Transplantation","DOI":"10.1097/TP.0b013e31827743b4","ISSN":"1534-6080","issue":"1","journalAbbreviation":"Transplantation","language":"eng","note":"PMID: 23222892","page":"114-121","source":"PubMed","title":"Time on dialysis and cancer risk after kidney transplantation","volume":"95","author":[{"family":"Wong","given":"Germaine"},{"family":"Turner","given":"Robin M."},{"family":"Chapman","given":"Jeremy R."},{"family":"Howell","given":"Martin"},{"family":"Lim","given":"Wai H."},{"family":"Webster","given":"Angela C."},{"family":"Craig","given":"Jonathan C."}],"issued":{"date-parts":[["2013",1,15]]}}}],"schema":"https://github.com/citation-style-language/schema/raw/master/csl-citation.json"} </w:instrText>
      </w:r>
      <w:r w:rsidRPr="585D8F79">
        <w:rPr>
          <w:rFonts w:eastAsia="Cambria"/>
          <w:color w:val="000000" w:themeColor="text1"/>
          <w:sz w:val="22"/>
          <w:szCs w:val="22"/>
        </w:rPr>
        <w:fldChar w:fldCharType="separate"/>
      </w:r>
      <w:r w:rsidR="002D20B5" w:rsidRPr="002D20B5">
        <w:rPr>
          <w:rFonts w:ascii="Calibri" w:hAnsi="Calibri" w:cs="Calibri"/>
          <w:sz w:val="22"/>
          <w:vertAlign w:val="superscript"/>
        </w:rPr>
        <w:t>284</w:t>
      </w:r>
      <w:r w:rsidRPr="585D8F79">
        <w:rPr>
          <w:rFonts w:eastAsia="Cambria"/>
          <w:color w:val="000000" w:themeColor="text1"/>
          <w:sz w:val="22"/>
          <w:szCs w:val="22"/>
        </w:rPr>
        <w:fldChar w:fldCharType="end"/>
      </w:r>
      <w:r w:rsidRPr="585D8F79">
        <w:rPr>
          <w:rFonts w:eastAsia="Cambria"/>
          <w:color w:val="000000" w:themeColor="text1"/>
          <w:sz w:val="22"/>
          <w:szCs w:val="22"/>
        </w:rPr>
        <w:t>. Other risk factors associated with increased risk of neoplasia in include sun exposure, viral infections, overall dose of immunosuppression and previous recipient history of cancer.</w:t>
      </w:r>
    </w:p>
    <w:p w14:paraId="3AA24A84" w14:textId="3E3FABF7" w:rsidR="00ED6CD4" w:rsidRPr="009F5881" w:rsidRDefault="00ED6CD4" w:rsidP="009F5881">
      <w:pPr>
        <w:autoSpaceDE w:val="0"/>
        <w:autoSpaceDN w:val="0"/>
        <w:adjustRightInd w:val="0"/>
        <w:spacing w:line="276" w:lineRule="auto"/>
        <w:jc w:val="both"/>
        <w:rPr>
          <w:rStyle w:val="normaltextrun"/>
          <w:rFonts w:eastAsia="Cambria" w:cstheme="minorHAnsi"/>
          <w:color w:val="000000"/>
          <w:sz w:val="22"/>
          <w:szCs w:val="22"/>
        </w:rPr>
      </w:pPr>
      <w:r w:rsidRPr="00524CA4">
        <w:rPr>
          <w:rFonts w:eastAsia="Cambria" w:cstheme="minorHAnsi"/>
          <w:color w:val="000000"/>
          <w:sz w:val="22"/>
          <w:szCs w:val="22"/>
        </w:rPr>
        <w:t>KTRs with neoplasia have worse outcomes than members of the general population</w:t>
      </w:r>
      <w:r>
        <w:rPr>
          <w:rFonts w:eastAsia="Cambria" w:cstheme="minorHAnsi"/>
          <w:color w:val="000000"/>
          <w:sz w:val="22"/>
          <w:szCs w:val="22"/>
        </w:rPr>
        <w:t xml:space="preserve"> </w:t>
      </w:r>
      <w:r>
        <w:rPr>
          <w:rFonts w:eastAsia="Cambria" w:cstheme="minorHAnsi"/>
          <w:color w:val="000000"/>
          <w:sz w:val="22"/>
          <w:szCs w:val="22"/>
        </w:rPr>
        <w:fldChar w:fldCharType="begin"/>
      </w:r>
      <w:r w:rsidR="002D20B5">
        <w:rPr>
          <w:rFonts w:eastAsia="Cambria" w:cstheme="minorHAnsi"/>
          <w:color w:val="000000"/>
          <w:sz w:val="22"/>
          <w:szCs w:val="22"/>
        </w:rPr>
        <w:instrText xml:space="preserve"> ADDIN ZOTERO_ITEM CSL_CITATION {"citationID":"Ifmgt4Ka","properties":{"formattedCitation":"\\super 283\\nosupersub{}","plainCitation":"283","noteIndex":0},"citationItems":[{"id":19093,"uris":["http://zotero.org/users/3444308/items/X9TPSGUE","http://zotero.org/users/3444308/items/VRKXLKK4"],"itemData":{"id":19093,"type":"article-journal","abstract":"There is a paucity of studies describing malignancy-related mortality after kidney transplantation. To help quantify this, we extracted data for all kidney-alone transplant procedures performed in England between April 2001 and March 2012. Data linkage analysis was performed between Hospital Episode Statistics and the Office for National Statistics to identify all deaths occurring in this cohort. Among 19,103 kidney transplant procedures analyzed (median follow-up 4.4 years), 2085 deaths occurred, of which 376 (18.0%) were due to malignancy (crude mortality rate 361 malignancy-related deaths per 100,000 person-years). Common sites of malignancy-related death were lymphoma (18.4%), followed by lung (17.6%) and renal (9.8%), with 14.1% unspecified. The risk of malignancy-related death increased with age: under 50 (0.8%), 50-59 (2.5%), 60-69 (4.8%), 70-79 (6.5%) and over 80 years (9.1%). Age- and gender-stratified malignancy-related mortality risk difference was higher in the transplant compared with the general population. Cox proportional hazard models identified increased age, pretransplant history of malignancy and deceased-donor kidney transplantation to be independently associated with risk for post-transplant death from malignancy. Thus, malignancy as a cause of post-kidney transplantation death is common and requires heightened surveillance.","container-title":"Kidney International","DOI":"10.1038/ki.2013.458","ISSN":"1523-1755","issue":"6","journalAbbreviation":"Kidney Int","language":"eng","note":"PMID: 24257690","page":"1395-1403","source":"PubMed","title":"Malignancy-related mortality following kidney transplantation is common","volume":"85","author":[{"family":"Farrugia","given":"Daniela"},{"family":"Mahboob","given":"Sophia"},{"family":"Cheshire","given":"James"},{"family":"Begaj","given":"Irena"},{"family":"Khosla","given":"Sajan"},{"family":"Ray","given":"Daniel"},{"family":"Sharif","given":"Adnan"}],"issued":{"date-parts":[["2014",6]]}}}],"schema":"https://github.com/citation-style-language/schema/raw/master/csl-citation.json"} </w:instrText>
      </w:r>
      <w:r>
        <w:rPr>
          <w:rFonts w:eastAsia="Cambria" w:cstheme="minorHAnsi"/>
          <w:color w:val="000000"/>
          <w:sz w:val="22"/>
          <w:szCs w:val="22"/>
        </w:rPr>
        <w:fldChar w:fldCharType="separate"/>
      </w:r>
      <w:r w:rsidR="002D20B5" w:rsidRPr="002D20B5">
        <w:rPr>
          <w:rFonts w:ascii="Calibri" w:hAnsi="Calibri" w:cs="Calibri"/>
          <w:sz w:val="22"/>
          <w:vertAlign w:val="superscript"/>
        </w:rPr>
        <w:t>283</w:t>
      </w:r>
      <w:r>
        <w:rPr>
          <w:rFonts w:eastAsia="Cambria" w:cstheme="minorHAnsi"/>
          <w:color w:val="000000"/>
          <w:sz w:val="22"/>
          <w:szCs w:val="22"/>
        </w:rPr>
        <w:fldChar w:fldCharType="end"/>
      </w:r>
      <w:r w:rsidRPr="00524CA4">
        <w:rPr>
          <w:rFonts w:eastAsia="Cambria" w:cstheme="minorHAnsi"/>
          <w:color w:val="000000"/>
          <w:sz w:val="22"/>
          <w:szCs w:val="22"/>
        </w:rPr>
        <w:t>. Preventative strategies are recommended including cancer screening and minimisation or modification of immunosuppressive therapy if possible. Once cancer is diagnosed, management should include reducing and/or modifying immunosuppressive therapy after discussion with the recipient, oncologist and nephrologists</w:t>
      </w:r>
      <w:r>
        <w:rPr>
          <w:rFonts w:eastAsia="Cambria" w:cstheme="minorHAnsi"/>
          <w:color w:val="000000"/>
          <w:sz w:val="22"/>
          <w:szCs w:val="22"/>
        </w:rPr>
        <w:t xml:space="preserve"> </w:t>
      </w:r>
      <w:r>
        <w:rPr>
          <w:rFonts w:eastAsia="Cambria" w:cstheme="minorHAnsi"/>
          <w:color w:val="000000"/>
          <w:sz w:val="22"/>
          <w:szCs w:val="22"/>
        </w:rPr>
        <w:fldChar w:fldCharType="begin"/>
      </w:r>
      <w:r w:rsidR="002D20B5">
        <w:rPr>
          <w:rFonts w:eastAsia="Cambria" w:cstheme="minorHAnsi"/>
          <w:color w:val="000000"/>
          <w:sz w:val="22"/>
          <w:szCs w:val="22"/>
        </w:rPr>
        <w:instrText xml:space="preserve"> ADDIN ZOTERO_ITEM CSL_CITATION {"citationID":"f7MQJ4xo","properties":{"formattedCitation":"\\super 285\\nosupersub{}","plainCitation":"285","noteIndex":0},"citationItems":[{"id":19169,"uris":["http://zotero.org/users/3444308/items/SRZYWGEQ"],"itemData":{"id":19169,"type":"article-journal","abstract":"OBJECTIVE: To compare cancer incidence in kidney transplant recipients during periods of transplant function (and immunosuppression) and after transplant failure (when immunosuppression is ceased or reduced). Design, setting, and participants Nationwide, population based retrospective cohort study of 8173 Australian kidney transplant recipients registered on the Australia and New Zealand Dialysis and Transplant Registry who first received a transplant during 1982-2003. Incident cancers were ascertained using linkage with national cancer registry records.\nMAIN OUTCOME MEASURES: Cancer-specific standardised incidence ratios for periods of transplant function and for dialysis after transplant failure. Incidence was compared between periods using multivariate incidence rate ratios adjusted for current age, sex, and duration of transplantation.\nRESULTS: All cases of Kaposi's sarcoma occurred during transplant function. Standardised incidence ratios were significantly elevated during transplant function, but not during dialysis after transplant failure, for non-Hodgkin's lymphoma, lip cancer, and melanoma. For each of these cancers, incidence was significantly lower during dialysis after transplant failure in multivariate analysis (incidence rate ratios 0.20 (95% CI 0.06 to 0.65) for non-Hodgkin's lymphoma, 0.04 (0.01 to 0.31) for lip cancer, and 0.16 (0.04 to 0.64) for melanoma). In contrast, standardised incidence ratios during dialysis after transplant failure remained significantly elevated for leukaemia and lung cancer, and cancers related to end stage kidney disease (kidney, urinary tract, and thyroid cancers), with thyroid cancer incidence significantly higher during dialysis after transplant failure (incidence rate ratio 6.77 (2.64 to 17.39)). There was no significant difference in incidence by transplant function for other cancers.\nCONCLUSIONS: The effect of immunosuppression on cancer risk is rapidly reversible for some, but not all, cancer types. Risk reversal was mainly observed for cancers with a confirmed infectious cause. Risk of other cancers, especially those related to end stage kidney disease, remained significantly increased after reduction of immunosuppression.","container-title":"BMJ (Clinical research ed.)","DOI":"10.1136/bmj.c570","ISSN":"1756-1833","journalAbbreviation":"BMJ","language":"eng","note":"PMID: 20150194\nPMCID: PMC2820609","page":"c570","source":"PubMed","title":"Effect of reduced immunosuppression after kidney transplant failure on risk of cancer: population based retrospective cohort study","title-short":"Effect of reduced immunosuppression after kidney transplant failure on risk of cancer","volume":"340","author":[{"family":"Leeuwen","given":"Marina T.","non-dropping-particle":"van"},{"family":"Webster","given":"Angela C."},{"family":"McCredie","given":"Margaret R. E."},{"family":"Stewart","given":"John H."},{"family":"McDonald","given":"Stephen P."},{"family":"Amin","given":"Janaki"},{"family":"Kaldor","given":"John M."},{"family":"Chapman","given":"Jeremy R."},{"family":"Vajdic","given":"Claire M."},{"family":"Grulich","given":"Andrew E."}],"issued":{"date-parts":[["2010",2,11]]}}}],"schema":"https://github.com/citation-style-language/schema/raw/master/csl-citation.json"} </w:instrText>
      </w:r>
      <w:r>
        <w:rPr>
          <w:rFonts w:eastAsia="Cambria" w:cstheme="minorHAnsi"/>
          <w:color w:val="000000"/>
          <w:sz w:val="22"/>
          <w:szCs w:val="22"/>
        </w:rPr>
        <w:fldChar w:fldCharType="separate"/>
      </w:r>
      <w:r w:rsidR="002D20B5" w:rsidRPr="002D20B5">
        <w:rPr>
          <w:rFonts w:ascii="Calibri" w:hAnsi="Calibri" w:cs="Calibri"/>
          <w:sz w:val="22"/>
          <w:vertAlign w:val="superscript"/>
        </w:rPr>
        <w:t>285</w:t>
      </w:r>
      <w:r>
        <w:rPr>
          <w:rFonts w:eastAsia="Cambria" w:cstheme="minorHAnsi"/>
          <w:color w:val="000000"/>
          <w:sz w:val="22"/>
          <w:szCs w:val="22"/>
        </w:rPr>
        <w:fldChar w:fldCharType="end"/>
      </w:r>
      <w:r w:rsidRPr="00524CA4">
        <w:rPr>
          <w:rFonts w:eastAsia="Cambria" w:cstheme="minorHAnsi"/>
          <w:color w:val="000000"/>
          <w:sz w:val="22"/>
          <w:szCs w:val="22"/>
        </w:rPr>
        <w:t>.  This is likely to be more beneficial in those cancers with higher relative risks in KTRs (e.g. more likely to have a clinical impact in non-melanoma skin cancer than pancreatic cancer). Emerging evidence supports the notion that lowering dose of immunosuppression may be associated with slowing cancer progression</w:t>
      </w:r>
      <w:r>
        <w:rPr>
          <w:rFonts w:eastAsia="Cambria" w:cstheme="minorHAnsi"/>
          <w:color w:val="000000"/>
          <w:sz w:val="22"/>
          <w:szCs w:val="22"/>
        </w:rPr>
        <w:t xml:space="preserve"> </w:t>
      </w:r>
      <w:r>
        <w:rPr>
          <w:rFonts w:eastAsia="Cambria" w:cstheme="minorHAnsi"/>
          <w:color w:val="000000"/>
          <w:sz w:val="22"/>
          <w:szCs w:val="22"/>
        </w:rPr>
        <w:fldChar w:fldCharType="begin"/>
      </w:r>
      <w:r w:rsidR="002D20B5">
        <w:rPr>
          <w:rFonts w:eastAsia="Cambria" w:cstheme="minorHAnsi"/>
          <w:color w:val="000000"/>
          <w:sz w:val="22"/>
          <w:szCs w:val="22"/>
        </w:rPr>
        <w:instrText xml:space="preserve"> ADDIN ZOTERO_ITEM CSL_CITATION {"citationID":"JN5fDg8H","properties":{"formattedCitation":"\\super 285\\nosupersub{}","plainCitation":"285","noteIndex":0},"citationItems":[{"id":19169,"uris":["http://zotero.org/users/3444308/items/SRZYWGEQ"],"itemData":{"id":19169,"type":"article-journal","abstract":"OBJECTIVE: To compare cancer incidence in kidney transplant recipients during periods of transplant function (and immunosuppression) and after transplant failure (when immunosuppression is ceased or reduced). Design, setting, and participants Nationwide, population based retrospective cohort study of 8173 Australian kidney transplant recipients registered on the Australia and New Zealand Dialysis and Transplant Registry who first received a transplant during 1982-2003. Incident cancers were ascertained using linkage with national cancer registry records.\nMAIN OUTCOME MEASURES: Cancer-specific standardised incidence ratios for periods of transplant function and for dialysis after transplant failure. Incidence was compared between periods using multivariate incidence rate ratios adjusted for current age, sex, and duration of transplantation.\nRESULTS: All cases of Kaposi's sarcoma occurred during transplant function. Standardised incidence ratios were significantly elevated during transplant function, but not during dialysis after transplant failure, for non-Hodgkin's lymphoma, lip cancer, and melanoma. For each of these cancers, incidence was significantly lower during dialysis after transplant failure in multivariate analysis (incidence rate ratios 0.20 (95% CI 0.06 to 0.65) for non-Hodgkin's lymphoma, 0.04 (0.01 to 0.31) for lip cancer, and 0.16 (0.04 to 0.64) for melanoma). In contrast, standardised incidence ratios during dialysis after transplant failure remained significantly elevated for leukaemia and lung cancer, and cancers related to end stage kidney disease (kidney, urinary tract, and thyroid cancers), with thyroid cancer incidence significantly higher during dialysis after transplant failure (incidence rate ratio 6.77 (2.64 to 17.39)). There was no significant difference in incidence by transplant function for other cancers.\nCONCLUSIONS: The effect of immunosuppression on cancer risk is rapidly reversible for some, but not all, cancer types. Risk reversal was mainly observed for cancers with a confirmed infectious cause. Risk of other cancers, especially those related to end stage kidney disease, remained significantly increased after reduction of immunosuppression.","container-title":"BMJ (Clinical research ed.)","DOI":"10.1136/bmj.c570","ISSN":"1756-1833","journalAbbreviation":"BMJ","language":"eng","note":"PMID: 20150194\nPMCID: PMC2820609","page":"c570","source":"PubMed","title":"Effect of reduced immunosuppression after kidney transplant failure on risk of cancer: population based retrospective cohort study","title-short":"Effect of reduced immunosuppression after kidney transplant failure on risk of cancer","volume":"340","author":[{"family":"Leeuwen","given":"Marina T.","non-dropping-particle":"van"},{"family":"Webster","given":"Angela C."},{"family":"McCredie","given":"Margaret R. E."},{"family":"Stewart","given":"John H."},{"family":"McDonald","given":"Stephen P."},{"family":"Amin","given":"Janaki"},{"family":"Kaldor","given":"John M."},{"family":"Chapman","given":"Jeremy R."},{"family":"Vajdic","given":"Claire M."},{"family":"Grulich","given":"Andrew E."}],"issued":{"date-parts":[["2010",2,11]]}}}],"schema":"https://github.com/citation-style-language/schema/raw/master/csl-citation.json"} </w:instrText>
      </w:r>
      <w:r>
        <w:rPr>
          <w:rFonts w:eastAsia="Cambria" w:cstheme="minorHAnsi"/>
          <w:color w:val="000000"/>
          <w:sz w:val="22"/>
          <w:szCs w:val="22"/>
        </w:rPr>
        <w:fldChar w:fldCharType="separate"/>
      </w:r>
      <w:r w:rsidR="002D20B5" w:rsidRPr="002D20B5">
        <w:rPr>
          <w:rFonts w:ascii="Calibri" w:hAnsi="Calibri" w:cs="Calibri"/>
          <w:sz w:val="22"/>
          <w:vertAlign w:val="superscript"/>
        </w:rPr>
        <w:t>285</w:t>
      </w:r>
      <w:r>
        <w:rPr>
          <w:rFonts w:eastAsia="Cambria" w:cstheme="minorHAnsi"/>
          <w:color w:val="000000"/>
          <w:sz w:val="22"/>
          <w:szCs w:val="22"/>
        </w:rPr>
        <w:fldChar w:fldCharType="end"/>
      </w:r>
      <w:r w:rsidRPr="00524CA4">
        <w:rPr>
          <w:rFonts w:eastAsia="Cambria" w:cstheme="minorHAnsi"/>
          <w:color w:val="000000"/>
          <w:sz w:val="22"/>
          <w:szCs w:val="22"/>
        </w:rPr>
        <w:t>.</w:t>
      </w:r>
    </w:p>
    <w:p w14:paraId="7F116DE9" w14:textId="3ABAB5A1" w:rsidR="00ED6CD4" w:rsidRPr="004A5142" w:rsidRDefault="00ED6CD4" w:rsidP="00ED6CD4">
      <w:pPr>
        <w:autoSpaceDE w:val="0"/>
        <w:autoSpaceDN w:val="0"/>
        <w:adjustRightInd w:val="0"/>
        <w:spacing w:line="276" w:lineRule="auto"/>
        <w:jc w:val="both"/>
        <w:rPr>
          <w:rFonts w:eastAsia="Cambria"/>
          <w:b/>
          <w:color w:val="000000"/>
          <w:sz w:val="22"/>
          <w:szCs w:val="22"/>
        </w:rPr>
      </w:pPr>
      <w:r w:rsidRPr="585D8F79">
        <w:rPr>
          <w:rFonts w:eastAsia="Cambria"/>
          <w:b/>
          <w:bCs/>
          <w:color w:val="000000" w:themeColor="text1"/>
          <w:sz w:val="22"/>
          <w:szCs w:val="22"/>
        </w:rPr>
        <w:t xml:space="preserve">Table </w:t>
      </w:r>
      <w:r w:rsidR="00AA5E34">
        <w:rPr>
          <w:rFonts w:eastAsia="Cambria"/>
          <w:b/>
          <w:bCs/>
          <w:color w:val="000000" w:themeColor="text1"/>
          <w:sz w:val="22"/>
          <w:szCs w:val="22"/>
        </w:rPr>
        <w:t>1</w:t>
      </w:r>
      <w:r w:rsidRPr="585D8F79">
        <w:rPr>
          <w:rFonts w:eastAsia="Cambria"/>
          <w:b/>
          <w:bCs/>
          <w:color w:val="000000" w:themeColor="text1"/>
          <w:sz w:val="22"/>
          <w:szCs w:val="22"/>
        </w:rPr>
        <w:t xml:space="preserve">  </w:t>
      </w:r>
      <w:r w:rsidRPr="585D8F79">
        <w:rPr>
          <w:rFonts w:eastAsia="Cambria"/>
          <w:b/>
          <w:bCs/>
          <w:color w:val="000000" w:themeColor="text1"/>
          <w:sz w:val="22"/>
          <w:szCs w:val="22"/>
        </w:rPr>
        <w:fldChar w:fldCharType="begin"/>
      </w:r>
      <w:r w:rsidR="002D20B5">
        <w:rPr>
          <w:rFonts w:eastAsia="Cambria"/>
          <w:b/>
          <w:bCs/>
          <w:color w:val="000000" w:themeColor="text1"/>
          <w:sz w:val="22"/>
          <w:szCs w:val="22"/>
        </w:rPr>
        <w:instrText xml:space="preserve"> ADDIN ZOTERO_ITEM CSL_CITATION {"citationID":"iJN5DJt1","properties":{"formattedCitation":"\\super 282\\nosupersub{}","plainCitation":"282","noteIndex":0},"citationItems":[{"id":19096,"uris":["http://zotero.org/users/3444308/items/3E5DSNQF","http://zotero.org/users/3444308/items/93HVV6WC"],"itemData":{"id":19096,"type":"article-journal","abstract":"An increased incidence of malignancy is an established complication of organ transplantation and the associated immunosuppression. In this study on cancer incidence in solid organ transplant recipients in Britain, we describe the incidence of de novo cancers in the allograft recipient, and compare these incidences following the transplantation of different organs. Data in the UK Transplant Registry held by NHS Blood and Transplant (NHSBT) were linked with data made available by the cancer registries in England, Scotland and Wales. Incidence rates in the transplanted population were then compared with the general population, using standardized incidence ratios matched for age, gender and time period. The 10-year incidence of de novo cancer in transplant recipients is twice that of the general population, with the incidence of nonmelanoma skin cancer being 13 times greater. Nonmelanoma skin cancer, cancer of the lip, posttransplant lymphoproliferative disease and anal cancer have the largest standardized incidence ratios, but the incidence of different types of malignancy differs according to the organ transplanted. Patterns in standardized incidence ratios over time since transplantation are different for different types of transplant recipient, as well as for different malignancies. These results have implications for a national screening program.","container-title":"American Journal of Transplantation: Official Journal of the American Society of Transplantation and the American Society of Transplant Surgeons","DOI":"10.1111/j.1600-6143.2010.03181.x","ISSN":"1600-6143","issue":"8","journalAbbreviation":"Am J Transplant","language":"eng","note":"PMID: 20659094","page":"1889-1896","source":"PubMed","title":"Comparison of the incidence of malignancy in recipients of different types of organ: a UK Registry audit","title-short":"Comparison of the incidence of malignancy in recipients of different types of organ","volume":"10","author":[{"family":"Collett","given":"D."},{"family":"Mumford","given":"L."},{"family":"Banner","given":"N. R."},{"family":"Neuberger","given":"J."},{"family":"Watson","given":"C."}],"issued":{"date-parts":[["2010",8]]}}}],"schema":"https://github.com/citation-style-language/schema/raw/master/csl-citation.json"} </w:instrText>
      </w:r>
      <w:r w:rsidRPr="585D8F79">
        <w:rPr>
          <w:rFonts w:eastAsia="Cambria"/>
          <w:b/>
          <w:bCs/>
          <w:color w:val="000000" w:themeColor="text1"/>
          <w:sz w:val="22"/>
          <w:szCs w:val="22"/>
        </w:rPr>
        <w:fldChar w:fldCharType="separate"/>
      </w:r>
      <w:r w:rsidR="002D20B5" w:rsidRPr="002D20B5">
        <w:rPr>
          <w:rFonts w:ascii="Calibri" w:hAnsi="Calibri" w:cs="Calibri"/>
          <w:sz w:val="22"/>
          <w:vertAlign w:val="superscript"/>
        </w:rPr>
        <w:t>282</w:t>
      </w:r>
      <w:r w:rsidRPr="585D8F79">
        <w:rPr>
          <w:rFonts w:eastAsia="Cambria"/>
          <w:b/>
          <w:bCs/>
          <w:color w:val="000000" w:themeColor="text1"/>
          <w:sz w:val="22"/>
          <w:szCs w:val="22"/>
        </w:rPr>
        <w:fldChar w:fldCharType="end"/>
      </w:r>
    </w:p>
    <w:p w14:paraId="5AB27A2E" w14:textId="77777777" w:rsidR="00ED6CD4" w:rsidRPr="004A5142" w:rsidRDefault="00ED6CD4" w:rsidP="00ED6CD4">
      <w:pPr>
        <w:autoSpaceDE w:val="0"/>
        <w:autoSpaceDN w:val="0"/>
        <w:adjustRightInd w:val="0"/>
        <w:spacing w:line="276" w:lineRule="auto"/>
        <w:jc w:val="both"/>
        <w:rPr>
          <w:rFonts w:eastAsia="Cambria" w:cstheme="minorHAnsi"/>
          <w:b/>
          <w:bCs/>
          <w:color w:val="000000"/>
          <w:sz w:val="22"/>
          <w:szCs w:val="22"/>
        </w:rPr>
      </w:pPr>
      <w:r w:rsidRPr="004A5142">
        <w:rPr>
          <w:rFonts w:eastAsia="Cambria" w:cstheme="minorHAnsi"/>
          <w:b/>
          <w:bCs/>
          <w:color w:val="000000"/>
          <w:sz w:val="22"/>
          <w:szCs w:val="22"/>
        </w:rPr>
        <w:t xml:space="preserve">Standardized incidence ratio (SIR) </w:t>
      </w:r>
    </w:p>
    <w:tbl>
      <w:tblPr>
        <w:tblpPr w:leftFromText="180" w:rightFromText="180" w:vertAnchor="text" w:horzAnchor="margin"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52"/>
      </w:tblGrid>
      <w:tr w:rsidR="00ED6CD4" w:rsidRPr="00524CA4" w14:paraId="1D9EC077" w14:textId="77777777" w:rsidTr="00AD432B">
        <w:tc>
          <w:tcPr>
            <w:tcW w:w="3964" w:type="dxa"/>
          </w:tcPr>
          <w:p w14:paraId="0C061E57" w14:textId="77777777" w:rsidR="00ED6CD4" w:rsidRPr="00524CA4" w:rsidRDefault="00ED6CD4" w:rsidP="00563BD7">
            <w:pPr>
              <w:spacing w:after="0" w:line="240" w:lineRule="auto"/>
            </w:pPr>
            <w:r w:rsidRPr="00524CA4">
              <w:t xml:space="preserve"> SIR compared to the general population</w:t>
            </w:r>
          </w:p>
        </w:tc>
        <w:tc>
          <w:tcPr>
            <w:tcW w:w="5052" w:type="dxa"/>
          </w:tcPr>
          <w:p w14:paraId="61C6AB19" w14:textId="77777777" w:rsidR="00ED6CD4" w:rsidRPr="00524CA4" w:rsidRDefault="00ED6CD4" w:rsidP="00563BD7">
            <w:pPr>
              <w:spacing w:after="0" w:line="240" w:lineRule="auto"/>
            </w:pPr>
            <w:r w:rsidRPr="00524CA4">
              <w:t>KTR Common cancers</w:t>
            </w:r>
          </w:p>
        </w:tc>
      </w:tr>
      <w:tr w:rsidR="00ED6CD4" w:rsidRPr="00524CA4" w14:paraId="72458284" w14:textId="77777777" w:rsidTr="00AD432B">
        <w:tc>
          <w:tcPr>
            <w:tcW w:w="3964" w:type="dxa"/>
          </w:tcPr>
          <w:p w14:paraId="6E4A5BA9" w14:textId="77777777" w:rsidR="00ED6CD4" w:rsidRPr="00524CA4" w:rsidRDefault="00ED6CD4" w:rsidP="00563BD7">
            <w:pPr>
              <w:spacing w:after="0" w:line="240" w:lineRule="auto"/>
            </w:pPr>
            <w:r w:rsidRPr="00524CA4">
              <w:t>High SIR &gt;5</w:t>
            </w:r>
          </w:p>
        </w:tc>
        <w:tc>
          <w:tcPr>
            <w:tcW w:w="5052" w:type="dxa"/>
          </w:tcPr>
          <w:p w14:paraId="35AB58B5" w14:textId="77777777" w:rsidR="00ED6CD4" w:rsidRPr="00524CA4" w:rsidRDefault="00ED6CD4" w:rsidP="00563BD7">
            <w:pPr>
              <w:spacing w:after="0" w:line="240" w:lineRule="auto"/>
            </w:pPr>
            <w:r w:rsidRPr="00524CA4">
              <w:t>Lip</w:t>
            </w:r>
          </w:p>
          <w:p w14:paraId="0976EA67" w14:textId="77777777" w:rsidR="00ED6CD4" w:rsidRPr="00524CA4" w:rsidRDefault="00ED6CD4" w:rsidP="00563BD7">
            <w:pPr>
              <w:spacing w:after="0" w:line="240" w:lineRule="auto"/>
            </w:pPr>
            <w:r w:rsidRPr="00524CA4">
              <w:t>Non-melanoma skin</w:t>
            </w:r>
          </w:p>
          <w:p w14:paraId="320B324F" w14:textId="77777777" w:rsidR="00ED6CD4" w:rsidRPr="00524CA4" w:rsidRDefault="00ED6CD4" w:rsidP="00563BD7">
            <w:pPr>
              <w:spacing w:after="0" w:line="240" w:lineRule="auto"/>
            </w:pPr>
            <w:r w:rsidRPr="00524CA4">
              <w:t>Anus</w:t>
            </w:r>
          </w:p>
          <w:p w14:paraId="7295BFB6" w14:textId="77777777" w:rsidR="00ED6CD4" w:rsidRPr="00524CA4" w:rsidRDefault="00ED6CD4" w:rsidP="00563BD7">
            <w:pPr>
              <w:spacing w:after="0" w:line="240" w:lineRule="auto"/>
            </w:pPr>
            <w:r w:rsidRPr="00524CA4">
              <w:t>Kaposi’s sarcoma</w:t>
            </w:r>
          </w:p>
          <w:p w14:paraId="75E8A01A" w14:textId="77777777" w:rsidR="00ED6CD4" w:rsidRPr="00524CA4" w:rsidRDefault="00ED6CD4" w:rsidP="00563BD7">
            <w:pPr>
              <w:spacing w:after="0" w:line="240" w:lineRule="auto"/>
            </w:pPr>
            <w:r w:rsidRPr="00524CA4">
              <w:t>Eye</w:t>
            </w:r>
          </w:p>
          <w:p w14:paraId="7852F05D" w14:textId="77777777" w:rsidR="00ED6CD4" w:rsidRPr="00524CA4" w:rsidRDefault="00ED6CD4" w:rsidP="00563BD7">
            <w:pPr>
              <w:spacing w:after="0" w:line="240" w:lineRule="auto"/>
            </w:pPr>
            <w:r w:rsidRPr="00524CA4">
              <w:t xml:space="preserve">Lymphoma (Hodgkin and </w:t>
            </w:r>
            <w:proofErr w:type="gramStart"/>
            <w:r w:rsidRPr="00524CA4">
              <w:t>Non Hodgkin</w:t>
            </w:r>
            <w:proofErr w:type="gramEnd"/>
            <w:r w:rsidRPr="00524CA4">
              <w:t>)</w:t>
            </w:r>
          </w:p>
          <w:p w14:paraId="20DC27C8" w14:textId="77777777" w:rsidR="00ED6CD4" w:rsidRPr="00524CA4" w:rsidRDefault="00ED6CD4" w:rsidP="00563BD7">
            <w:pPr>
              <w:spacing w:after="0" w:line="240" w:lineRule="auto"/>
            </w:pPr>
            <w:r w:rsidRPr="00524CA4">
              <w:t>Kidney</w:t>
            </w:r>
          </w:p>
          <w:p w14:paraId="38EEF135" w14:textId="77777777" w:rsidR="00ED6CD4" w:rsidRPr="00524CA4" w:rsidRDefault="00ED6CD4" w:rsidP="00563BD7">
            <w:pPr>
              <w:spacing w:after="0" w:line="240" w:lineRule="auto"/>
            </w:pPr>
            <w:r w:rsidRPr="00524CA4">
              <w:t>Thyroid</w:t>
            </w:r>
          </w:p>
          <w:p w14:paraId="41A85805" w14:textId="77777777" w:rsidR="00ED6CD4" w:rsidRPr="00524CA4" w:rsidRDefault="00ED6CD4" w:rsidP="00563BD7">
            <w:pPr>
              <w:spacing w:after="0" w:line="240" w:lineRule="auto"/>
            </w:pPr>
          </w:p>
        </w:tc>
      </w:tr>
      <w:tr w:rsidR="00ED6CD4" w:rsidRPr="00524CA4" w14:paraId="6B52D55E" w14:textId="77777777" w:rsidTr="00AD432B">
        <w:tc>
          <w:tcPr>
            <w:tcW w:w="3964" w:type="dxa"/>
          </w:tcPr>
          <w:p w14:paraId="6FAD05D3" w14:textId="77777777" w:rsidR="00ED6CD4" w:rsidRPr="00524CA4" w:rsidRDefault="00ED6CD4" w:rsidP="00563BD7">
            <w:pPr>
              <w:spacing w:after="0" w:line="240" w:lineRule="auto"/>
            </w:pPr>
            <w:r w:rsidRPr="00524CA4">
              <w:t>Medium SIR 1-5</w:t>
            </w:r>
          </w:p>
        </w:tc>
        <w:tc>
          <w:tcPr>
            <w:tcW w:w="5052" w:type="dxa"/>
          </w:tcPr>
          <w:p w14:paraId="5BC563DD" w14:textId="77777777" w:rsidR="00ED6CD4" w:rsidRPr="00524CA4" w:rsidRDefault="00ED6CD4" w:rsidP="00563BD7">
            <w:pPr>
              <w:spacing w:after="0" w:line="240" w:lineRule="auto"/>
            </w:pPr>
            <w:r w:rsidRPr="00524CA4">
              <w:t>Melanoma</w:t>
            </w:r>
          </w:p>
          <w:p w14:paraId="3E950AFF" w14:textId="77777777" w:rsidR="00ED6CD4" w:rsidRPr="00524CA4" w:rsidRDefault="00ED6CD4" w:rsidP="00563BD7">
            <w:pPr>
              <w:spacing w:after="0" w:line="240" w:lineRule="auto"/>
            </w:pPr>
            <w:r w:rsidRPr="00524CA4">
              <w:t>Cervix</w:t>
            </w:r>
          </w:p>
          <w:p w14:paraId="76D3C02F" w14:textId="77777777" w:rsidR="00ED6CD4" w:rsidRPr="00524CA4" w:rsidRDefault="00ED6CD4" w:rsidP="00563BD7">
            <w:pPr>
              <w:spacing w:after="0" w:line="240" w:lineRule="auto"/>
            </w:pPr>
            <w:r w:rsidRPr="00524CA4">
              <w:t>Vulvovaginal</w:t>
            </w:r>
          </w:p>
          <w:p w14:paraId="3480CC54" w14:textId="77777777" w:rsidR="00ED6CD4" w:rsidRPr="00524CA4" w:rsidRDefault="00ED6CD4" w:rsidP="00563BD7">
            <w:pPr>
              <w:spacing w:after="0" w:line="240" w:lineRule="auto"/>
            </w:pPr>
            <w:r w:rsidRPr="00524CA4">
              <w:t>Bladder</w:t>
            </w:r>
          </w:p>
          <w:p w14:paraId="4C2B72BB" w14:textId="77777777" w:rsidR="00ED6CD4" w:rsidRPr="00524CA4" w:rsidRDefault="00ED6CD4" w:rsidP="00563BD7">
            <w:pPr>
              <w:spacing w:after="0" w:line="240" w:lineRule="auto"/>
            </w:pPr>
            <w:r w:rsidRPr="00524CA4">
              <w:t>Colorectal</w:t>
            </w:r>
          </w:p>
          <w:p w14:paraId="39DD3CF6" w14:textId="77777777" w:rsidR="00ED6CD4" w:rsidRPr="00524CA4" w:rsidRDefault="00ED6CD4" w:rsidP="00563BD7">
            <w:pPr>
              <w:spacing w:after="0" w:line="240" w:lineRule="auto"/>
            </w:pPr>
            <w:r w:rsidRPr="00524CA4">
              <w:t>Lung</w:t>
            </w:r>
          </w:p>
          <w:p w14:paraId="777878B7" w14:textId="77777777" w:rsidR="00ED6CD4" w:rsidRPr="00524CA4" w:rsidRDefault="00ED6CD4" w:rsidP="00563BD7">
            <w:pPr>
              <w:spacing w:after="0" w:line="240" w:lineRule="auto"/>
            </w:pPr>
            <w:r w:rsidRPr="00524CA4">
              <w:t>Stomach</w:t>
            </w:r>
          </w:p>
          <w:p w14:paraId="63BBEC08" w14:textId="77777777" w:rsidR="00ED6CD4" w:rsidRPr="00524CA4" w:rsidRDefault="00ED6CD4" w:rsidP="00563BD7">
            <w:pPr>
              <w:spacing w:after="0" w:line="240" w:lineRule="auto"/>
            </w:pPr>
            <w:r w:rsidRPr="00524CA4">
              <w:t>Oesophagus</w:t>
            </w:r>
          </w:p>
          <w:p w14:paraId="3B5AC9F2" w14:textId="77777777" w:rsidR="00ED6CD4" w:rsidRPr="00524CA4" w:rsidRDefault="00ED6CD4" w:rsidP="00563BD7">
            <w:pPr>
              <w:spacing w:after="0" w:line="240" w:lineRule="auto"/>
            </w:pPr>
            <w:r w:rsidRPr="00524CA4">
              <w:lastRenderedPageBreak/>
              <w:t>Oral cavity</w:t>
            </w:r>
          </w:p>
          <w:p w14:paraId="250216FE" w14:textId="77777777" w:rsidR="00ED6CD4" w:rsidRPr="00524CA4" w:rsidRDefault="00ED6CD4" w:rsidP="00563BD7">
            <w:pPr>
              <w:spacing w:after="0" w:line="240" w:lineRule="auto"/>
            </w:pPr>
            <w:r w:rsidRPr="00524CA4">
              <w:t>Myeloma</w:t>
            </w:r>
          </w:p>
          <w:p w14:paraId="5C38CC16" w14:textId="77777777" w:rsidR="00ED6CD4" w:rsidRPr="00524CA4" w:rsidRDefault="00ED6CD4" w:rsidP="00563BD7">
            <w:pPr>
              <w:spacing w:after="0" w:line="240" w:lineRule="auto"/>
            </w:pPr>
            <w:r w:rsidRPr="00524CA4">
              <w:t>Leukaemia</w:t>
            </w:r>
          </w:p>
          <w:p w14:paraId="09FA6294" w14:textId="77777777" w:rsidR="00ED6CD4" w:rsidRPr="00524CA4" w:rsidRDefault="00ED6CD4" w:rsidP="00563BD7">
            <w:pPr>
              <w:spacing w:after="0" w:line="240" w:lineRule="auto"/>
            </w:pPr>
            <w:r w:rsidRPr="00524CA4">
              <w:t>Hepatobiliary</w:t>
            </w:r>
          </w:p>
          <w:p w14:paraId="65A48189" w14:textId="77777777" w:rsidR="00ED6CD4" w:rsidRPr="00524CA4" w:rsidRDefault="00ED6CD4" w:rsidP="00563BD7">
            <w:pPr>
              <w:spacing w:after="0" w:line="240" w:lineRule="auto"/>
            </w:pPr>
            <w:r w:rsidRPr="00524CA4">
              <w:t>Pancreas</w:t>
            </w:r>
          </w:p>
          <w:p w14:paraId="730A4054" w14:textId="77777777" w:rsidR="00ED6CD4" w:rsidRPr="00524CA4" w:rsidRDefault="00ED6CD4" w:rsidP="00563BD7">
            <w:pPr>
              <w:spacing w:after="0" w:line="240" w:lineRule="auto"/>
            </w:pPr>
            <w:r w:rsidRPr="00524CA4">
              <w:t>Ovary</w:t>
            </w:r>
          </w:p>
        </w:tc>
      </w:tr>
      <w:tr w:rsidR="00ED6CD4" w:rsidRPr="00524CA4" w14:paraId="4A8BF795" w14:textId="77777777" w:rsidTr="00AD432B">
        <w:tc>
          <w:tcPr>
            <w:tcW w:w="3964" w:type="dxa"/>
          </w:tcPr>
          <w:p w14:paraId="63D064EB" w14:textId="77777777" w:rsidR="00ED6CD4" w:rsidRPr="00524CA4" w:rsidRDefault="00ED6CD4" w:rsidP="00563BD7">
            <w:pPr>
              <w:spacing w:after="0" w:line="240" w:lineRule="auto"/>
            </w:pPr>
            <w:r w:rsidRPr="00524CA4">
              <w:lastRenderedPageBreak/>
              <w:t>No increase</w:t>
            </w:r>
          </w:p>
        </w:tc>
        <w:tc>
          <w:tcPr>
            <w:tcW w:w="5052" w:type="dxa"/>
          </w:tcPr>
          <w:p w14:paraId="4CBC6941" w14:textId="77777777" w:rsidR="00ED6CD4" w:rsidRPr="00524CA4" w:rsidRDefault="00ED6CD4" w:rsidP="00563BD7">
            <w:pPr>
              <w:spacing w:after="0" w:line="240" w:lineRule="auto"/>
            </w:pPr>
            <w:r w:rsidRPr="00524CA4">
              <w:t>Breast</w:t>
            </w:r>
          </w:p>
          <w:p w14:paraId="731ED34D" w14:textId="77777777" w:rsidR="00ED6CD4" w:rsidRPr="00524CA4" w:rsidRDefault="00ED6CD4" w:rsidP="00563BD7">
            <w:pPr>
              <w:spacing w:after="0" w:line="240" w:lineRule="auto"/>
            </w:pPr>
            <w:r w:rsidRPr="00524CA4">
              <w:t>Prostate</w:t>
            </w:r>
          </w:p>
          <w:p w14:paraId="009D385F" w14:textId="77777777" w:rsidR="00ED6CD4" w:rsidRPr="00524CA4" w:rsidRDefault="00ED6CD4" w:rsidP="00563BD7">
            <w:pPr>
              <w:spacing w:after="0" w:line="240" w:lineRule="auto"/>
            </w:pPr>
            <w:r w:rsidRPr="00524CA4">
              <w:t>Uterus</w:t>
            </w:r>
          </w:p>
          <w:p w14:paraId="2A8850AE" w14:textId="77777777" w:rsidR="00ED6CD4" w:rsidRPr="00524CA4" w:rsidRDefault="00ED6CD4" w:rsidP="00563BD7">
            <w:pPr>
              <w:spacing w:after="0" w:line="240" w:lineRule="auto"/>
            </w:pPr>
            <w:r w:rsidRPr="00524CA4">
              <w:t>Leukaemia</w:t>
            </w:r>
          </w:p>
        </w:tc>
      </w:tr>
    </w:tbl>
    <w:p w14:paraId="76A5E255" w14:textId="77777777" w:rsidR="00ED6CD4" w:rsidRPr="00524CA4" w:rsidRDefault="00ED6CD4" w:rsidP="00ED6CD4">
      <w:pPr>
        <w:autoSpaceDE w:val="0"/>
        <w:autoSpaceDN w:val="0"/>
        <w:adjustRightInd w:val="0"/>
        <w:spacing w:line="276" w:lineRule="auto"/>
        <w:jc w:val="both"/>
        <w:rPr>
          <w:rFonts w:eastAsia="Cambria" w:cstheme="minorHAnsi"/>
          <w:color w:val="000000"/>
          <w:sz w:val="22"/>
          <w:szCs w:val="22"/>
        </w:rPr>
      </w:pPr>
    </w:p>
    <w:p w14:paraId="04C96435" w14:textId="7728390F" w:rsidR="00ED6CD4" w:rsidRDefault="00666C6F" w:rsidP="00F32CE0">
      <w:pPr>
        <w:pStyle w:val="GuidelineHeadings"/>
      </w:pPr>
      <w:r>
        <w:t xml:space="preserve">Guideline 6.1 </w:t>
      </w:r>
      <w:r w:rsidRPr="00666C6F">
        <w:t>–</w:t>
      </w:r>
      <w:r>
        <w:t xml:space="preserve"> </w:t>
      </w:r>
      <w:r w:rsidR="00F32CE0" w:rsidRPr="00F32CE0">
        <w:t>Screening for cancer</w:t>
      </w:r>
    </w:p>
    <w:p w14:paraId="6CA87406" w14:textId="5B43A0B8" w:rsidR="00ED6CD4" w:rsidRPr="00524CA4" w:rsidRDefault="00ED6CD4" w:rsidP="00AF5E8D">
      <w:r w:rsidRPr="00524CA4">
        <w:t>The merits of any screening programme must balance the individual’s risk of developing the disease, their prognosis if detected, and the risk of harm from screening. Screening should be individualised and reflect co-morbidities and other competing risks (e.g., vascular disease). Some centres have advocated more frequent screening (e.g., annual cervical screening)</w:t>
      </w:r>
      <w:r>
        <w:t>,</w:t>
      </w:r>
      <w:r w:rsidRPr="00524CA4">
        <w:t xml:space="preserve"> but evidence is lacking to support these assertions. However, new studies demonstrate </w:t>
      </w:r>
      <w:r>
        <w:t xml:space="preserve">the </w:t>
      </w:r>
      <w:r w:rsidRPr="00524CA4">
        <w:t xml:space="preserve">possible benefit of </w:t>
      </w:r>
      <w:r>
        <w:t xml:space="preserve">an </w:t>
      </w:r>
      <w:r w:rsidRPr="00524CA4">
        <w:t>evidence-based skin cancer surveillance program to assess and manage KTRs</w:t>
      </w:r>
      <w:r>
        <w:t xml:space="preserve"> </w:t>
      </w:r>
      <w:r>
        <w:fldChar w:fldCharType="begin"/>
      </w:r>
      <w:r w:rsidR="002D20B5">
        <w:instrText xml:space="preserve"> ADDIN ZOTERO_ITEM CSL_CITATION {"citationID":"XjexPJld","properties":{"formattedCitation":"\\super 286\\nosupersub{}","plainCitation":"286","noteIndex":0},"citationItems":[{"id":19168,"uris":["http://zotero.org/users/3444308/items/4KBK5YFF"],"itemData":{"id":19168,"type":"article-journal","abstract":"Skin cancer is a frequent complication of organ transplantation. Current guidelines advise specialist skin surveillance but there are limited data on how these should be implemented. This study determines overall burden of cancer and relevant intervals for strategic surveillance in an ethnically diverse transplant population. Prospective data on time to first and subsequent cancers and cumulative burden with respect to defined risk factors were analyzed in a cohort of 1010 patients in a UK center over 22 years. Among 931 individuals transplanted &gt;6 months (mean 10.3 years), 1820 skin cancers occurred in 267 (29%) individuals and were multiple in 66%. Cumulative incidence at 5, 10, 20 and 30 years was 11%, 25%, 54% and 74%, with median time to second, third and fourth cancers of 24, 14.7 and 8.4 months, respectively. Tumors were overwhelmingly squamous and basal cell carcinomas (73% and 24%, respectively). Skin phototype, ultraviolet radiation exposure, age at transplant and duration of transplant were significant risk predictors and were used to construct clinically relevant surveillance intervals. This study provides a comprehensive, prospective analysis of skin cancer morbidity and risk in an ethnically diverse transplant population from which we derive an evidence-based skin cancer surveillance program.","container-title":"American Journal of Transplantation: Official Journal of the American Society of Transplantation and the American Society of Transplant Surgeons","DOI":"10.1111/j.1600-6143.2012.04292.x","ISSN":"1600-6143","issue":"1","journalAbbreviation":"Am J Transplant","language":"eng","note":"PMID: 23072567","page":"119-129","source":"PubMed","title":"A surveillance model for skin cancer in organ transplant recipients: a 22-year prospective study in an ethnically diverse population","title-short":"A surveillance model for skin cancer in organ transplant recipients","volume":"13","author":[{"family":"Harwood","given":"C. A."},{"family":"Mesher","given":"D."},{"family":"McGregor","given":"J. M."},{"family":"Mitchell","given":"L."},{"family":"Leedham-Green","given":"M."},{"family":"Raftery","given":"M."},{"family":"Cerio","given":"R."},{"family":"Leigh","given":"I. M."},{"family":"Sasieni","given":"P."},{"family":"Proby","given":"C. M."}],"issued":{"date-parts":[["2013",1]]}}}],"schema":"https://github.com/citation-style-language/schema/raw/master/csl-citation.json"} </w:instrText>
      </w:r>
      <w:r>
        <w:fldChar w:fldCharType="separate"/>
      </w:r>
      <w:r w:rsidR="002D20B5" w:rsidRPr="002D20B5">
        <w:rPr>
          <w:rFonts w:ascii="Calibri" w:hAnsi="Calibri" w:cs="Calibri"/>
          <w:vertAlign w:val="superscript"/>
        </w:rPr>
        <w:t>286</w:t>
      </w:r>
      <w:r>
        <w:fldChar w:fldCharType="end"/>
      </w:r>
      <w:r w:rsidRPr="00524CA4">
        <w:t>.</w:t>
      </w:r>
    </w:p>
    <w:p w14:paraId="35E6095F" w14:textId="47A65198" w:rsidR="00ED6CD4" w:rsidRDefault="00ED6CD4" w:rsidP="00AF5E8D">
      <w:r w:rsidRPr="00524CA4">
        <w:t xml:space="preserve">In KTR screening should follow the pattern of the general population for most common cancer </w:t>
      </w:r>
      <w:r>
        <w:fldChar w:fldCharType="begin"/>
      </w:r>
      <w:r w:rsidR="002D20B5">
        <w:instrText xml:space="preserve"> ADDIN ZOTERO_ITEM CSL_CITATION {"citationID":"x2EQgJxU","properties":{"formattedCitation":"\\super 287,288\\nosupersub{}","plainCitation":"287,288","noteIndex":0},"citationItems":[{"id":19166,"uris":["http://zotero.org/users/3444308/items/DJ76FBBR"],"itemData":{"id":19166,"type":"article-journal","abstract":"BACKGROUND: Acquired cystic kidney disease (ACKD) is a widely known renal cell carcinoma risk factor.\nDESIGN, SETTING, PARTICIPANTS, AND MEASUREMENTS: An ultrasound screening of the native kidneys in all renal transplant patients of a renal outpatient clinic who received a transplant between 1970 and 1998 and presented between 1997 and 2003 (n = 916) was initiated prospectively. A total of 561 patients were screened.\nRESULTS: A total of 129 (23%) patients had ACKD; 46 (8.2%) patients had complex renal cysts (Bosniak classification, category IIF to III); and eight (1.5%) patients had newly diagnosed renal cell carcinoma, seven of which were associated with ACKD (category IV). One patient had renal cell carcinoma in the transplanted kidney. Together with 19 patients of the cohort with formerly diagnosed renal cell carcinoma (18 of them associated with ACKD), the prevalence of renal cell carcinoma among all patients was 4.8%; among the patients with ACKD, it was 19.4% (without ACKD 0.5%; P = 0.0001); and among the patients with complex renal cysts (category IIF to III), it was 54.4%. The patients with ACKD were older (54 +/- 13 versus 51 +/- 14 yr; P = 0.048), more often male (65 versus 54%; P = 0.03), more often had heart disease (44 versus 29%; P = 0.001), had larger kidneys (6.9 and 6.8 cm versus 6.0 and 5.9 cm; P &lt; 0.001), and had more calcifications (29 versus 15%; P = 0.002). Renal cell carcinoma was bilateral in 26% of cases. Tumor histology was clear cell carcinoma in 58% and papillary carcinoma in 42% of cases; one patient had both. Only one patient had a lung metastasis, and no patient died.\nCONCLUSIONS: Renal cell carcinoma occurs often after renal transplantation and that especially patients with ACKD should routinely be screened. Because ACKD after renal transplantation seems to be less frequent (23%) than during dialysis treatment (30 to 90%), renal transplantation may inhibit renal cell carcinoma.","container-title":"Clinical journal of the American Society of Nephrology: CJASN","DOI":"10.2215/CJN.03661106","ISSN":"1555-905X","issue":"4","journalAbbreviation":"Clin J Am Soc Nephrol","language":"eng","note":"PMID: 17699492","page":"750-756","source":"PubMed","title":"Renal cell carcinoma in transplant recipients with acquired cystic kidney disease","volume":"2","author":[{"family":"Schwarz","given":"Anke"},{"family":"Vatandaslar","given":"Serap"},{"family":"Merkel","given":"Saskia"},{"family":"Haller","given":"Hermann"}],"issued":{"date-parts":[["2007",7]]}}},{"id":19167,"uris":["http://zotero.org/users/3444308/items/CUCQKX6I"],"itemData":{"id":19167,"type":"article-journal","abstract":"BACKGROUND: The risk of cervical cancer in women who are kidney transplant recipients is increased, but little is known about the effectiveness of screening and human papillomavirus (HPV) vaccination in this group of women. We sought to determine the cost effectiveness of annual screening for cervical cancers using conventional cytology, liquid-based cytology (LBC), and pretransplant HPV vaccination in kidney transplant recipients.\nMETHODS: Three deterministic Markov models were developed to compare the costs and health outcomes in a cohort of women (n=1000) with kidney transplants aged 18 to 69 who underwent annual screening using conventional cytology, LBC, and HPV vaccination in HPV naïve women.\nRESULTS: After a screening period of 50 years, the incremental benefits of screening using conventional cytology compared with no screening were 0.05 life years saved (LYS) (18.2 days of lives saved), the incremental costs were $608, giving an incremental cost-effectiveness ratio of $12,160 per LYS. Compared with conventional cytology alone, the incremental cost-effectiveness ratios of annual screening using LBC and HPV vaccination before transplantation (assuming nonwaning efficacy) were $127,000 and $152,333 per LYS, respectively.\nCONCLUSION: The recommended policy of annual screening using conventional cytology is cost effective. The replacement of conventional cytology with LBC is likely to provide minimal survival benefits but considerable costs. Assuming the reported trial-based vaccine efficacy in HPV naïve women, a program of HPV vaccination before kidney transplantation is unlikely to be cost effective. Additional data about the long-term efficacy and safety of HPV vaccination is required before it should be included as standard care of renal transplant recipients.","container-title":"Transplantation","DOI":"10.1097/TP.0b013e31819d32eb","ISSN":"1534-6080","issue":"7","journalAbbreviation":"Transplantation","language":"eng","note":"PMID: 19352131","page":"1078-1091","source":"PubMed","title":"The health and economic impact of cervical cancer screening and human papillomavirus vaccination in kidney transplant recipients","volume":"87","author":[{"family":"Wong","given":"Germaine"},{"family":"Howard","given":"Kirsten"},{"family":"Webster","given":"Angela"},{"family":"Chapman","given":"Jeremy R."},{"family":"Craig","given":"Jonathan C."}],"issued":{"date-parts":[["2009",4,15]]}}}],"schema":"https://github.com/citation-style-language/schema/raw/master/csl-citation.json"} </w:instrText>
      </w:r>
      <w:r>
        <w:fldChar w:fldCharType="separate"/>
      </w:r>
      <w:r w:rsidR="002D20B5" w:rsidRPr="002D20B5">
        <w:rPr>
          <w:rFonts w:ascii="Calibri" w:hAnsi="Calibri" w:cs="Calibri"/>
          <w:vertAlign w:val="superscript"/>
        </w:rPr>
        <w:t>287,288</w:t>
      </w:r>
      <w:r>
        <w:fldChar w:fldCharType="end"/>
      </w:r>
      <w:r w:rsidRPr="00524CA4">
        <w:t xml:space="preserve">. The national cancer screening protocols are described on NHS England website (https://www.nhs.uk/conditions/nhs-screening/). Smoking cessation should be encouraged in all KTRs. A formal protocol for the management of smoking cessation should be available in each transplant centre.  </w:t>
      </w:r>
    </w:p>
    <w:p w14:paraId="06E097B0" w14:textId="21CD688C" w:rsidR="00AF5E8D" w:rsidRPr="00AF5E8D" w:rsidRDefault="00AF5E8D" w:rsidP="00AF5E8D">
      <w:pPr>
        <w:pStyle w:val="GuidelineHeadings"/>
        <w:rPr>
          <w:color w:val="auto"/>
        </w:rPr>
      </w:pPr>
      <w:r>
        <w:t xml:space="preserve">Guideline 6.2 </w:t>
      </w:r>
      <w:r w:rsidRPr="00AF5E8D">
        <w:t>–</w:t>
      </w:r>
      <w:r>
        <w:t xml:space="preserve"> </w:t>
      </w:r>
      <w:r w:rsidRPr="00AF5E8D">
        <w:t>Non-Melanoma Skin Cancer (NMSC)</w:t>
      </w:r>
    </w:p>
    <w:p w14:paraId="47053EC1" w14:textId="1BBA3AC6" w:rsidR="00ED6CD4" w:rsidRDefault="00ED6CD4" w:rsidP="00516860">
      <w:r w:rsidRPr="00524CA4">
        <w:t>Certain patient groups are at higher risk of non-melanoma skin cancer, particularly fair-skin and living in a sunny climate. Other risk factors include occupation, behaviour, previous skin cancer, childhood solar exposure, family history and CNI use</w:t>
      </w:r>
      <w:r>
        <w:t xml:space="preserve"> </w:t>
      </w:r>
      <w:r>
        <w:fldChar w:fldCharType="begin"/>
      </w:r>
      <w:r w:rsidR="002D20B5">
        <w:instrText xml:space="preserve"> ADDIN ZOTERO_ITEM CSL_CITATION {"citationID":"WgQ8Tdsv","properties":{"formattedCitation":"\\super 289\\nosupersub{}","plainCitation":"289","noteIndex":0},"citationItems":[{"id":19165,"uris":["http://zotero.org/users/3444308/items/5HIID4BC"],"itemData":{"id":19165,"type":"article-journal","abstract":"The purpose of this systematic review and meta-analysis was to compare the risk of non-melanoma skin cancer (NMSC) and melanoma development in renal transplant recipients who receive calcineurin inhibitors to that of patients treated with other immunosuppressive agents, and investigate the possible association between the type of maintenance immunosuppression and the incidence of NSMC and melanoma in this group of patients. The authors searched databases such as PubMed, Scopus, and Web of Science for articles that would help establish the influence of calcineurin inhibitors on skin cancer development. The inclusion criteria for the study consisted of randomized clinical trials, cohort studies, and case-control studies that compared patients who received kidney transplants and were treated with a calcineurin inhibitor (CNI), such as cyclosporine A (CsA) or tacrolimus (Tac), to those who received alternative immunosuppressants and did not receive a CNI. Seven articles were analyzed overall. The results revealed a correlation between CNI treatment in renal transplant recipients and increased total skin cancer risk (OR 1.28; 95% CI: 0.10-16.28; p &lt; 0.01), melanoma risk (OR 1.09; 95% CI: 0.25-4.74; p &lt; 0.01), and NMSC risk (OR 1.16; 95% CI: 0.41-3.26; p &lt; 0.01). In conclusion, the calcineurin inhibitors used after kidney transplantation are associated with a higher risk of skin cancer-both non-melanoma and melanoma-when compared with other immunosuppressive therapies. This finding suggests that careful monitoring for skin lesions in post-transplant patients must be conducted. However, the decision on the kind of immunotherapy used should always be considered on an individual basis for each renal transplant recipient.","container-title":"Current Oncology (Toronto, Ont.)","DOI":"10.3390/curroncol30060430","ISSN":"1718-7729","issue":"6","journalAbbreviation":"Curr Oncol","language":"eng","note":"PMID: 37366913\nPMCID: PMC10296938","page":"5727-5737","source":"PubMed","title":"Systematic Review of Calcineurin Inhibitors and Incidence of Skin Malignancies after Kidney Transplantation in Adult Patients: A Study of 309,551 Cases","title-short":"Systematic Review of Calcineurin Inhibitors and Incidence of Skin Malignancies after Kidney Transplantation in Adult Patients","volume":"30","author":[{"family":"Kulbat","given":"Aleksandra"},{"family":"Richter","given":"Karolina"},{"family":"Stefura","given":"Tomasz"},{"family":"Kołodziej-Rzepa","given":"Marta"},{"family":"Kisielewski","given":"Michał"},{"family":"Wojewoda","given":"Tomasz"},{"family":"Wysocki","given":"Wojciech M."}],"issued":{"date-parts":[["2023",6,13]]}}}],"schema":"https://github.com/citation-style-language/schema/raw/master/csl-citation.json"} </w:instrText>
      </w:r>
      <w:r>
        <w:fldChar w:fldCharType="separate"/>
      </w:r>
      <w:r w:rsidR="002D20B5" w:rsidRPr="002D20B5">
        <w:rPr>
          <w:rFonts w:ascii="Calibri" w:hAnsi="Calibri" w:cs="Calibri"/>
          <w:vertAlign w:val="superscript"/>
        </w:rPr>
        <w:t>289</w:t>
      </w:r>
      <w:r>
        <w:fldChar w:fldCharType="end"/>
      </w:r>
      <w:r w:rsidRPr="00524CA4">
        <w:t>. It is sensible to minimise exposure and use sun block. Acitretin (0.2-0.4 mg/kg/day) may prevent recurrence in those with previous skin cancer</w:t>
      </w:r>
      <w:r>
        <w:t xml:space="preserve"> </w:t>
      </w:r>
      <w:r>
        <w:fldChar w:fldCharType="begin"/>
      </w:r>
      <w:r w:rsidR="002D20B5">
        <w:instrText xml:space="preserve"> ADDIN ZOTERO_ITEM CSL_CITATION {"citationID":"82eaOySK","properties":{"formattedCitation":"\\super 290\\nosupersub{}","plainCitation":"290","noteIndex":0},"citationItems":[{"id":19164,"uris":["http://zotero.org/users/3444308/items/329NRN8N"],"itemData":{"id":19164,"type":"article-journal","abstract":"PURPOSE: The purpose of this study was to investigate the effect of acitretin on the development of keratotic skin lesions, and on squamous cell carcinomas and basal cell carcinomas in a group of renal transplant recipients.\nPATIENTS AND METHODS: Forty-four renal transplant recipients with more than 10 keratotic skin lesions on the hands and forearms were enrolled onto a randomized, double-blind, placebo-controlled trial to test the possible skin cancer-preventing effect of a 6-month treatment with acitretin 30 mg/d.\nRESULTS: No deterioration in renal function occurred in any of the 38 assessable patients treated. During the 6-month treatment period, two of 19 patients (11%) in the acitretin group reported a total of two new squamous cell carcinomas, compared with nine of 19 patients (47%) in the placebo group who developed a total of 18 new carcinomas (chi 2 = 6.27, P = .01). The relative decrease in the number of keratotic skin lesions in the acitretin group was 13.4%, as compared with a relative increase in the placebo group of 28.2% (difference, 41.6%; 95% confidence interval, 11.5 to 71.7). Most patients treated with acitretin had mild mucocutaneous side effects, but these were easily manageable. Some patients experienced mild hair loss. With the exception of three patients, no increase in serum cholesterol or triglyceride above pretreatment levels was observed, and liver function remained unchanged in all patients.\nCONCLUSION: Acitretin 30 mg/d over 6 months had significantly more effect than placebo in the prevention of squamous cell carcinomas and reduced the occurrence of keratotic skin lesions in a group of renal transplant recipients with severe lesions. This effect was most pronounced in patients with a history of squamous cell carcinomas and basal cell carcinomas.","container-title":"Journal of Clinical Oncology: Official Journal of the American Society of Clinical Oncology","DOI":"10.1200/JCO.1995.13.8.1933","ISSN":"0732-183X","issue":"8","journalAbbreviation":"J Clin Oncol","language":"eng","note":"PMID: 7636533","page":"1933-1938","source":"PubMed","title":"Prevention of skin cancer and reduction of keratotic skin lesions during acitretin therapy in renal transplant recipients: a double-blind, placebo-controlled study","title-short":"Prevention of skin cancer and reduction of keratotic skin lesions during acitretin therapy in renal transplant recipients","volume":"13","author":[{"family":"Bavinck","given":"J. N."},{"family":"Tieben","given":"L. M."},{"family":"Van der Woude","given":"F. J."},{"family":"Tegzess","given":"A. M."},{"family":"Hermans","given":"J."},{"family":"Schegget","given":"J.","non-dropping-particle":"ter"},{"family":"Vermeer","given":"B. J."}],"issued":{"date-parts":[["1995",8]]}}}],"schema":"https://github.com/citation-style-language/schema/raw/master/csl-citation.json"} </w:instrText>
      </w:r>
      <w:r>
        <w:fldChar w:fldCharType="separate"/>
      </w:r>
      <w:r w:rsidR="002D20B5" w:rsidRPr="002D20B5">
        <w:rPr>
          <w:rFonts w:ascii="Calibri" w:hAnsi="Calibri" w:cs="Calibri"/>
          <w:vertAlign w:val="superscript"/>
        </w:rPr>
        <w:t>290</w:t>
      </w:r>
      <w:r>
        <w:fldChar w:fldCharType="end"/>
      </w:r>
      <w:r w:rsidRPr="00524CA4">
        <w:t>. Some studies suggest that mTOR inhibitors may be associated with fewer NMSC, particularly cutaneous Kaposi sarcoma and data suggest that switching KTRs to sirolimus is associated with reduction of secondary NMSC</w:t>
      </w:r>
      <w:r>
        <w:t xml:space="preserve"> </w:t>
      </w:r>
      <w:r>
        <w:fldChar w:fldCharType="begin"/>
      </w:r>
      <w:r w:rsidR="002D20B5">
        <w:instrText xml:space="preserve"> ADDIN ZOTERO_ITEM CSL_CITATION {"citationID":"wFG8qatV","properties":{"formattedCitation":"\\super 291\\nosupersub{}","plainCitation":"291","noteIndex":0},"citationItems":[{"id":19077,"uris":["http://zotero.org/users/3444308/items/9FK767KJ","http://zotero.org/users/3444308/items/FU5RCG9L"],"itemData":{"id":19077,"type":"article-journal","abstract":"Renal transplant recipients (RTR) have a 50-200-fold higher risk for nonmelanoma-skin cancer (NMSC) causing high rates of morbidity and sometimes mortality. Cohort-studies gave evidence that a sirolimus-based immunosuppression may inhibit skin tumor growth. This single-center, prospective, assessor-blinded, randomized trial investigated if switching to sirolimus treatment inhibits the progression of premalignancies and moreover how many new NMSC occur compared to continuation of the original immunosuppressive therapy. Forty-four RTR (mean age 59.9 years, mean duration of immunosuppression 229.5 months) with skin lesions were randomized to sirolimus or continuation of their original immunosuppression. Blinded dermatological assessment at month 6 and 12 by the same dermatologist evaluated the clinical change compared to baseline. Biopsy was performed in suspected malignancy. Already the 6-month-assessment showed significant superiority of sirolimus-therapy: a stop of progression, even regression of preexisting premalignancies (p &lt; 0.0005). This effect was increased at month 12 (p &lt; 0.0001). Nine patients developed histologically confirmed NMSC: one in the sirolimus group, eight in the control group, p = 0.0176. Sirolimus-based immunosuppression in RTR, even when established many years after transplantation, can delay the development of premalignancies, induce regression of preexisting lesions and decelerate the incidence of new NMSC.","container-title":"American Journal of Transplantation: Official Journal of the American Society of Transplantation and the American Society of Transplant Surgeons","DOI":"10.1111/j.1600-6143.2009.02997.x","ISSN":"1600-6143","issue":"6","journalAbbreviation":"Am J Transplant","language":"eng","note":"PMID: 20121752","page":"1385-1393","source":"PubMed","title":"Switch to a sirolimus-based immunosuppression in long-term renal transplant recipients: reduced rate of (pre-)malignancies and nonmelanoma skin cancer in a prospective, randomized, assessor-blinded, controlled clinical trial","title-short":"Switch to a sirolimus-based immunosuppression in long-term renal transplant recipients","volume":"10","author":[{"family":"Salgo","given":"R."},{"family":"Gossmann","given":"J."},{"family":"Schöfer","given":"H."},{"family":"Kachel","given":"H. G."},{"family":"Kuck","given":"J."},{"family":"Geiger","given":"H."},{"family":"Kaufmann","given":"R."},{"family":"Scheuermann","given":"E. H."}],"issued":{"date-parts":[["2010",6]]}}}],"schema":"https://github.com/citation-style-language/schema/raw/master/csl-citation.json"} </w:instrText>
      </w:r>
      <w:r>
        <w:fldChar w:fldCharType="separate"/>
      </w:r>
      <w:r w:rsidR="002D20B5" w:rsidRPr="002D20B5">
        <w:rPr>
          <w:rFonts w:ascii="Calibri" w:hAnsi="Calibri" w:cs="Calibri"/>
          <w:vertAlign w:val="superscript"/>
        </w:rPr>
        <w:t>291</w:t>
      </w:r>
      <w:r>
        <w:fldChar w:fldCharType="end"/>
      </w:r>
      <w:r w:rsidRPr="00524CA4">
        <w:t>. However, conversion to mTOR inhibitors should take into account their adverse side effect profile, poor tolerability and associated increased risk of rejection</w:t>
      </w:r>
      <w:r>
        <w:t xml:space="preserve"> </w:t>
      </w:r>
      <w:r>
        <w:fldChar w:fldCharType="begin"/>
      </w:r>
      <w:r w:rsidR="002D20B5">
        <w:instrText xml:space="preserve"> ADDIN ZOTERO_ITEM CSL_CITATION {"citationID":"jCh6ILZS","properties":{"formattedCitation":"\\super 291,292\\nosupersub{}","plainCitation":"291,292","noteIndex":0},"citationItems":[{"id":19163,"uris":["http://zotero.org/users/3444308/items/I2RLRCUP"],"itemData":{"id":19163,"type":"article-journal","abstract":"This was a systematic review of randomized controlled trials comparing delayed conversion of mammalian target of rapamycin inhibitors (mTORi) for calcineurin inhibitors (CNIs) versus CNI continuation in kidney transplantation. Databases (2000-2012) and conference abstracts (2009-2012) were searched giving a total of 29 trials. Outcomes analyzed included GFR, graft loss, rejection and adverse events and were expressed as weighted mean differences (WMDs) or as risk ratios (RRs). Patients converted to mTORi up to 1 year posttransplant in intention-to-treat analysis had higher GFR compared with those remaining on CNI (WMD 0.28</w:instrText>
      </w:r>
      <w:r w:rsidR="002D20B5">
        <w:rPr>
          <w:rFonts w:ascii="Arial" w:hAnsi="Arial" w:cs="Arial"/>
        </w:rPr>
        <w:instrText> </w:instrText>
      </w:r>
      <w:r w:rsidR="002D20B5">
        <w:instrText>mL/min/1.73</w:instrText>
      </w:r>
      <w:r w:rsidR="002D20B5">
        <w:rPr>
          <w:rFonts w:ascii="Arial" w:hAnsi="Arial" w:cs="Arial"/>
        </w:rPr>
        <w:instrText> </w:instrText>
      </w:r>
      <w:r w:rsidR="002D20B5">
        <w:instrText xml:space="preserve">m(2) , 95% confidence interval [CI] 0.21-0.36; I(2) </w:instrText>
      </w:r>
      <w:r w:rsidR="002D20B5">
        <w:rPr>
          <w:rFonts w:ascii="Arial" w:hAnsi="Arial" w:cs="Arial"/>
        </w:rPr>
        <w:instrText> </w:instrText>
      </w:r>
      <w:r w:rsidR="002D20B5">
        <w:instrText>=</w:instrText>
      </w:r>
      <w:r w:rsidR="002D20B5">
        <w:rPr>
          <w:rFonts w:ascii="Arial" w:hAnsi="Arial" w:cs="Arial"/>
        </w:rPr>
        <w:instrText> </w:instrText>
      </w:r>
      <w:r w:rsidR="002D20B5">
        <w:instrText>68%,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Stratifying trials by time posttransplant or type of mTORi did not change the overall heterogeneity. For on-treatment population, mTORi was associated with higher GFR (14.21</w:instrText>
      </w:r>
      <w:r w:rsidR="002D20B5">
        <w:rPr>
          <w:rFonts w:ascii="Arial" w:hAnsi="Arial" w:cs="Arial"/>
        </w:rPr>
        <w:instrText> </w:instrText>
      </w:r>
      <w:r w:rsidR="002D20B5">
        <w:instrText>mL/min/1.73</w:instrText>
      </w:r>
      <w:r w:rsidR="002D20B5">
        <w:rPr>
          <w:rFonts w:ascii="Arial" w:hAnsi="Arial" w:cs="Arial"/>
        </w:rPr>
        <w:instrText> </w:instrText>
      </w:r>
      <w:r w:rsidR="002D20B5">
        <w:instrText xml:space="preserve">m(2) , 10.34-18.08; I(2) </w:instrText>
      </w:r>
      <w:r w:rsidR="002D20B5">
        <w:rPr>
          <w:rFonts w:ascii="Arial" w:hAnsi="Arial" w:cs="Arial"/>
        </w:rPr>
        <w:instrText> </w:instrText>
      </w:r>
      <w:r w:rsidR="002D20B5">
        <w:instrText>=</w:instrText>
      </w:r>
      <w:r w:rsidR="002D20B5">
        <w:rPr>
          <w:rFonts w:ascii="Arial" w:hAnsi="Arial" w:cs="Arial"/>
        </w:rPr>
        <w:instrText> </w:instrText>
      </w:r>
      <w:r w:rsidR="002D20B5">
        <w:instrText>0%, p</w:instrText>
      </w:r>
      <w:r w:rsidR="002D20B5">
        <w:rPr>
          <w:rFonts w:ascii="Arial" w:hAnsi="Arial" w:cs="Arial"/>
        </w:rPr>
        <w:instrText> </w:instrText>
      </w:r>
      <w:r w:rsidR="002D20B5">
        <w:instrText>=</w:instrText>
      </w:r>
      <w:r w:rsidR="002D20B5">
        <w:rPr>
          <w:rFonts w:ascii="Arial" w:hAnsi="Arial" w:cs="Arial"/>
        </w:rPr>
        <w:instrText> </w:instrText>
      </w:r>
      <w:r w:rsidR="002D20B5">
        <w:instrText xml:space="preserve">0.970) 2-5 years posttransplant. The risk of rejection at 1 year was higher in mTORi trials (RR 1.72, 1.34-2.22; I(2) </w:instrText>
      </w:r>
      <w:r w:rsidR="002D20B5">
        <w:rPr>
          <w:rFonts w:ascii="Arial" w:hAnsi="Arial" w:cs="Arial"/>
        </w:rPr>
        <w:instrText> </w:instrText>
      </w:r>
      <w:r w:rsidR="002D20B5">
        <w:instrText>=</w:instrText>
      </w:r>
      <w:r w:rsidR="002D20B5">
        <w:rPr>
          <w:rFonts w:ascii="Arial" w:hAnsi="Arial" w:cs="Arial"/>
        </w:rPr>
        <w:instrText> </w:instrText>
      </w:r>
      <w:r w:rsidR="002D20B5">
        <w:instrText>12%, p</w:instrText>
      </w:r>
      <w:r w:rsidR="002D20B5">
        <w:rPr>
          <w:rFonts w:ascii="Arial" w:hAnsi="Arial" w:cs="Arial"/>
        </w:rPr>
        <w:instrText> </w:instrText>
      </w:r>
      <w:r w:rsidR="002D20B5">
        <w:instrText>=</w:instrText>
      </w:r>
      <w:r w:rsidR="002D20B5">
        <w:rPr>
          <w:rFonts w:ascii="Arial" w:hAnsi="Arial" w:cs="Arial"/>
        </w:rPr>
        <w:instrText> </w:instrText>
      </w:r>
      <w:r w:rsidR="002D20B5">
        <w:instrText xml:space="preserve">0.330). Discontinuation secondary to adverse events was more common in patients on mTORi, whereas the incidence of skin cancers and cytomegalovirus infection was lower in patients on mTORi. Conversion from CNI to mTORi is associated with short-term improvements in GFR in a number of studies but longer-term follow-up data of graft and patient survival are required.","container-title":"American Journal of Transplantation: Official Journal of the American Society of Transplantation and the American Society of Transplant Surgeons","DOI":"10.1111/ajt.12795","ISSN":"1600-6143","issue":"9","journalAbbreviation":"Am J Transplant","language":"eng","note":"PMID: 25088685","page":"2106-2119","source":"PubMed","title":"A systematic review of conversion from calcineurin inhibitor to mammalian target of rapamycin inhibitors for maintenance immunosuppression in kidney transplant recipients","volume":"14","author":[{"family":"Lim","given":"W. H."},{"family":"Eris","given":"J."},{"family":"Kanellis","given":"J."},{"family":"Pussell","given":"B."},{"family":"Wiid","given":"Z."},{"family":"Witcombe","given":"D."},{"family":"Russ","given":"G. R."}],"issued":{"date-parts":[["2014",9]]}}},{"id":19077,"uris":["http://zotero.org/users/3444308/items/9FK767KJ","http://zotero.org/users/3444308/items/FU5RCG9L"],"itemData":{"id":19077,"type":"article-journal","abstract":"Renal transplant recipients (RTR) have a 50-200-fold higher risk for nonmelanoma-skin cancer (NMSC) causing high rates of morbidity and sometimes mortality. Cohort-studies gave evidence that a sirolimus-based immunosuppression may inhibit skin tumor growth. This single-center, prospective, assessor-blinded, randomized trial investigated if switching to sirolimus treatment inhibits the progression of premalignancies and moreover how many new NMSC occur compared to continuation of the original immunosuppressive therapy. Forty-four RTR (mean age 59.9 years, mean duration of immunosuppression 229.5 months) with skin lesions were randomized to sirolimus or continuation of their original immunosuppression. Blinded dermatological assessment at month 6 and 12 by the same dermatologist evaluated the clinical change compared to baseline. Biopsy was performed in suspected malignancy. Already the 6-month-assessment showed significant superiority of sirolimus-therapy: a stop of progression, even regression of preexisting premalignancies (p &lt; 0.0005). This effect was increased at month 12 (p &lt; 0.0001). Nine patients developed histologically confirmed NMSC: one in the sirolimus group, eight in the control group, p = 0.0176. Sirolimus-based immunosuppression in RTR, even when established many years after transplantation, can delay the development of premalignancies, induce regression of preexisting lesions and decelerate the incidence of new NMSC.","container-title":"American Journal of Transplantation: Official Journal of the American Society of Transplantation and the American Society of Transplant Surgeons","DOI":"10.1111/j.1600-6143.2009.02997.x","ISSN":"1600-6143","issue":"6","journalAbbreviation":"Am J Transplant","language":"eng","note":"PMID: 20121752","page":"1385-1393","source":"PubMed","title":"Switch to a sirolimus-based immunosuppression in long-term renal transplant recipients: reduced rate of (pre-)malignancies and nonmelanoma skin cancer in a prospective, randomized, assessor-blinded, controlled clinical trial","title-short":"Switch to a sirolimus-based immunosuppression in long-term renal transplant recipients","volume":"10","author":[{"family":"Salgo","given":"R."},{"family":"Gossmann","given":"J."},{"family":"Schöfer","given":"H."},{"family":"Kachel","given":"H. G."},{"family":"Kuck","given":"J."},{"family":"Geiger","given":"H."},{"family":"Kaufmann","given":"R."},{"family":"Scheuermann","given":"E. H."}],"issued":{"date-parts":[["2010",6]]}}}],"schema":"https://github.com/citation-style-language/schema/raw/master/csl-citation.json"} </w:instrText>
      </w:r>
      <w:r>
        <w:fldChar w:fldCharType="separate"/>
      </w:r>
      <w:r w:rsidR="002D20B5" w:rsidRPr="002D20B5">
        <w:rPr>
          <w:rFonts w:ascii="Calibri" w:hAnsi="Calibri" w:cs="Calibri"/>
          <w:vertAlign w:val="superscript"/>
        </w:rPr>
        <w:t>291,292</w:t>
      </w:r>
      <w:r>
        <w:fldChar w:fldCharType="end"/>
      </w:r>
      <w:r w:rsidRPr="00524CA4">
        <w:t>. The role of HPV vaccination in KTRs is unclear, but it is an inactivated vaccine that can be administered safely either before or after transplantation</w:t>
      </w:r>
      <w:r>
        <w:t xml:space="preserve"> </w:t>
      </w:r>
      <w:r>
        <w:fldChar w:fldCharType="begin"/>
      </w:r>
      <w:r w:rsidR="002D20B5">
        <w:instrText xml:space="preserve"> ADDIN ZOTERO_ITEM CSL_CITATION {"citationID":"Zj4ltzGG","properties":{"formattedCitation":"\\super 293\\nosupersub{}","plainCitation":"293","noteIndex":0},"citationItems":[{"id":19162,"uris":["http://zotero.org/users/3444308/items/WEP6Z646"],"itemData":{"id":19162,"type":"article-journal","container-title":"American Journal of Transplantation: Official Journal of the American Society of Transplantation and the American Society of Transplant Surgeons","DOI":"10.1111/ajt.12142","ISSN":"1600-6143","journalAbbreviation":"Am J Transplant","language":"eng","note":"PMID: 23465011","page":"189-200","source":"PubMed","title":"Human papillomavirus in solid organ transplantation","volume":"13 Suppl 4","author":[{"family":"Chin-Hong","given":"P. V."},{"family":"Kwak","given":"E. J."},{"literal":"AST Infectious Diseases Community of Practice"}],"issued":{"date-parts":[["2013",3]]}}}],"schema":"https://github.com/citation-style-language/schema/raw/master/csl-citation.json"} </w:instrText>
      </w:r>
      <w:r>
        <w:fldChar w:fldCharType="separate"/>
      </w:r>
      <w:r w:rsidR="002D20B5" w:rsidRPr="002D20B5">
        <w:rPr>
          <w:rFonts w:ascii="Calibri" w:hAnsi="Calibri" w:cs="Calibri"/>
          <w:vertAlign w:val="superscript"/>
        </w:rPr>
        <w:t>293</w:t>
      </w:r>
      <w:r>
        <w:fldChar w:fldCharType="end"/>
      </w:r>
      <w:r w:rsidRPr="00524CA4">
        <w:t>.</w:t>
      </w:r>
    </w:p>
    <w:p w14:paraId="51A23A7E" w14:textId="41FC162D" w:rsidR="00ED6CD4" w:rsidRPr="00AF5E8D" w:rsidRDefault="00AF5E8D" w:rsidP="00AF5E8D">
      <w:pPr>
        <w:pStyle w:val="GuidelineHeadings"/>
      </w:pPr>
      <w:r>
        <w:lastRenderedPageBreak/>
        <w:t xml:space="preserve">Guideline 6.3 &amp; 6.4 </w:t>
      </w:r>
      <w:r w:rsidRPr="00AF5E8D">
        <w:t>–</w:t>
      </w:r>
      <w:r>
        <w:t xml:space="preserve"> </w:t>
      </w:r>
      <w:r w:rsidRPr="00AF5E8D">
        <w:t>Immunosuppression in cancers</w:t>
      </w:r>
      <w:r>
        <w:t xml:space="preserve"> &amp; </w:t>
      </w:r>
      <w:r w:rsidRPr="00AF5E8D">
        <w:t>Immunosuppression in Kaposi’s sarcoma</w:t>
      </w:r>
    </w:p>
    <w:p w14:paraId="548AAAAA" w14:textId="65D3EDF9" w:rsidR="008710DB" w:rsidRDefault="00ED6CD4" w:rsidP="00516860">
      <w:r w:rsidRPr="00524CA4">
        <w:t>There is no direct link between any particular immunosuppressant agent and a particular cancer other than the association of TDAs and PTLD</w:t>
      </w:r>
      <w:r>
        <w:t xml:space="preserve"> </w:t>
      </w:r>
      <w:r>
        <w:fldChar w:fldCharType="begin"/>
      </w:r>
      <w:r w:rsidR="002D20B5">
        <w:instrText xml:space="preserve"> ADDIN ZOTERO_ITEM CSL_CITATION {"citationID":"ne8H8Ne1","properties":{"formattedCitation":"\\super 294\\nosupersub{}","plainCitation":"294","noteIndex":0},"citationItems":[{"id":19161,"uris":["http://zotero.org/users/3444308/items/FRH7NV4B"],"itemData":{"id":19161,"type":"article-journal","abstract":"BACKGROUND: The use of antilymphocyte antibodies for induction therapy or for treatment for rejection has been associated with an increased risk of posttransplant lymphoproliferative disorder (PTLD). The authors investigated the incidence of PTLD after monoclonal antilymphocyte, polyclonal antilymphocyte, interleukin (IL)-2 receptor antibody, or no induction therapy in primary kidney transplant recipients.\nMETHODS: A multivariate Cox analysis of 38,519 primary kidney transplants from January 1, 1997, to December 31, 2000, was performed to compare the incidence of PTLD, graft survival, and patient survival among the induction groups.\nRESULTS: The actual incidence of PTLD was 0.85% in 2,713 recipients with monoclonal, 0.81% in 4,343 with polyclonal, 0.50% in 7,800 with IL-2, and 0.51% in 23,663 recipients with no induction therapy (P=0.02). The Cox model indicated that as compared with no induction, the increased risk of PTLD was 72% with monoclonal (P=0.03), 29% with polyclonal (P=0.27), and 14% with IL-2 induction (P=0.52). IL-2 receptor antibody was associated with a 17% reduced risk of graft loss (P=0.002) and a 21% reduced risk of mortality (P=0.005) compared with no induction. Monoclonal and polyclonal induction therapies were not associated with a reduced risk of graft loss or mortality. Mycophenolate mofetil discharge maintenance immunosuppression was associated with a significantly reduced risk of PTLD and graft loss compared with azathioprine.\nCONCLUSIONS: Among induction therapies, IL-2 receptor antibody induction was associated with the smallest risk of PTLD and improved graft and patient survival. Monoclonal or polyclonal induction was not associated with improved graft or patient survival, and monoclonal induction was associated with an increased risk of PTLD.","container-title":"Transplantation","DOI":"10.1097/01.TP.0000100826.58738.2B","ISSN":"0041-1337","issue":"9","journalAbbreviation":"Transplantation","language":"eng","note":"PMID: 14627905","page":"1289-1293","source":"PubMed","title":"Association of the type of induction immunosuppression with posttransplant lymphoproliferative disorder, graft survival, and patient survival after primary kidney transplantation","volume":"76","author":[{"family":"Cherikh","given":"Wida S."},{"family":"Kauffman","given":"H. M."},{"family":"McBride","given":"Maureen A."},{"family":"Maghirang","given":"Jude"},{"family":"Swinnen","given":"Lode J."},{"family":"Hanto","given":"Douglas W."}],"issued":{"date-parts":[["2003",11,15]]}}}],"schema":"https://github.com/citation-style-language/schema/raw/master/csl-citation.json"} </w:instrText>
      </w:r>
      <w:r>
        <w:fldChar w:fldCharType="separate"/>
      </w:r>
      <w:r w:rsidR="002D20B5" w:rsidRPr="002D20B5">
        <w:rPr>
          <w:rFonts w:ascii="Calibri" w:hAnsi="Calibri" w:cs="Calibri"/>
          <w:vertAlign w:val="superscript"/>
        </w:rPr>
        <w:t>294</w:t>
      </w:r>
      <w:r>
        <w:fldChar w:fldCharType="end"/>
      </w:r>
      <w:r w:rsidRPr="00524CA4">
        <w:t>. It is generally agreed that the level of immunosuppression should be decreased when cancer develops. This decision should be individualised according to the stage of the cancer at diagnosis, the likely impact of a reduction in immunosuppression, the availability of treatment for the tumour, and potential drug interactions between the chemotherapy and immunosuppressive agents. In general, the effect of reducing the overall level of immunosuppression is more likely to be beneficial where the relative risk of the tumour in KTRs is higher. Trial evidence have shown that m-</w:t>
      </w:r>
      <w:proofErr w:type="spellStart"/>
      <w:r w:rsidRPr="00524CA4">
        <w:t>TORis</w:t>
      </w:r>
      <w:proofErr w:type="spellEnd"/>
      <w:r w:rsidRPr="00524CA4">
        <w:t xml:space="preserve"> are indicated in the treatment of Kaposi sarcoma in addition to reduced levels of overall immunosuppression</w:t>
      </w:r>
      <w:r>
        <w:t xml:space="preserve"> </w:t>
      </w:r>
      <w:r>
        <w:fldChar w:fldCharType="begin"/>
      </w:r>
      <w:r w:rsidR="002D20B5">
        <w:instrText xml:space="preserve"> ADDIN ZOTERO_ITEM CSL_CITATION {"citationID":"BE53jlao","properties":{"formattedCitation":"\\super 295\\nosupersub{}","plainCitation":"295","noteIndex":0},"citationItems":[{"id":19160,"uris":["http://zotero.org/users/3444308/items/EQHRCBFH"],"itemData":{"id":19160,"type":"article-journal","abstract":"BACKGROUND: Recipients of organ transplants are susceptible to Kaposi's sarcoma as a result of treatment with immunosuppressive drugs. Sirolimus (rapamycin), an immunosuppressive drug, may also have antitumor effects.\nMETHODS: We stopped cyclosporine therapy in 15 kidney-transplant recipients who had biopsy-proven Kaposi's sarcoma and began sirolimus therapy. All patients underwent an excisional biopsy of the lesion and one biopsy of normal skin at the time of diagnosis. A second biopsy was performed at the site of a previous Kaposi's sarcoma lesion six months after sirolimus therapy was begun. We examined biopsy specimens for vascular endothelial growth factor (VEGF), Flk-1/KDR protein, and phosphorylated Akt and p70S6 kinase, two enzymes in the signaling pathway targeted by sirolimus.\nRESULTS: Three months after sirolimus therapy was begun, all cutaneous Kaposi's sarcoma lesions had disappeared in all patients. Remission was confirmed histologically in all patients six months after sirolimus therapy was begun. There were no acute episodes of rejection or changes in kidney-graft function. Levels of Flk-1/KDR and phosphorylated Akt and p70S6 kinase were increased in Kaposi's sarcoma cells. The expression of VEGF was increased in Kaposi's sarcoma cells and even more so in normal skin cells around the Kaposi's sarcoma lesions.\nCONCLUSIONS: Sirolimus inhibits the progression of dermal Kaposi's sarcoma in kidney-transplant recipients while providing effective immunosuppression.","container-title":"The New England Journal of Medicine","DOI":"10.1056/NEJMoa042831","ISSN":"1533-4406","issue":"13","journalAbbreviation":"N Engl J Med","language":"eng","note":"PMID: 15800227","page":"1317-1323","source":"PubMed","title":"Sirolimus for Kaposi's sarcoma in renal-transplant recipients","volume":"352","author":[{"family":"Stallone","given":"Giovanni"},{"family":"Schena","given":"Antonio"},{"family":"Infante","given":"Barbara"},{"family":"Di Paolo","given":"Salvatore"},{"family":"Loverre","given":"Antonella"},{"family":"Maggio","given":"Giulio"},{"family":"Ranieri","given":"Elena"},{"family":"Gesualdo","given":"Loreto"},{"family":"Schena","given":"Francesco Paolo"},{"family":"Grandaliano","given":"Giuseppe"}],"issued":{"date-parts":[["2005",3,31]]}}}],"schema":"https://github.com/citation-style-language/schema/raw/master/csl-citation.json"} </w:instrText>
      </w:r>
      <w:r>
        <w:fldChar w:fldCharType="separate"/>
      </w:r>
      <w:r w:rsidR="002D20B5" w:rsidRPr="002D20B5">
        <w:rPr>
          <w:rFonts w:ascii="Calibri" w:hAnsi="Calibri" w:cs="Calibri"/>
          <w:vertAlign w:val="superscript"/>
        </w:rPr>
        <w:t>295</w:t>
      </w:r>
      <w:r>
        <w:fldChar w:fldCharType="end"/>
      </w:r>
      <w:r w:rsidRPr="00524CA4">
        <w:t>.</w:t>
      </w:r>
    </w:p>
    <w:p w14:paraId="44070D0F" w14:textId="77777777" w:rsidR="008710DB" w:rsidRDefault="008710DB">
      <w:pPr>
        <w:rPr>
          <w:rFonts w:eastAsia="Cambria" w:cstheme="minorHAnsi"/>
          <w:color w:val="000000"/>
          <w:sz w:val="22"/>
          <w:szCs w:val="22"/>
        </w:rPr>
      </w:pPr>
      <w:r>
        <w:rPr>
          <w:rFonts w:eastAsia="Cambria" w:cstheme="minorHAnsi"/>
          <w:color w:val="000000"/>
          <w:sz w:val="22"/>
          <w:szCs w:val="22"/>
        </w:rPr>
        <w:br w:type="page"/>
      </w:r>
    </w:p>
    <w:p w14:paraId="2C496A81" w14:textId="1A0A8EF9" w:rsidR="00426BCE" w:rsidRPr="00FF3619" w:rsidRDefault="009B0CA8" w:rsidP="008710DB">
      <w:pPr>
        <w:pStyle w:val="GuidelineUpperHeadings"/>
      </w:pPr>
      <w:bookmarkStart w:id="30" w:name="_Toc213749040"/>
      <w:r>
        <w:lastRenderedPageBreak/>
        <w:t>7</w:t>
      </w:r>
      <w:r w:rsidR="008710DB">
        <w:t xml:space="preserve">. </w:t>
      </w:r>
      <w:r w:rsidR="00426BCE" w:rsidRPr="00FF3619">
        <w:t>Kidney Transplant Recipient (KTR): Infection Complications (Guidelines 8.1-8.7)</w:t>
      </w:r>
      <w:bookmarkEnd w:id="30"/>
    </w:p>
    <w:p w14:paraId="30ACC079" w14:textId="7C3C8D83" w:rsidR="008710DB" w:rsidRPr="008710DB" w:rsidRDefault="008710DB" w:rsidP="008710DB">
      <w:pPr>
        <w:pStyle w:val="GuidelineHeadings"/>
      </w:pPr>
      <w:r w:rsidRPr="00FF3619">
        <w:t xml:space="preserve">Guideline </w:t>
      </w:r>
      <w:r w:rsidR="00B361D6">
        <w:t>7</w:t>
      </w:r>
      <w:r w:rsidRPr="00FF3619">
        <w:t>.1 – KTR: Vaccination</w:t>
      </w:r>
    </w:p>
    <w:p w14:paraId="1759B72C" w14:textId="1AF31E61" w:rsidR="00426BCE" w:rsidRPr="00FF3619" w:rsidRDefault="00426BCE" w:rsidP="00516860">
      <w:r>
        <w:t>Vaccination for KTRs and their household members should ideally be completed prior to transplantation. A minimum of 4 weeks is recommended between vaccination with live attenuated vaccines and transplantation. After transplantation there is no evidence to link vaccination with rejection</w:t>
      </w:r>
      <w:r w:rsidRPr="585D8F79">
        <w:rPr>
          <w:vertAlign w:val="superscript"/>
        </w:rPr>
        <w:t xml:space="preserve"> </w:t>
      </w:r>
      <w:r w:rsidRPr="585D8F79">
        <w:rPr>
          <w:vertAlign w:val="superscript"/>
        </w:rPr>
        <w:fldChar w:fldCharType="begin"/>
      </w:r>
      <w:r w:rsidR="002D20B5">
        <w:rPr>
          <w:vertAlign w:val="superscript"/>
        </w:rPr>
        <w:instrText xml:space="preserve"> ADDIN ZOTERO_ITEM CSL_CITATION {"citationID":"nqNkz1SL","properties":{"formattedCitation":"\\super 296\\nosupersub{}","plainCitation":"296","noteIndex":0},"citationItems":[{"id":19159,"uris":["http://zotero.org/users/3444308/items/HXFY7JI7"],"itemData":{"id":19159,"type":"article-journal","abstract":"BACKGROUND: Clinical guidelines recommend vaccinations for solid-organ transplant recipients. However, concern exists that vaccination may stimulate adverse alloimmune responses.\nMETHODS: We systematically reviewed the published literature regarding this aspect of vaccine safety. Electronic databases were searched for interventional and observational studies assessing de novo donor-specific antibodies (DSA) and rejection episodes after vaccination against infectious pathogens. Graft loss was also assessed. A meta-analysis was conducted for prospective, controlled studies. PRISMA reporting guidelines were followed.\nRESULTS: Ninety studies (15,645 vaccinated patients and 42,924 control patients) were included. Twelve studies included control groups. The incidence of de novo DSA (14 studies) was 23 of 1,244 patients (1.85%) at 21 to 94 days. The incidence of rejection (83 studies) was 107 episodes in 5,116 patients (2.1%) at 0.7 to 6 months. Meta-analysis of prospective controlled studies (n = 8) showed no increased rejection risk with vaccination compared with no vaccination (RR 1.12, 95% CI 0.75 to 1.70). This finding was supported by data from 3 registry analyses.\nCONCLUSIONS: Although the current evidence lacks high-quality, controlled studies, the currently available data provide reassurance that clinicians should recommend appropriate vaccination for their transplant patients as the risk of de novo DSA and rejection is relatively low.","container-title":"The Journal of Heart and Lung Transplantation: The Official Publication of the International Society for Heart Transplantation","DOI":"10.1016/j.healun.2018.03.001","ISSN":"1557-3117","issue":"7","journalAbbreviation":"J Heart Lung Transplant","language":"eng","note":"PMID: 29609844","page":"844-852","source":"PubMed","title":"Does vaccination in solid-organ transplant recipients result in adverse immunologic sequelae? A systematic review and meta-analysis","title-short":"Does vaccination in solid-organ transplant recipients result in adverse immunologic sequelae?","volume":"37","author":[{"family":"Mulley","given":"William R."},{"family":"Dendle","given":"Claire"},{"family":"Ling","given":"Jonathan E. H."},{"family":"Knight","given":"Simon R."}],"issued":{"date-parts":[["2018",7]]}}}],"schema":"https://github.com/citation-style-language/schema/raw/master/csl-citation.json"} </w:instrText>
      </w:r>
      <w:r w:rsidRPr="585D8F79">
        <w:rPr>
          <w:vertAlign w:val="superscript"/>
        </w:rPr>
        <w:fldChar w:fldCharType="separate"/>
      </w:r>
      <w:r w:rsidR="002D20B5" w:rsidRPr="002D20B5">
        <w:rPr>
          <w:rFonts w:ascii="Aptos" w:hAnsi="Aptos" w:cs="Times New Roman"/>
          <w:sz w:val="22"/>
          <w:vertAlign w:val="superscript"/>
        </w:rPr>
        <w:t>296</w:t>
      </w:r>
      <w:r w:rsidRPr="585D8F79">
        <w:rPr>
          <w:vertAlign w:val="superscript"/>
        </w:rPr>
        <w:fldChar w:fldCharType="end"/>
      </w:r>
      <w:r>
        <w:t xml:space="preserve">. After transplantation it is safe to administer inactivated </w:t>
      </w:r>
      <w:proofErr w:type="gramStart"/>
      <w:r>
        <w:t>vaccines</w:t>
      </w:r>
      <w:proofErr w:type="gramEnd"/>
      <w:r>
        <w:t xml:space="preserve"> but live attenuated vaccines should be avoided (see Table </w:t>
      </w:r>
      <w:r w:rsidR="00AA5E34">
        <w:t>2</w:t>
      </w:r>
      <w:r>
        <w:t xml:space="preserve"> below) as small studies have demonstrated concerns regarding their safety and efficacy in KTRs. Vaccination should probably be carried out at least 3 months and preferably 6 months after transplantation when the immunosuppression has been reduced. Consideration should be given to vaccination of close household contacts where appropriate e.g. Varicella vaccination for children of VZV seronegative KTRs  </w:t>
      </w:r>
      <w:r>
        <w:fldChar w:fldCharType="begin"/>
      </w:r>
      <w:r w:rsidR="002D20B5">
        <w:instrText xml:space="preserve"> ADDIN ZOTERO_ITEM CSL_CITATION {"citationID":"rgGRaIff","properties":{"formattedCitation":"\\super 296,297\\nosupersub{}","plainCitation":"296,297","noteIndex":0},"citationItems":[{"id":19159,"uris":["http://zotero.org/users/3444308/items/HXFY7JI7"],"itemData":{"id":19159,"type":"article-journal","abstract":"BACKGROUND: Clinical guidelines recommend vaccinations for solid-organ transplant recipients. However, concern exists that vaccination may stimulate adverse alloimmune responses.\nMETHODS: We systematically reviewed the published literature regarding this aspect of vaccine safety. Electronic databases were searched for interventional and observational studies assessing de novo donor-specific antibodies (DSA) and rejection episodes after vaccination against infectious pathogens. Graft loss was also assessed. A meta-analysis was conducted for prospective, controlled studies. PRISMA reporting guidelines were followed.\nRESULTS: Ninety studies (15,645 vaccinated patients and 42,924 control patients) were included. Twelve studies included control groups. The incidence of de novo DSA (14 studies) was 23 of 1,244 patients (1.85%) at 21 to 94 days. The incidence of rejection (83 studies) was 107 episodes in 5,116 patients (2.1%) at 0.7 to 6 months. Meta-analysis of prospective controlled studies (n = 8) showed no increased rejection risk with vaccination compared with no vaccination (RR 1.12, 95% CI 0.75 to 1.70). This finding was supported by data from 3 registry analyses.\nCONCLUSIONS: Although the current evidence lacks high-quality, controlled studies, the currently available data provide reassurance that clinicians should recommend appropriate vaccination for their transplant patients as the risk of de novo DSA and rejection is relatively low.","container-title":"The Journal of Heart and Lung Transplantation: The Official Publication of the International Society for Heart Transplantation","DOI":"10.1016/j.healun.2018.03.001","ISSN":"1557-3117","issue":"7","journalAbbreviation":"J Heart Lung Transplant","language":"eng","note":"PMID: 29609844","page":"844-852","source":"PubMed","title":"Does vaccination in solid-organ transplant recipients result in adverse immunologic sequelae? A systematic review and meta-analysis","title-short":"Does vaccination in solid-organ transplant recipients result in adverse immunologic sequelae?","volume":"37","author":[{"family":"Mulley","given":"William R."},{"family":"Dendle","given":"Claire"},{"family":"Ling","given":"Jonathan E. H."},{"family":"Knight","given":"Simon R."}],"issued":{"date-parts":[["2018",7]]}}},{"id":19157,"uris":["http://zotero.org/users/3444308/items/CFAZY9MJ"],"itemData":{"id":19157,"type":"report","title":"Immunisation against infectious disease: Chapter 7","URL":"https://assets.publishing.service.gov.uk/media/5e18a52940f0b65dc1918763/Greenbook_chapter_7_Immunsing_immunosupressed.pdf","author":[{"literal":"UK Health Security Agency"}],"issued":{"date-parts":[["2021"]]}}}],"schema":"https://github.com/citation-style-language/schema/raw/master/csl-citation.json"} </w:instrText>
      </w:r>
      <w:r>
        <w:fldChar w:fldCharType="separate"/>
      </w:r>
      <w:r w:rsidR="002D20B5" w:rsidRPr="002D20B5">
        <w:rPr>
          <w:rFonts w:ascii="Aptos" w:hAnsi="Aptos" w:cs="Times New Roman"/>
          <w:sz w:val="22"/>
          <w:vertAlign w:val="superscript"/>
        </w:rPr>
        <w:t>296,297</w:t>
      </w:r>
      <w:r>
        <w:fldChar w:fldCharType="end"/>
      </w:r>
      <w:r>
        <w:t>.</w:t>
      </w:r>
    </w:p>
    <w:p w14:paraId="67D4D299" w14:textId="1A3E342C" w:rsidR="00426BCE" w:rsidRPr="00FF3619" w:rsidRDefault="00426BCE" w:rsidP="00516860">
      <w:r w:rsidRPr="00FF3619">
        <w:t xml:space="preserve">Table </w:t>
      </w:r>
      <w:r w:rsidR="00AA5E34">
        <w:t>2</w:t>
      </w:r>
      <w:r w:rsidRPr="00FF3619">
        <w:t>: Routine vaccines collated by UK Renal Pharmacy Group from the Green book vaccination schedule</w:t>
      </w:r>
    </w:p>
    <w:tbl>
      <w:tblPr>
        <w:tblStyle w:val="TableGrid1"/>
        <w:tblpPr w:leftFromText="180" w:rightFromText="180" w:vertAnchor="page" w:horzAnchor="margin" w:tblpY="2971"/>
        <w:tblW w:w="9327" w:type="dxa"/>
        <w:tblLook w:val="04A0" w:firstRow="1" w:lastRow="0" w:firstColumn="1" w:lastColumn="0" w:noHBand="0" w:noVBand="1"/>
      </w:tblPr>
      <w:tblGrid>
        <w:gridCol w:w="1980"/>
        <w:gridCol w:w="4250"/>
        <w:gridCol w:w="3097"/>
      </w:tblGrid>
      <w:tr w:rsidR="00426BCE" w:rsidRPr="00FF3619" w14:paraId="4C6C18D0" w14:textId="77777777" w:rsidTr="585D8F79">
        <w:trPr>
          <w:trHeight w:val="1021"/>
        </w:trPr>
        <w:tc>
          <w:tcPr>
            <w:tcW w:w="1980" w:type="dxa"/>
          </w:tcPr>
          <w:p w14:paraId="6AA01996" w14:textId="77777777" w:rsidR="00426BCE" w:rsidRPr="00FF3619" w:rsidRDefault="00426BCE" w:rsidP="003567D5">
            <w:pPr>
              <w:rPr>
                <w:b/>
                <w:bCs/>
              </w:rPr>
            </w:pPr>
          </w:p>
        </w:tc>
        <w:tc>
          <w:tcPr>
            <w:tcW w:w="4250" w:type="dxa"/>
            <w:hideMark/>
          </w:tcPr>
          <w:p w14:paraId="1B027FD0" w14:textId="77777777" w:rsidR="00426BCE" w:rsidRPr="00FF3619" w:rsidRDefault="00426BCE" w:rsidP="003567D5">
            <w:pPr>
              <w:rPr>
                <w:b/>
                <w:bCs/>
              </w:rPr>
            </w:pPr>
            <w:r w:rsidRPr="00FF3619">
              <w:rPr>
                <w:b/>
                <w:bCs/>
              </w:rPr>
              <w:t>Transplant workup</w:t>
            </w:r>
          </w:p>
        </w:tc>
        <w:tc>
          <w:tcPr>
            <w:tcW w:w="3097" w:type="dxa"/>
            <w:hideMark/>
          </w:tcPr>
          <w:p w14:paraId="49EE0CC1" w14:textId="77777777" w:rsidR="00426BCE" w:rsidRPr="00FF3619" w:rsidRDefault="00426BCE" w:rsidP="003567D5">
            <w:pPr>
              <w:rPr>
                <w:b/>
                <w:bCs/>
              </w:rPr>
            </w:pPr>
            <w:r w:rsidRPr="00FF3619">
              <w:rPr>
                <w:b/>
                <w:bCs/>
              </w:rPr>
              <w:t>Post transplant</w:t>
            </w:r>
          </w:p>
        </w:tc>
      </w:tr>
      <w:tr w:rsidR="00426BCE" w:rsidRPr="00FF3619" w14:paraId="761E8FE1" w14:textId="77777777" w:rsidTr="585D8F79">
        <w:trPr>
          <w:trHeight w:val="609"/>
        </w:trPr>
        <w:tc>
          <w:tcPr>
            <w:tcW w:w="1980" w:type="dxa"/>
            <w:hideMark/>
          </w:tcPr>
          <w:p w14:paraId="6A00AF17" w14:textId="77777777" w:rsidR="00426BCE" w:rsidRPr="00FF3619" w:rsidRDefault="00426BCE" w:rsidP="003567D5">
            <w:pPr>
              <w:rPr>
                <w:b/>
                <w:bCs/>
              </w:rPr>
            </w:pPr>
            <w:r w:rsidRPr="00FF3619">
              <w:rPr>
                <w:b/>
                <w:bCs/>
              </w:rPr>
              <w:t>Influenza</w:t>
            </w:r>
          </w:p>
        </w:tc>
        <w:tc>
          <w:tcPr>
            <w:tcW w:w="4250" w:type="dxa"/>
            <w:hideMark/>
          </w:tcPr>
          <w:p w14:paraId="3749E2CB" w14:textId="77777777" w:rsidR="00426BCE" w:rsidRPr="00FF3619" w:rsidRDefault="00426BCE" w:rsidP="003567D5">
            <w:r w:rsidRPr="00FF3619">
              <w:t>Annually</w:t>
            </w:r>
          </w:p>
        </w:tc>
        <w:tc>
          <w:tcPr>
            <w:tcW w:w="3097" w:type="dxa"/>
            <w:hideMark/>
          </w:tcPr>
          <w:p w14:paraId="288E4CA1" w14:textId="77777777" w:rsidR="00426BCE" w:rsidRPr="00FF3619" w:rsidRDefault="00426BCE" w:rsidP="003567D5">
            <w:r w:rsidRPr="00FF3619">
              <w:t>Annually</w:t>
            </w:r>
          </w:p>
        </w:tc>
      </w:tr>
      <w:tr w:rsidR="00426BCE" w:rsidRPr="00FF3619" w14:paraId="5CD056D1" w14:textId="77777777" w:rsidTr="585D8F79">
        <w:trPr>
          <w:trHeight w:val="1310"/>
        </w:trPr>
        <w:tc>
          <w:tcPr>
            <w:tcW w:w="1980" w:type="dxa"/>
            <w:hideMark/>
          </w:tcPr>
          <w:p w14:paraId="0D82B150" w14:textId="77777777" w:rsidR="00426BCE" w:rsidRPr="00FF3619" w:rsidRDefault="00426BCE" w:rsidP="003567D5">
            <w:pPr>
              <w:rPr>
                <w:b/>
                <w:bCs/>
              </w:rPr>
            </w:pPr>
            <w:r w:rsidRPr="00FF3619">
              <w:rPr>
                <w:b/>
                <w:bCs/>
              </w:rPr>
              <w:t>Pneumococcal</w:t>
            </w:r>
          </w:p>
          <w:p w14:paraId="69D9063A" w14:textId="1FCC3358" w:rsidR="00426BCE" w:rsidRPr="00FF3619" w:rsidRDefault="00426BCE" w:rsidP="003567D5">
            <w:pPr>
              <w:rPr>
                <w:b/>
                <w:bCs/>
              </w:rPr>
            </w:pPr>
            <w:r w:rsidRPr="00FF3619">
              <w:rPr>
                <w:b/>
                <w:bCs/>
              </w:rPr>
              <w:t>(23-valent PPV)</w:t>
            </w:r>
          </w:p>
        </w:tc>
        <w:tc>
          <w:tcPr>
            <w:tcW w:w="4250" w:type="dxa"/>
            <w:hideMark/>
          </w:tcPr>
          <w:p w14:paraId="45D0D9CE" w14:textId="77777777" w:rsidR="00426BCE" w:rsidRPr="00FF3619" w:rsidRDefault="00426BCE" w:rsidP="003567D5">
            <w:r w:rsidRPr="00FF3619">
              <w:t>Vaccine and booster every 5 years</w:t>
            </w:r>
          </w:p>
        </w:tc>
        <w:tc>
          <w:tcPr>
            <w:tcW w:w="3097" w:type="dxa"/>
            <w:hideMark/>
          </w:tcPr>
          <w:p w14:paraId="78407B8A" w14:textId="77777777" w:rsidR="00426BCE" w:rsidRPr="00FF3619" w:rsidRDefault="00426BCE" w:rsidP="003567D5">
            <w:r w:rsidRPr="00FF3619">
              <w:t>Vaccine and booster every 5 years</w:t>
            </w:r>
          </w:p>
        </w:tc>
      </w:tr>
      <w:tr w:rsidR="00426BCE" w:rsidRPr="00FF3619" w14:paraId="6114EACE" w14:textId="77777777" w:rsidTr="585D8F79">
        <w:trPr>
          <w:trHeight w:val="1460"/>
        </w:trPr>
        <w:tc>
          <w:tcPr>
            <w:tcW w:w="1980" w:type="dxa"/>
            <w:hideMark/>
          </w:tcPr>
          <w:p w14:paraId="3F9F692A" w14:textId="77777777" w:rsidR="00426BCE" w:rsidRPr="00FF3619" w:rsidRDefault="00426BCE" w:rsidP="003567D5">
            <w:pPr>
              <w:rPr>
                <w:b/>
                <w:bCs/>
              </w:rPr>
            </w:pPr>
            <w:r w:rsidRPr="00FF3619">
              <w:rPr>
                <w:b/>
                <w:bCs/>
              </w:rPr>
              <w:t>COVID</w:t>
            </w:r>
          </w:p>
        </w:tc>
        <w:tc>
          <w:tcPr>
            <w:tcW w:w="4250" w:type="dxa"/>
            <w:hideMark/>
          </w:tcPr>
          <w:p w14:paraId="619256E8" w14:textId="77777777" w:rsidR="00426BCE" w:rsidRPr="00FF3619" w:rsidRDefault="00426BCE" w:rsidP="003567D5">
            <w:r w:rsidRPr="00FF3619">
              <w:t>Augmented SARS</w:t>
            </w:r>
            <w:r w:rsidRPr="00FF3619">
              <w:noBreakHyphen/>
              <w:t>CoV</w:t>
            </w:r>
            <w:r w:rsidRPr="00FF3619">
              <w:noBreakHyphen/>
              <w:t>2 vaccine schedule, and seasonal booster doses when available</w:t>
            </w:r>
          </w:p>
        </w:tc>
        <w:tc>
          <w:tcPr>
            <w:tcW w:w="3097" w:type="dxa"/>
            <w:hideMark/>
          </w:tcPr>
          <w:p w14:paraId="461CFCA4" w14:textId="77777777" w:rsidR="00426BCE" w:rsidRPr="00FF3619" w:rsidRDefault="00426BCE" w:rsidP="003567D5">
            <w:r w:rsidRPr="00FF3619">
              <w:t>Augmented SARS</w:t>
            </w:r>
            <w:r w:rsidRPr="00FF3619">
              <w:noBreakHyphen/>
              <w:t>CoV</w:t>
            </w:r>
            <w:r w:rsidRPr="00FF3619">
              <w:noBreakHyphen/>
              <w:t>2 vaccine schedule, and seasonal booster doses when available</w:t>
            </w:r>
          </w:p>
        </w:tc>
      </w:tr>
      <w:tr w:rsidR="00426BCE" w:rsidRPr="00FF3619" w14:paraId="0D534E18" w14:textId="77777777" w:rsidTr="585D8F79">
        <w:trPr>
          <w:trHeight w:val="707"/>
        </w:trPr>
        <w:tc>
          <w:tcPr>
            <w:tcW w:w="1980" w:type="dxa"/>
            <w:hideMark/>
          </w:tcPr>
          <w:p w14:paraId="7A80C8C2" w14:textId="77777777" w:rsidR="00426BCE" w:rsidRPr="00FF3619" w:rsidRDefault="00426BCE" w:rsidP="003567D5">
            <w:pPr>
              <w:rPr>
                <w:b/>
                <w:bCs/>
              </w:rPr>
            </w:pPr>
            <w:r w:rsidRPr="00FF3619">
              <w:rPr>
                <w:b/>
                <w:bCs/>
              </w:rPr>
              <w:t>Hepatitis B</w:t>
            </w:r>
          </w:p>
        </w:tc>
        <w:tc>
          <w:tcPr>
            <w:tcW w:w="4250" w:type="dxa"/>
            <w:hideMark/>
          </w:tcPr>
          <w:p w14:paraId="39A2B835" w14:textId="77777777" w:rsidR="00426BCE" w:rsidRPr="00FF3619" w:rsidRDefault="00426BCE" w:rsidP="003567D5">
            <w:r w:rsidRPr="00FF3619">
              <w:t>Hepatitis B vaccine using the high dose hepatitis B vaccine</w:t>
            </w:r>
          </w:p>
          <w:p w14:paraId="32819B4D" w14:textId="77777777" w:rsidR="00426BCE" w:rsidRPr="00FF3619" w:rsidRDefault="00426BCE" w:rsidP="003567D5">
            <w:r w:rsidRPr="00FF3619">
              <w:t>Hepatitis B surface antibody (</w:t>
            </w:r>
            <w:proofErr w:type="spellStart"/>
            <w:r w:rsidRPr="00FF3619">
              <w:t>HBsAb</w:t>
            </w:r>
            <w:proofErr w:type="spellEnd"/>
            <w:r w:rsidRPr="00FF3619">
              <w:t xml:space="preserve">) levels should be rechecked annually and be revaccinated if antibody titres fall below 10 </w:t>
            </w:r>
            <w:proofErr w:type="spellStart"/>
            <w:r w:rsidRPr="00FF3619">
              <w:t>mIU</w:t>
            </w:r>
            <w:proofErr w:type="spellEnd"/>
            <w:r w:rsidRPr="00FF3619">
              <w:t>/mL</w:t>
            </w:r>
          </w:p>
        </w:tc>
        <w:tc>
          <w:tcPr>
            <w:tcW w:w="3097" w:type="dxa"/>
            <w:hideMark/>
          </w:tcPr>
          <w:p w14:paraId="312FAED7" w14:textId="77777777" w:rsidR="00426BCE" w:rsidRPr="00FF3619" w:rsidRDefault="00426BCE" w:rsidP="003567D5">
            <w:r w:rsidRPr="00FF3619">
              <w:t>Hepatitis B surface antibody (</w:t>
            </w:r>
            <w:proofErr w:type="spellStart"/>
            <w:r w:rsidRPr="00FF3619">
              <w:t>HBsAb</w:t>
            </w:r>
            <w:proofErr w:type="spellEnd"/>
            <w:r w:rsidRPr="00FF3619">
              <w:t xml:space="preserve">) levels should be rechecked annually and be revaccinated if antibody titres fall below 10 </w:t>
            </w:r>
            <w:proofErr w:type="spellStart"/>
            <w:r w:rsidRPr="00FF3619">
              <w:t>mIU</w:t>
            </w:r>
            <w:proofErr w:type="spellEnd"/>
            <w:r w:rsidRPr="00FF3619">
              <w:t>/mL</w:t>
            </w:r>
          </w:p>
        </w:tc>
      </w:tr>
      <w:tr w:rsidR="00426BCE" w:rsidRPr="00FF3619" w14:paraId="4A096587" w14:textId="77777777" w:rsidTr="585D8F79">
        <w:trPr>
          <w:trHeight w:val="750"/>
        </w:trPr>
        <w:tc>
          <w:tcPr>
            <w:tcW w:w="1980" w:type="dxa"/>
            <w:hideMark/>
          </w:tcPr>
          <w:p w14:paraId="4FE795FB" w14:textId="77777777" w:rsidR="00426BCE" w:rsidRPr="00FF3619" w:rsidRDefault="00426BCE" w:rsidP="003567D5">
            <w:pPr>
              <w:rPr>
                <w:b/>
                <w:bCs/>
              </w:rPr>
            </w:pPr>
            <w:r w:rsidRPr="00FF3619">
              <w:rPr>
                <w:b/>
                <w:bCs/>
              </w:rPr>
              <w:t>Shingrix</w:t>
            </w:r>
          </w:p>
        </w:tc>
        <w:tc>
          <w:tcPr>
            <w:tcW w:w="4250" w:type="dxa"/>
            <w:hideMark/>
          </w:tcPr>
          <w:p w14:paraId="02719EEC" w14:textId="6EBAF3D7" w:rsidR="00426BCE" w:rsidRPr="00FF3619" w:rsidRDefault="00426BCE" w:rsidP="003567D5">
            <w:r w:rsidRPr="00FF3619">
              <w:t xml:space="preserve">Shingrix® inactivated Varicella Zoster Virus (shingles) vaccine if </w:t>
            </w:r>
            <w:r w:rsidR="00C83AC8">
              <w:t>18</w:t>
            </w:r>
            <w:r w:rsidRPr="00FF3619">
              <w:t xml:space="preserve"> years of age or older</w:t>
            </w:r>
          </w:p>
        </w:tc>
        <w:tc>
          <w:tcPr>
            <w:tcW w:w="3097" w:type="dxa"/>
            <w:hideMark/>
          </w:tcPr>
          <w:p w14:paraId="5BEA63F4" w14:textId="7F5C684C" w:rsidR="00426BCE" w:rsidRPr="00FF3619" w:rsidRDefault="00426BCE" w:rsidP="003567D5">
            <w:r w:rsidRPr="00FF3619">
              <w:t xml:space="preserve">Shingrix® inactivated Varicella Zoster Virus (shingles) vaccine if </w:t>
            </w:r>
            <w:r w:rsidR="00C83AC8">
              <w:t>18</w:t>
            </w:r>
            <w:r w:rsidRPr="00FF3619">
              <w:t xml:space="preserve"> years of age or older</w:t>
            </w:r>
          </w:p>
        </w:tc>
      </w:tr>
      <w:tr w:rsidR="00426BCE" w:rsidRPr="00FF3619" w14:paraId="77DB41DF" w14:textId="77777777" w:rsidTr="585D8F79">
        <w:trPr>
          <w:trHeight w:val="1419"/>
        </w:trPr>
        <w:tc>
          <w:tcPr>
            <w:tcW w:w="1980" w:type="dxa"/>
            <w:hideMark/>
          </w:tcPr>
          <w:p w14:paraId="6588CD5F" w14:textId="77777777" w:rsidR="00426BCE" w:rsidRPr="00FF3619" w:rsidRDefault="00426BCE" w:rsidP="003567D5">
            <w:pPr>
              <w:rPr>
                <w:b/>
                <w:bCs/>
              </w:rPr>
            </w:pPr>
            <w:r w:rsidRPr="00FF3619">
              <w:rPr>
                <w:b/>
                <w:bCs/>
              </w:rPr>
              <w:t>Human papillomavirus (HPV)</w:t>
            </w:r>
          </w:p>
        </w:tc>
        <w:tc>
          <w:tcPr>
            <w:tcW w:w="4250" w:type="dxa"/>
            <w:hideMark/>
          </w:tcPr>
          <w:p w14:paraId="4C3BB3D7" w14:textId="77777777" w:rsidR="00426BCE" w:rsidRPr="00FF3619" w:rsidRDefault="00426BCE" w:rsidP="003567D5">
            <w:r w:rsidRPr="00FF3619">
              <w:t xml:space="preserve"> HPV vaccine for males and females between 9-25 years of age (using 3-dose schedule). </w:t>
            </w:r>
          </w:p>
          <w:p w14:paraId="296F2263" w14:textId="77777777" w:rsidR="00426BCE" w:rsidRPr="00FF3619" w:rsidRDefault="00426BCE" w:rsidP="003567D5">
            <w:r w:rsidRPr="00FF3619">
              <w:t>For some higher risk patients, we may suggest HPV vaccine outside of this age range</w:t>
            </w:r>
          </w:p>
        </w:tc>
        <w:tc>
          <w:tcPr>
            <w:tcW w:w="3097" w:type="dxa"/>
            <w:hideMark/>
          </w:tcPr>
          <w:p w14:paraId="2786FD4B" w14:textId="77777777" w:rsidR="00426BCE" w:rsidRPr="00FF3619" w:rsidRDefault="00426BCE" w:rsidP="003567D5">
            <w:r w:rsidRPr="00FF3619">
              <w:t xml:space="preserve">HPV vaccine for males and females between 9-25 years of age (using 3-dose schedule). </w:t>
            </w:r>
          </w:p>
          <w:p w14:paraId="00AFEB1C" w14:textId="77777777" w:rsidR="00426BCE" w:rsidRPr="00FF3619" w:rsidRDefault="00426BCE" w:rsidP="003567D5">
            <w:r w:rsidRPr="00FF3619">
              <w:t>For some higher risk patients, we may suggest HPV vaccine outside of this age range</w:t>
            </w:r>
          </w:p>
        </w:tc>
      </w:tr>
      <w:tr w:rsidR="00426BCE" w:rsidRPr="00FF3619" w14:paraId="7A19209E" w14:textId="77777777" w:rsidTr="585D8F79">
        <w:trPr>
          <w:trHeight w:val="1419"/>
        </w:trPr>
        <w:tc>
          <w:tcPr>
            <w:tcW w:w="1980" w:type="dxa"/>
            <w:hideMark/>
          </w:tcPr>
          <w:p w14:paraId="317B0AC4" w14:textId="77777777" w:rsidR="00426BCE" w:rsidRPr="00FF3619" w:rsidRDefault="00426BCE" w:rsidP="003567D5">
            <w:pPr>
              <w:rPr>
                <w:b/>
                <w:bCs/>
              </w:rPr>
            </w:pPr>
            <w:r w:rsidRPr="00FF3619">
              <w:rPr>
                <w:b/>
                <w:bCs/>
              </w:rPr>
              <w:t>VZV (chicken pox)</w:t>
            </w:r>
          </w:p>
        </w:tc>
        <w:tc>
          <w:tcPr>
            <w:tcW w:w="4250" w:type="dxa"/>
            <w:hideMark/>
          </w:tcPr>
          <w:p w14:paraId="5858BEDE" w14:textId="77777777" w:rsidR="00426BCE" w:rsidRPr="00FF3619" w:rsidRDefault="00426BCE" w:rsidP="003567D5">
            <w:r w:rsidRPr="00FF3619">
              <w:t xml:space="preserve">Patients who are VZV IgG negative should be vaccinated prior to transplantation. As a live attenuated vaccine, VZV vaccine should not be administered </w:t>
            </w:r>
            <w:proofErr w:type="spellStart"/>
            <w:r w:rsidRPr="00FF3619">
              <w:t>post transplant</w:t>
            </w:r>
            <w:proofErr w:type="spellEnd"/>
          </w:p>
        </w:tc>
        <w:tc>
          <w:tcPr>
            <w:tcW w:w="3097" w:type="dxa"/>
          </w:tcPr>
          <w:p w14:paraId="5F9F374B" w14:textId="77777777" w:rsidR="00426BCE" w:rsidRPr="00FF3619" w:rsidRDefault="00426BCE" w:rsidP="003567D5"/>
        </w:tc>
      </w:tr>
      <w:tr w:rsidR="00426BCE" w:rsidRPr="00FF3619" w14:paraId="48B6223E" w14:textId="77777777" w:rsidTr="585D8F79">
        <w:trPr>
          <w:trHeight w:val="1419"/>
        </w:trPr>
        <w:tc>
          <w:tcPr>
            <w:tcW w:w="1980" w:type="dxa"/>
            <w:hideMark/>
          </w:tcPr>
          <w:p w14:paraId="31054E93" w14:textId="77777777" w:rsidR="00426BCE" w:rsidRPr="00FF3619" w:rsidRDefault="00426BCE" w:rsidP="003567D5">
            <w:pPr>
              <w:rPr>
                <w:b/>
                <w:bCs/>
              </w:rPr>
            </w:pPr>
            <w:r w:rsidRPr="00FF3619">
              <w:rPr>
                <w:b/>
                <w:bCs/>
              </w:rPr>
              <w:lastRenderedPageBreak/>
              <w:t>Measles</w:t>
            </w:r>
          </w:p>
        </w:tc>
        <w:tc>
          <w:tcPr>
            <w:tcW w:w="4250" w:type="dxa"/>
            <w:hideMark/>
          </w:tcPr>
          <w:p w14:paraId="33A43CF0" w14:textId="77777777" w:rsidR="00426BCE" w:rsidRPr="00FF3619" w:rsidRDefault="00426BCE" w:rsidP="003567D5">
            <w:r w:rsidRPr="00FF3619">
              <w:t xml:space="preserve">Patients who are measles IgG negative should be vaccinated prior to transplantation. As a live attenuated vaccine, measles vaccine should not be administered </w:t>
            </w:r>
            <w:proofErr w:type="spellStart"/>
            <w:r w:rsidRPr="00FF3619">
              <w:t>post transplant</w:t>
            </w:r>
            <w:proofErr w:type="spellEnd"/>
          </w:p>
        </w:tc>
        <w:tc>
          <w:tcPr>
            <w:tcW w:w="3097" w:type="dxa"/>
          </w:tcPr>
          <w:p w14:paraId="3EC28D5E" w14:textId="77777777" w:rsidR="00426BCE" w:rsidRPr="00FF3619" w:rsidRDefault="00426BCE" w:rsidP="003567D5"/>
        </w:tc>
      </w:tr>
    </w:tbl>
    <w:p w14:paraId="0E4C8F3A" w14:textId="2399FB3A" w:rsidR="00426BCE" w:rsidRPr="00FF3619" w:rsidRDefault="00426BCE" w:rsidP="00426BCE">
      <w:r w:rsidRPr="00FF3619">
        <w:br w:type="page"/>
      </w:r>
      <w:r w:rsidRPr="00FF3619">
        <w:lastRenderedPageBreak/>
        <w:t xml:space="preserve">Table </w:t>
      </w:r>
      <w:r w:rsidR="00AA5E34">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98"/>
      </w:tblGrid>
      <w:tr w:rsidR="00426BCE" w:rsidRPr="00FF3619" w14:paraId="491DD90A"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2A1F4A5C" w14:textId="77777777" w:rsidR="00426BCE" w:rsidRPr="00FF3619" w:rsidRDefault="00426BCE" w:rsidP="003567D5">
            <w:pPr>
              <w:rPr>
                <w:b/>
              </w:rPr>
            </w:pPr>
            <w:r w:rsidRPr="00FF3619">
              <w:rPr>
                <w:b/>
              </w:rPr>
              <w:t>Inactive Vaccine</w:t>
            </w:r>
          </w:p>
        </w:tc>
        <w:tc>
          <w:tcPr>
            <w:tcW w:w="4598" w:type="dxa"/>
            <w:tcBorders>
              <w:top w:val="single" w:sz="4" w:space="0" w:color="auto"/>
              <w:left w:val="single" w:sz="4" w:space="0" w:color="auto"/>
              <w:bottom w:val="single" w:sz="4" w:space="0" w:color="auto"/>
              <w:right w:val="single" w:sz="4" w:space="0" w:color="auto"/>
            </w:tcBorders>
            <w:hideMark/>
          </w:tcPr>
          <w:p w14:paraId="0D747E4C" w14:textId="77777777" w:rsidR="00426BCE" w:rsidRPr="00FF3619" w:rsidRDefault="00426BCE" w:rsidP="003567D5">
            <w:pPr>
              <w:rPr>
                <w:b/>
              </w:rPr>
            </w:pPr>
            <w:r w:rsidRPr="00FF3619">
              <w:rPr>
                <w:b/>
              </w:rPr>
              <w:t>Live Attenuated Vaccine</w:t>
            </w:r>
          </w:p>
        </w:tc>
      </w:tr>
      <w:tr w:rsidR="00426BCE" w:rsidRPr="00FF3619" w14:paraId="2784D215"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191C2DA6" w14:textId="77777777" w:rsidR="00426BCE" w:rsidRPr="00FF3619" w:rsidRDefault="00426BCE" w:rsidP="003567D5">
            <w:r w:rsidRPr="00FF3619">
              <w:t>Polio - inactivated</w:t>
            </w:r>
          </w:p>
        </w:tc>
        <w:tc>
          <w:tcPr>
            <w:tcW w:w="4598" w:type="dxa"/>
            <w:tcBorders>
              <w:top w:val="single" w:sz="4" w:space="0" w:color="auto"/>
              <w:left w:val="single" w:sz="4" w:space="0" w:color="auto"/>
              <w:bottom w:val="single" w:sz="4" w:space="0" w:color="auto"/>
              <w:right w:val="single" w:sz="4" w:space="0" w:color="auto"/>
            </w:tcBorders>
            <w:hideMark/>
          </w:tcPr>
          <w:p w14:paraId="69100B0D" w14:textId="77777777" w:rsidR="00426BCE" w:rsidRPr="00FF3619" w:rsidRDefault="00426BCE" w:rsidP="003567D5">
            <w:r w:rsidRPr="00FF3619">
              <w:t>BCG</w:t>
            </w:r>
          </w:p>
        </w:tc>
      </w:tr>
      <w:tr w:rsidR="00426BCE" w:rsidRPr="00FF3619" w14:paraId="016CF70F"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2D7C39BC" w14:textId="77777777" w:rsidR="00426BCE" w:rsidRPr="00FF3619" w:rsidRDefault="00426BCE" w:rsidP="003567D5">
            <w:r w:rsidRPr="00FF3619">
              <w:t>Hepatitis B</w:t>
            </w:r>
          </w:p>
        </w:tc>
        <w:tc>
          <w:tcPr>
            <w:tcW w:w="4598" w:type="dxa"/>
            <w:tcBorders>
              <w:top w:val="single" w:sz="4" w:space="0" w:color="auto"/>
              <w:left w:val="single" w:sz="4" w:space="0" w:color="auto"/>
              <w:bottom w:val="single" w:sz="4" w:space="0" w:color="auto"/>
              <w:right w:val="single" w:sz="4" w:space="0" w:color="auto"/>
            </w:tcBorders>
            <w:hideMark/>
          </w:tcPr>
          <w:p w14:paraId="11BFAD6D" w14:textId="77777777" w:rsidR="00426BCE" w:rsidRPr="00FF3619" w:rsidRDefault="00426BCE" w:rsidP="003567D5">
            <w:r w:rsidRPr="00FF3619">
              <w:t>Influenza – intranasal, live attenuated</w:t>
            </w:r>
          </w:p>
        </w:tc>
      </w:tr>
      <w:tr w:rsidR="00426BCE" w:rsidRPr="00FF3619" w14:paraId="430D4236"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4C4EA05D" w14:textId="77777777" w:rsidR="00426BCE" w:rsidRPr="00FF3619" w:rsidRDefault="00426BCE" w:rsidP="003567D5">
            <w:r w:rsidRPr="00FF3619">
              <w:t>Influenza - inactivated</w:t>
            </w:r>
          </w:p>
        </w:tc>
        <w:tc>
          <w:tcPr>
            <w:tcW w:w="4598" w:type="dxa"/>
            <w:tcBorders>
              <w:top w:val="single" w:sz="4" w:space="0" w:color="auto"/>
              <w:left w:val="single" w:sz="4" w:space="0" w:color="auto"/>
              <w:bottom w:val="single" w:sz="4" w:space="0" w:color="auto"/>
              <w:right w:val="single" w:sz="4" w:space="0" w:color="auto"/>
            </w:tcBorders>
            <w:hideMark/>
          </w:tcPr>
          <w:p w14:paraId="7F6AE62D" w14:textId="77777777" w:rsidR="00426BCE" w:rsidRPr="00FF3619" w:rsidRDefault="00426BCE" w:rsidP="003567D5">
            <w:r w:rsidRPr="00FF3619">
              <w:t>Varicella Zoster/Shingles - Live</w:t>
            </w:r>
          </w:p>
        </w:tc>
      </w:tr>
      <w:tr w:rsidR="00426BCE" w:rsidRPr="00FF3619" w14:paraId="64981043"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6EB1E0D0" w14:textId="77777777" w:rsidR="00426BCE" w:rsidRPr="00FF3619" w:rsidRDefault="00426BCE" w:rsidP="003567D5">
            <w:r w:rsidRPr="00FF3619">
              <w:t>Hepatitis A</w:t>
            </w:r>
          </w:p>
        </w:tc>
        <w:tc>
          <w:tcPr>
            <w:tcW w:w="4598" w:type="dxa"/>
            <w:tcBorders>
              <w:top w:val="single" w:sz="4" w:space="0" w:color="auto"/>
              <w:left w:val="single" w:sz="4" w:space="0" w:color="auto"/>
              <w:bottom w:val="single" w:sz="4" w:space="0" w:color="auto"/>
              <w:right w:val="single" w:sz="4" w:space="0" w:color="auto"/>
            </w:tcBorders>
            <w:hideMark/>
          </w:tcPr>
          <w:p w14:paraId="390A8B8A" w14:textId="77777777" w:rsidR="00426BCE" w:rsidRPr="00FF3619" w:rsidRDefault="00426BCE" w:rsidP="003567D5">
            <w:r w:rsidRPr="00FF3619">
              <w:t xml:space="preserve">Mumps, Measles, Rubella </w:t>
            </w:r>
          </w:p>
        </w:tc>
      </w:tr>
      <w:tr w:rsidR="00426BCE" w:rsidRPr="00FF3619" w14:paraId="16C9BF9C"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38B4C018" w14:textId="77777777" w:rsidR="00426BCE" w:rsidRPr="00FF3619" w:rsidRDefault="00426BCE" w:rsidP="003567D5">
            <w:r w:rsidRPr="00FF3619">
              <w:t>Pneumococcal</w:t>
            </w:r>
          </w:p>
        </w:tc>
        <w:tc>
          <w:tcPr>
            <w:tcW w:w="4598" w:type="dxa"/>
            <w:tcBorders>
              <w:top w:val="single" w:sz="4" w:space="0" w:color="auto"/>
              <w:left w:val="single" w:sz="4" w:space="0" w:color="auto"/>
              <w:bottom w:val="single" w:sz="4" w:space="0" w:color="auto"/>
              <w:right w:val="single" w:sz="4" w:space="0" w:color="auto"/>
            </w:tcBorders>
            <w:hideMark/>
          </w:tcPr>
          <w:p w14:paraId="093A25D3" w14:textId="77777777" w:rsidR="00426BCE" w:rsidRPr="00FF3619" w:rsidRDefault="00426BCE" w:rsidP="003567D5">
            <w:r w:rsidRPr="00FF3619">
              <w:t>Polio – oral, live-attenuated</w:t>
            </w:r>
          </w:p>
        </w:tc>
      </w:tr>
      <w:tr w:rsidR="00426BCE" w:rsidRPr="00FF3619" w14:paraId="2DC019B7"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54C880BD" w14:textId="77777777" w:rsidR="00426BCE" w:rsidRPr="00FF3619" w:rsidRDefault="00426BCE" w:rsidP="003567D5">
            <w:r w:rsidRPr="00FF3619">
              <w:t xml:space="preserve">Meningococcal </w:t>
            </w:r>
          </w:p>
        </w:tc>
        <w:tc>
          <w:tcPr>
            <w:tcW w:w="4598" w:type="dxa"/>
            <w:tcBorders>
              <w:top w:val="single" w:sz="4" w:space="0" w:color="auto"/>
              <w:left w:val="single" w:sz="4" w:space="0" w:color="auto"/>
              <w:bottom w:val="single" w:sz="4" w:space="0" w:color="auto"/>
              <w:right w:val="single" w:sz="4" w:space="0" w:color="auto"/>
            </w:tcBorders>
            <w:hideMark/>
          </w:tcPr>
          <w:p w14:paraId="2AFFADED" w14:textId="77777777" w:rsidR="00426BCE" w:rsidRPr="00FF3619" w:rsidRDefault="00426BCE" w:rsidP="003567D5">
            <w:r w:rsidRPr="00FF3619">
              <w:t>Salmonella - oral</w:t>
            </w:r>
          </w:p>
        </w:tc>
      </w:tr>
      <w:tr w:rsidR="00426BCE" w:rsidRPr="00FF3619" w14:paraId="67679F35"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3DA7594C" w14:textId="77777777" w:rsidR="00426BCE" w:rsidRPr="00FF3619" w:rsidRDefault="00426BCE" w:rsidP="003567D5">
            <w:r w:rsidRPr="00FF3619">
              <w:t>Human Papilloma Virus</w:t>
            </w:r>
          </w:p>
        </w:tc>
        <w:tc>
          <w:tcPr>
            <w:tcW w:w="4598" w:type="dxa"/>
            <w:tcBorders>
              <w:top w:val="single" w:sz="4" w:space="0" w:color="auto"/>
              <w:left w:val="single" w:sz="4" w:space="0" w:color="auto"/>
              <w:bottom w:val="single" w:sz="4" w:space="0" w:color="auto"/>
              <w:right w:val="single" w:sz="4" w:space="0" w:color="auto"/>
            </w:tcBorders>
            <w:hideMark/>
          </w:tcPr>
          <w:p w14:paraId="58198DF4" w14:textId="77777777" w:rsidR="00426BCE" w:rsidRPr="00FF3619" w:rsidRDefault="00426BCE" w:rsidP="003567D5">
            <w:r w:rsidRPr="00FF3619">
              <w:t>Typhoid - oral (ty21a)</w:t>
            </w:r>
          </w:p>
        </w:tc>
      </w:tr>
      <w:tr w:rsidR="00426BCE" w:rsidRPr="00FF3619" w14:paraId="194EA973"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0D539EBB" w14:textId="77777777" w:rsidR="00426BCE" w:rsidRPr="00FF3619" w:rsidRDefault="00426BCE" w:rsidP="003567D5">
            <w:r w:rsidRPr="00FF3619">
              <w:t>Rabies</w:t>
            </w:r>
          </w:p>
        </w:tc>
        <w:tc>
          <w:tcPr>
            <w:tcW w:w="4598" w:type="dxa"/>
            <w:tcBorders>
              <w:top w:val="single" w:sz="4" w:space="0" w:color="auto"/>
              <w:left w:val="single" w:sz="4" w:space="0" w:color="auto"/>
              <w:bottom w:val="single" w:sz="4" w:space="0" w:color="auto"/>
              <w:right w:val="single" w:sz="4" w:space="0" w:color="auto"/>
            </w:tcBorders>
            <w:hideMark/>
          </w:tcPr>
          <w:p w14:paraId="5BFD23AE" w14:textId="77777777" w:rsidR="00426BCE" w:rsidRPr="00FF3619" w:rsidRDefault="00426BCE" w:rsidP="003567D5">
            <w:r w:rsidRPr="00FF3619">
              <w:t>Rotavirus</w:t>
            </w:r>
          </w:p>
        </w:tc>
      </w:tr>
      <w:tr w:rsidR="00426BCE" w:rsidRPr="00FF3619" w14:paraId="050E2688"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79C74F14" w14:textId="77777777" w:rsidR="00426BCE" w:rsidRPr="00FF3619" w:rsidRDefault="00426BCE" w:rsidP="003567D5">
            <w:proofErr w:type="spellStart"/>
            <w:r w:rsidRPr="00FF3619">
              <w:t>Diptheria</w:t>
            </w:r>
            <w:proofErr w:type="spellEnd"/>
          </w:p>
        </w:tc>
        <w:tc>
          <w:tcPr>
            <w:tcW w:w="4598" w:type="dxa"/>
            <w:tcBorders>
              <w:top w:val="single" w:sz="4" w:space="0" w:color="auto"/>
              <w:left w:val="single" w:sz="4" w:space="0" w:color="auto"/>
              <w:bottom w:val="single" w:sz="4" w:space="0" w:color="auto"/>
              <w:right w:val="single" w:sz="4" w:space="0" w:color="auto"/>
            </w:tcBorders>
            <w:hideMark/>
          </w:tcPr>
          <w:p w14:paraId="6E31BC35" w14:textId="77777777" w:rsidR="00426BCE" w:rsidRPr="00FF3619" w:rsidRDefault="00426BCE" w:rsidP="003567D5">
            <w:r w:rsidRPr="00FF3619">
              <w:t xml:space="preserve">Dengue fever – live attenuated </w:t>
            </w:r>
          </w:p>
        </w:tc>
      </w:tr>
      <w:tr w:rsidR="00426BCE" w:rsidRPr="00FF3619" w14:paraId="2FF562BB"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0AE8EAD4" w14:textId="77777777" w:rsidR="00426BCE" w:rsidRPr="00FF3619" w:rsidRDefault="00426BCE" w:rsidP="003567D5">
            <w:r w:rsidRPr="00FF3619">
              <w:t>Tetanus</w:t>
            </w:r>
          </w:p>
        </w:tc>
        <w:tc>
          <w:tcPr>
            <w:tcW w:w="4598" w:type="dxa"/>
            <w:tcBorders>
              <w:top w:val="single" w:sz="4" w:space="0" w:color="auto"/>
              <w:left w:val="single" w:sz="4" w:space="0" w:color="auto"/>
              <w:bottom w:val="single" w:sz="4" w:space="0" w:color="auto"/>
              <w:right w:val="single" w:sz="4" w:space="0" w:color="auto"/>
            </w:tcBorders>
            <w:hideMark/>
          </w:tcPr>
          <w:p w14:paraId="24857C11" w14:textId="77777777" w:rsidR="00426BCE" w:rsidRPr="00FF3619" w:rsidRDefault="00426BCE" w:rsidP="003567D5">
            <w:r w:rsidRPr="00FF3619">
              <w:t>Yellow Fever</w:t>
            </w:r>
          </w:p>
        </w:tc>
      </w:tr>
      <w:tr w:rsidR="00426BCE" w:rsidRPr="00FF3619" w14:paraId="0F87AC64"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73D96F81" w14:textId="77777777" w:rsidR="00426BCE" w:rsidRPr="00FF3619" w:rsidRDefault="00426BCE" w:rsidP="003567D5">
            <w:r w:rsidRPr="00FF3619">
              <w:t>Anthrax</w:t>
            </w:r>
          </w:p>
        </w:tc>
        <w:tc>
          <w:tcPr>
            <w:tcW w:w="4598" w:type="dxa"/>
            <w:tcBorders>
              <w:top w:val="single" w:sz="4" w:space="0" w:color="auto"/>
              <w:left w:val="single" w:sz="4" w:space="0" w:color="auto"/>
              <w:bottom w:val="single" w:sz="4" w:space="0" w:color="auto"/>
              <w:right w:val="single" w:sz="4" w:space="0" w:color="auto"/>
            </w:tcBorders>
            <w:hideMark/>
          </w:tcPr>
          <w:p w14:paraId="7797A451" w14:textId="77777777" w:rsidR="00426BCE" w:rsidRPr="00FF3619" w:rsidRDefault="00426BCE" w:rsidP="003567D5">
            <w:r w:rsidRPr="00FF3619">
              <w:t>Cholera – oral, live (</w:t>
            </w:r>
            <w:proofErr w:type="spellStart"/>
            <w:r w:rsidRPr="00FF3619">
              <w:t>Vaxchora</w:t>
            </w:r>
            <w:proofErr w:type="spellEnd"/>
            <w:r w:rsidRPr="00FF3619">
              <w:rPr>
                <w:rFonts w:ascii="Symbol" w:eastAsia="Symbol" w:hAnsi="Symbol" w:cs="Symbol"/>
              </w:rPr>
              <w:t>â</w:t>
            </w:r>
            <w:r w:rsidRPr="00FF3619">
              <w:t>)</w:t>
            </w:r>
          </w:p>
        </w:tc>
      </w:tr>
      <w:tr w:rsidR="00426BCE" w:rsidRPr="00FF3619" w14:paraId="108C0539"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62ED40A2" w14:textId="77777777" w:rsidR="00426BCE" w:rsidRPr="00FF3619" w:rsidRDefault="00426BCE" w:rsidP="003567D5">
            <w:r w:rsidRPr="00FF3619">
              <w:t>Japanese encephalitis - inactivated</w:t>
            </w:r>
          </w:p>
        </w:tc>
        <w:tc>
          <w:tcPr>
            <w:tcW w:w="4598" w:type="dxa"/>
            <w:tcBorders>
              <w:top w:val="single" w:sz="4" w:space="0" w:color="auto"/>
              <w:left w:val="single" w:sz="4" w:space="0" w:color="auto"/>
              <w:bottom w:val="single" w:sz="4" w:space="0" w:color="auto"/>
              <w:right w:val="single" w:sz="4" w:space="0" w:color="auto"/>
            </w:tcBorders>
          </w:tcPr>
          <w:p w14:paraId="42D56B8E" w14:textId="77777777" w:rsidR="00426BCE" w:rsidRPr="00FF3619" w:rsidRDefault="00426BCE" w:rsidP="003567D5"/>
        </w:tc>
      </w:tr>
      <w:tr w:rsidR="00426BCE" w:rsidRPr="00FF3619" w14:paraId="522972B5"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66B11EFE" w14:textId="77777777" w:rsidR="00426BCE" w:rsidRPr="00FF3619" w:rsidRDefault="00426BCE" w:rsidP="003567D5">
            <w:r w:rsidRPr="00FF3619">
              <w:t>Shingles vaccine – adjuvanted (Shingrix</w:t>
            </w:r>
            <w:r w:rsidRPr="00FF3619">
              <w:rPr>
                <w:rFonts w:ascii="Symbol" w:eastAsia="Symbol" w:hAnsi="Symbol" w:cs="Symbol"/>
              </w:rPr>
              <w:t>â</w:t>
            </w:r>
            <w:r w:rsidRPr="00FF3619">
              <w:t>) (see section 8.4.2)</w:t>
            </w:r>
          </w:p>
        </w:tc>
        <w:tc>
          <w:tcPr>
            <w:tcW w:w="4598" w:type="dxa"/>
            <w:tcBorders>
              <w:top w:val="single" w:sz="4" w:space="0" w:color="auto"/>
              <w:left w:val="single" w:sz="4" w:space="0" w:color="auto"/>
              <w:bottom w:val="single" w:sz="4" w:space="0" w:color="auto"/>
              <w:right w:val="single" w:sz="4" w:space="0" w:color="auto"/>
            </w:tcBorders>
          </w:tcPr>
          <w:p w14:paraId="33FED476" w14:textId="77777777" w:rsidR="00426BCE" w:rsidRPr="00FF3619" w:rsidRDefault="00426BCE" w:rsidP="003567D5"/>
        </w:tc>
      </w:tr>
      <w:tr w:rsidR="00426BCE" w:rsidRPr="00FF3619" w14:paraId="63A8ACC6"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1B225A4E" w14:textId="77777777" w:rsidR="00426BCE" w:rsidRPr="00FF3619" w:rsidRDefault="00426BCE" w:rsidP="003567D5">
            <w:r w:rsidRPr="00FF3619">
              <w:t>Cholera – oral, inactivated (</w:t>
            </w:r>
            <w:proofErr w:type="spellStart"/>
            <w:r w:rsidRPr="00FF3619">
              <w:t>Dukoral</w:t>
            </w:r>
            <w:proofErr w:type="spellEnd"/>
            <w:r w:rsidRPr="00FF3619">
              <w:rPr>
                <w:rFonts w:ascii="Symbol" w:eastAsia="Symbol" w:hAnsi="Symbol" w:cs="Symbol"/>
              </w:rPr>
              <w:t>â</w:t>
            </w:r>
            <w:r w:rsidRPr="00FF3619">
              <w:t>)</w:t>
            </w:r>
          </w:p>
        </w:tc>
        <w:tc>
          <w:tcPr>
            <w:tcW w:w="4598" w:type="dxa"/>
            <w:tcBorders>
              <w:top w:val="single" w:sz="4" w:space="0" w:color="auto"/>
              <w:left w:val="single" w:sz="4" w:space="0" w:color="auto"/>
              <w:bottom w:val="single" w:sz="4" w:space="0" w:color="auto"/>
              <w:right w:val="single" w:sz="4" w:space="0" w:color="auto"/>
            </w:tcBorders>
          </w:tcPr>
          <w:p w14:paraId="0FEF1FEE" w14:textId="77777777" w:rsidR="00426BCE" w:rsidRPr="00FF3619" w:rsidRDefault="00426BCE" w:rsidP="003567D5"/>
        </w:tc>
      </w:tr>
      <w:tr w:rsidR="00426BCE" w:rsidRPr="00FF3619" w14:paraId="751D6052"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58F9146D" w14:textId="77777777" w:rsidR="00426BCE" w:rsidRPr="00FF3619" w:rsidRDefault="00426BCE" w:rsidP="003567D5">
            <w:r w:rsidRPr="00FF3619">
              <w:t>Covid 19</w:t>
            </w:r>
          </w:p>
        </w:tc>
        <w:tc>
          <w:tcPr>
            <w:tcW w:w="4598" w:type="dxa"/>
            <w:tcBorders>
              <w:top w:val="single" w:sz="4" w:space="0" w:color="auto"/>
              <w:left w:val="single" w:sz="4" w:space="0" w:color="auto"/>
              <w:bottom w:val="single" w:sz="4" w:space="0" w:color="auto"/>
              <w:right w:val="single" w:sz="4" w:space="0" w:color="auto"/>
            </w:tcBorders>
          </w:tcPr>
          <w:p w14:paraId="66917409" w14:textId="77777777" w:rsidR="00426BCE" w:rsidRPr="00FF3619" w:rsidRDefault="00426BCE" w:rsidP="003567D5"/>
        </w:tc>
      </w:tr>
      <w:tr w:rsidR="00426BCE" w:rsidRPr="00FF3619" w14:paraId="3D8F37F6"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03052EF1" w14:textId="77777777" w:rsidR="00426BCE" w:rsidRPr="00FF3619" w:rsidRDefault="00426BCE" w:rsidP="003567D5">
            <w:r w:rsidRPr="00FF3619">
              <w:t>Smallpox and Mpox (</w:t>
            </w:r>
            <w:proofErr w:type="spellStart"/>
            <w:r w:rsidRPr="00FF3619">
              <w:t>Imvanex</w:t>
            </w:r>
            <w:proofErr w:type="spellEnd"/>
            <w:r w:rsidRPr="00FF3619">
              <w:rPr>
                <w:rFonts w:ascii="Symbol" w:eastAsia="Symbol" w:hAnsi="Symbol" w:cs="Symbol"/>
              </w:rPr>
              <w:t>â</w:t>
            </w:r>
            <w:r w:rsidRPr="00FF3619">
              <w:t>) – considered inactive</w:t>
            </w:r>
          </w:p>
        </w:tc>
        <w:tc>
          <w:tcPr>
            <w:tcW w:w="4598" w:type="dxa"/>
            <w:tcBorders>
              <w:top w:val="single" w:sz="4" w:space="0" w:color="auto"/>
              <w:left w:val="single" w:sz="4" w:space="0" w:color="auto"/>
              <w:bottom w:val="single" w:sz="4" w:space="0" w:color="auto"/>
              <w:right w:val="single" w:sz="4" w:space="0" w:color="auto"/>
            </w:tcBorders>
          </w:tcPr>
          <w:p w14:paraId="78E67E7B" w14:textId="77777777" w:rsidR="00426BCE" w:rsidRPr="00FF3619" w:rsidRDefault="00426BCE" w:rsidP="003567D5"/>
        </w:tc>
      </w:tr>
      <w:tr w:rsidR="00426BCE" w:rsidRPr="00FF3619" w14:paraId="5A53DAAC" w14:textId="77777777" w:rsidTr="003567D5">
        <w:tc>
          <w:tcPr>
            <w:tcW w:w="4644" w:type="dxa"/>
            <w:tcBorders>
              <w:top w:val="single" w:sz="4" w:space="0" w:color="auto"/>
              <w:left w:val="single" w:sz="4" w:space="0" w:color="auto"/>
              <w:bottom w:val="single" w:sz="4" w:space="0" w:color="auto"/>
              <w:right w:val="single" w:sz="4" w:space="0" w:color="auto"/>
            </w:tcBorders>
            <w:hideMark/>
          </w:tcPr>
          <w:p w14:paraId="3A62ABEA" w14:textId="77777777" w:rsidR="00426BCE" w:rsidRPr="00FF3619" w:rsidRDefault="00426BCE" w:rsidP="003567D5">
            <w:r w:rsidRPr="00FF3619">
              <w:t>Pertussis</w:t>
            </w:r>
          </w:p>
        </w:tc>
        <w:tc>
          <w:tcPr>
            <w:tcW w:w="4598" w:type="dxa"/>
            <w:tcBorders>
              <w:top w:val="single" w:sz="4" w:space="0" w:color="auto"/>
              <w:left w:val="single" w:sz="4" w:space="0" w:color="auto"/>
              <w:bottom w:val="single" w:sz="4" w:space="0" w:color="auto"/>
              <w:right w:val="single" w:sz="4" w:space="0" w:color="auto"/>
            </w:tcBorders>
          </w:tcPr>
          <w:p w14:paraId="7669F7C9" w14:textId="77777777" w:rsidR="00426BCE" w:rsidRPr="00FF3619" w:rsidRDefault="00426BCE" w:rsidP="003567D5"/>
        </w:tc>
      </w:tr>
    </w:tbl>
    <w:p w14:paraId="5DF8CDAD" w14:textId="77777777" w:rsidR="00426BCE" w:rsidRPr="00FF3619" w:rsidRDefault="00426BCE" w:rsidP="00426BCE"/>
    <w:p w14:paraId="275851D3" w14:textId="078B4BF9" w:rsidR="00426BCE" w:rsidRPr="00FF3619" w:rsidRDefault="00426BCE" w:rsidP="00516860">
      <w:r w:rsidRPr="00FF3619">
        <w:br w:type="page"/>
      </w:r>
      <w:r w:rsidRPr="00FF3619">
        <w:lastRenderedPageBreak/>
        <w:t>The HPV vaccine has been assessed in a small study of transplant recipients. Although the vaccine was safe and tolerated, immunogenicity was suboptimal. In 171 solid organ transplant recipients the vaccine was administered at day 1, month 2 and month 6. Primary outcome was seroconversion rates to the 9vHPV types at month 7 which ranged from 46% for HPV45 to 72% for HPV58</w:t>
      </w:r>
      <w:r>
        <w:t xml:space="preserve"> </w:t>
      </w:r>
      <w:r>
        <w:fldChar w:fldCharType="begin"/>
      </w:r>
      <w:r w:rsidR="002D20B5">
        <w:instrText xml:space="preserve"> ADDIN ZOTERO_ITEM CSL_CITATION {"citationID":"KBcRV61d","properties":{"formattedCitation":"\\super 298\\nosupersub{}","plainCitation":"298","noteIndex":0},"citationItems":[{"id":19156,"uris":["http://zotero.org/users/3444308/items/LFP53G3R"],"itemData":{"id":19156,"type":"article-journal","abstract":"BACKGROUND: The burden of human papillomavirus (HPV) in human immunodeficiency virus (HIV)-infected persons and solid organ transplant (SOT) recipients is high. Clinical trials on HPV vaccines in persons living with HIV and particularly in SOT recipients have been sparse to date, included low numbers of participants, and none of them assessed the 9-valent HPV (9vHPV) vaccine. We investigated the immunogenicity with respect to HPV types 6, 11, 16, 18, 31, 33, 45, 52, and 58 and the safety of the 9vHPV vaccine in persons living with HIV and recipients of a kidney, lung, or heart transplant.\nMETHODS: This is a phase III investigator-initiated study in 100 persons living with HIV (age 18-45 years) and 171 SOT recipients (age 18-55 years). The 9vHPV vaccine was administered at day 1, month 2, and month 6. Primary outcome was seroconversion rates to the 9vHPV types at month 7. Secondary outcomes were geometric mean titers (GMTs) and frequency of adverse events (AEs).\nRESULTS: All HIV-infected participants seroconverted for all HPV types, but seroconversion ranged from 46% for HPV45 to 72% for HPV58 in SOT recipients. GMTs ranged from 180 to 2985 mMU/mL in HIV-positive participants and from 17 to 170 mMU/mL in SOT recipients, depending on the HPV type. Injection-site AEs occurred in 62% of participants but were mostly mild or moderate in intensity. None of the reported serious adverse events were deemed vaccine related. No patients died during the study.\nCONCLUSIONS: Immunogenicity of the 9vHPV vaccine is high in persons living with HIV but suboptimal in SOT recipients. The vaccine is safe and well tolerated in both groups.","container-title":"Clinical Infectious Diseases: An Official Publication of the Infectious Diseases Society of America","DOI":"10.1093/cid/ciaa1897","ISSN":"1537-6591","issue":"3","journalAbbreviation":"Clin Infect Dis","language":"eng","note":"PMID: 33373429","page":"e661-e671","source":"PubMed","title":"Immunogenicity and Safety of the 9-Valent Human Papillomavirus Vaccine in Solid Organ Transplant Recipients and Adults Infected With Human Immunodeficiency Virus (HIV)","volume":"73","author":[{"family":"Boey","given":"Lise"},{"family":"Curinckx","given":"Ans"},{"family":"Roelants","given":"Mathieu"},{"family":"Derdelinckx","given":"Inge"},{"family":"Van Wijngaerden","given":"Eric"},{"family":"De Munter","given":"Paul"},{"family":"Vos","given":"Robin"},{"family":"Kuypers","given":"Dirk"},{"family":"Van Cleemput","given":"Johan"},{"family":"Vandermeulen","given":"Corinne"}],"issued":{"date-parts":[["2021",8,2]]}}}],"schema":"https://github.com/citation-style-language/schema/raw/master/csl-citation.json"} </w:instrText>
      </w:r>
      <w:r>
        <w:fldChar w:fldCharType="separate"/>
      </w:r>
      <w:r w:rsidR="002D20B5" w:rsidRPr="002D20B5">
        <w:rPr>
          <w:rFonts w:ascii="Aptos" w:hAnsi="Aptos" w:cs="Times New Roman"/>
          <w:sz w:val="22"/>
          <w:vertAlign w:val="superscript"/>
        </w:rPr>
        <w:t>298</w:t>
      </w:r>
      <w:r>
        <w:fldChar w:fldCharType="end"/>
      </w:r>
      <w:r w:rsidRPr="00FF3619">
        <w:t>. There is a strong link between HPV and anogenital, oropharyngeal and non-melanoma skin cancer and, given the tolerability of these vaccines, we recommended vaccination for all KTRs aged between 9 and 25 using the 3 dose schedule</w:t>
      </w:r>
      <w:r>
        <w:t xml:space="preserve"> </w:t>
      </w:r>
      <w:r>
        <w:fldChar w:fldCharType="begin"/>
      </w:r>
      <w:r w:rsidR="002D20B5">
        <w:instrText xml:space="preserve"> ADDIN ZOTERO_ITEM CSL_CITATION {"citationID":"V3xEMPIE","properties":{"formattedCitation":"\\super 299\\nosupersub{}","plainCitation":"299","noteIndex":0},"citationItems":[{"id":19155,"uris":["http://zotero.org/users/3444308/items/BTJQQ5T5"],"itemData":{"id":19155,"type":"article-journal","abstract":"Solid organ transplant recipients are at risk of morbidity from human papillomavirus (HPV)-related diseases. Quadrivalent HPV vaccine is recommended for posttransplant patients but there are no data on vaccine immunogenicity. We determined the immunogenicity of HPV vaccine in a cohort of young adult transplant patients. Patients were immunized with three doses of quadrivalent HPV vaccine containing viral types 6, 11, 16 and 18. Immunogenicity was determined by type-specific viral-like protein ELISA. Four weeks after the last dose of vaccine, a vaccine response was seen in 63.2%, 68.4%, 63.2% and 52.6% for HPV 6, 11, 16 and 18, respectively. Factors that led to reduced immunogenicity were vaccination early after transplant (p = 0.019), having a lung transplant (p = 0.007) and having higher tacrolimus levels (p = 0.048). At 12 months, there were significant declines in antibody titer for all HPV types although the number of patients who remained seropositive did not significantly differ. The vaccine was safe and well tolerated. We show suboptimal immunogenicity of HPV vaccine in transplant patients. This is important for counseling patients who choose to receive this vaccine. Further studies are needed to determine an optimal HPV vaccine type and schedule for this population.","container-title":"American Journal of Transplantation: Official Journal of the American Society of Transplantation and the American Society of Transplant Surgeons","DOI":"10.1111/ajt.12329","ISSN":"1600-6143","issue":"9","journalAbbreviation":"Am J Transplant","language":"eng","note":"PMID: 23837399\nPMCID: PMC4583130","page":"2411-2417","source":"PubMed","title":"Immunogenicity of quadrivalent human papillomavirus vaccine in organ transplant recipients","volume":"13","author":[{"family":"Kumar","given":"D."},{"family":"Unger","given":"E. R."},{"family":"Panicker","given":"G."},{"family":"Medvedev","given":"P."},{"family":"Wilson","given":"L."},{"family":"Humar","given":"A."}],"issued":{"date-parts":[["2013",9]]}}}],"schema":"https://github.com/citation-style-language/schema/raw/master/csl-citation.json"} </w:instrText>
      </w:r>
      <w:r>
        <w:fldChar w:fldCharType="separate"/>
      </w:r>
      <w:r w:rsidR="002D20B5" w:rsidRPr="002D20B5">
        <w:rPr>
          <w:rFonts w:ascii="Aptos" w:hAnsi="Aptos" w:cs="Times New Roman"/>
          <w:sz w:val="22"/>
          <w:vertAlign w:val="superscript"/>
        </w:rPr>
        <w:t>299</w:t>
      </w:r>
      <w:r>
        <w:fldChar w:fldCharType="end"/>
      </w:r>
      <w:r w:rsidRPr="00FF3619">
        <w:t>.</w:t>
      </w:r>
    </w:p>
    <w:p w14:paraId="0247C2A7" w14:textId="2D407D36" w:rsidR="00426BCE" w:rsidRPr="00FF3619" w:rsidRDefault="00426BCE" w:rsidP="00516860">
      <w:r w:rsidRPr="00FF3619">
        <w:t xml:space="preserve">Prior to travel, KTR should make sure that they are up to date with the required vaccinations for their destination via a suitably qualified healthcare professional ensuring that no live vaccines are administered.  This should be completed several months before travel to enable time for an adequate response. KTR travelling to malaria endemic regions are at increased risk of severe disease and therefore appropriate chemoprophylaxis is recommended for low and </w:t>
      </w:r>
      <w:proofErr w:type="gramStart"/>
      <w:r w:rsidRPr="00FF3619">
        <w:t>high risk</w:t>
      </w:r>
      <w:proofErr w:type="gramEnd"/>
      <w:r w:rsidRPr="00FF3619">
        <w:t xml:space="preserve"> areas. Choice of malaria prophylaxis should be based on renal function and travel medicine advice.  Any febrile illness during or after travel should be investigated for malaria</w:t>
      </w:r>
      <w:r w:rsidR="00E40CE5">
        <w:t xml:space="preserve"> </w:t>
      </w:r>
      <w:r>
        <w:fldChar w:fldCharType="begin"/>
      </w:r>
      <w:r w:rsidR="002D20B5">
        <w:instrText xml:space="preserve"> ADDIN ZOTERO_ITEM CSL_CITATION {"citationID":"1TilCmtd","properties":{"formattedCitation":"\\super 296,300\\nosupersub{}","plainCitation":"296,300","noteIndex":0},"citationItems":[{"id":19159,"uris":["http://zotero.org/users/3444308/items/HXFY7JI7"],"itemData":{"id":19159,"type":"article-journal","abstract":"BACKGROUND: Clinical guidelines recommend vaccinations for solid-organ transplant recipients. However, concern exists that vaccination may stimulate adverse alloimmune responses.\nMETHODS: We systematically reviewed the published literature regarding this aspect of vaccine safety. Electronic databases were searched for interventional and observational studies assessing de novo donor-specific antibodies (DSA) and rejection episodes after vaccination against infectious pathogens. Graft loss was also assessed. A meta-analysis was conducted for prospective, controlled studies. PRISMA reporting guidelines were followed.\nRESULTS: Ninety studies (15,645 vaccinated patients and 42,924 control patients) were included. Twelve studies included control groups. The incidence of de novo DSA (14 studies) was 23 of 1,244 patients (1.85%) at 21 to 94 days. The incidence of rejection (83 studies) was 107 episodes in 5,116 patients (2.1%) at 0.7 to 6 months. Meta-analysis of prospective controlled studies (n = 8) showed no increased rejection risk with vaccination compared with no vaccination (RR 1.12, 95% CI 0.75 to 1.70). This finding was supported by data from 3 registry analyses.\nCONCLUSIONS: Although the current evidence lacks high-quality, controlled studies, the currently available data provide reassurance that clinicians should recommend appropriate vaccination for their transplant patients as the risk of de novo DSA and rejection is relatively low.","container-title":"The Journal of Heart and Lung Transplantation: The Official Publication of the International Society for Heart Transplantation","DOI":"10.1016/j.healun.2018.03.001","ISSN":"1557-3117","issue":"7","journalAbbreviation":"J Heart Lung Transplant","language":"eng","note":"PMID: 29609844","page":"844-852","source":"PubMed","title":"Does vaccination in solid-organ transplant recipients result in adverse immunologic sequelae? A systematic review and meta-analysis","title-short":"Does vaccination in solid-organ transplant recipients result in adverse immunologic sequelae?","volume":"37","author":[{"family":"Mulley","given":"William R."},{"family":"Dendle","given":"Claire"},{"family":"Ling","given":"Jonathan E. H."},{"family":"Knight","given":"Simon R."}],"issued":{"date-parts":[["2018",7]]}}},{"id":19154,"uris":["http://zotero.org/users/3444308/items/2N6TUGPD"],"itemData":{"id":19154,"type":"report","language":"en","source":"Zotero","title":"Guidelines for malaria prevention in travellers from the UK 2024","author":[{"literal":"UK Health Security Agency"}],"issued":{"date-parts":[["2024"]]}}}],"schema":"https://github.com/citation-style-language/schema/raw/master/csl-citation.json"} </w:instrText>
      </w:r>
      <w:r>
        <w:fldChar w:fldCharType="separate"/>
      </w:r>
      <w:r w:rsidR="002D20B5" w:rsidRPr="002D20B5">
        <w:rPr>
          <w:rFonts w:ascii="Aptos" w:hAnsi="Aptos" w:cs="Times New Roman"/>
          <w:sz w:val="22"/>
          <w:vertAlign w:val="superscript"/>
        </w:rPr>
        <w:t>296,300</w:t>
      </w:r>
      <w:r>
        <w:fldChar w:fldCharType="end"/>
      </w:r>
      <w:r>
        <w:t>.</w:t>
      </w:r>
    </w:p>
    <w:p w14:paraId="16034096" w14:textId="77777777" w:rsidR="00426BCE" w:rsidRPr="00FF3619" w:rsidRDefault="00426BCE" w:rsidP="00426BCE">
      <w:pPr>
        <w:rPr>
          <w:b/>
          <w:bCs/>
        </w:rPr>
      </w:pPr>
    </w:p>
    <w:p w14:paraId="1AFB837A" w14:textId="3E0E6C42" w:rsidR="00426BCE" w:rsidRPr="00FF3619" w:rsidRDefault="00426BCE" w:rsidP="00516860">
      <w:pPr>
        <w:pStyle w:val="GuidelineHeadings"/>
      </w:pPr>
      <w:r w:rsidRPr="00FF3619">
        <w:br w:type="page"/>
      </w:r>
      <w:r w:rsidRPr="00FF3619">
        <w:lastRenderedPageBreak/>
        <w:t xml:space="preserve">Guideline </w:t>
      </w:r>
      <w:r w:rsidR="00B361D6">
        <w:t>7</w:t>
      </w:r>
      <w:r w:rsidRPr="00FF3619">
        <w:t>.2 – KTR: Cytomegalovirus disease</w:t>
      </w:r>
    </w:p>
    <w:p w14:paraId="0F1A9D03" w14:textId="38074AE4" w:rsidR="00426BCE" w:rsidRPr="00FF3619" w:rsidRDefault="00426BCE" w:rsidP="00516860">
      <w:r w:rsidRPr="00FF3619">
        <w:t>CMV infection is the most common serious viral infection affecting renal transplant recipients</w:t>
      </w:r>
      <w:r>
        <w:rPr>
          <w:vertAlign w:val="superscript"/>
        </w:rPr>
        <w:t xml:space="preserve"> </w:t>
      </w:r>
      <w:r>
        <w:rPr>
          <w:vertAlign w:val="superscript"/>
        </w:rPr>
        <w:fldChar w:fldCharType="begin"/>
      </w:r>
      <w:r w:rsidR="002D20B5">
        <w:rPr>
          <w:vertAlign w:val="superscript"/>
        </w:rPr>
        <w:instrText xml:space="preserve"> ADDIN ZOTERO_ITEM CSL_CITATION {"citationID":"E6hbrme7","properties":{"formattedCitation":"\\super 301\\nosupersub{}","plainCitation":"301","noteIndex":0},"citationItems":[{"id":19153,"uris":["http://zotero.org/users/3444308/items/7YBXN8AB"],"itemData":{"id":19153,"type":"article-journal","abstract":"Despite recent advances, cytomegalovirus (CMV) infections remain one of the most common complications affecting solid organ transplant recipients, conveying higher risks of complications, graft loss, morbidity, and mortality. Research in the field and development of prior consensus guidelines supported by The Transplantation Society has allowed a more standardized approach to CMV management. An international multidisciplinary panel of experts was convened to expand and revise evidence and expert opinion-based consensus guidelines on CMV management including prevention, treatment, diagnostics, immunology, drug resistance, and pediatric issues. Highlights include advances in molecular and immunologic diagnostics, improved understanding of diagnostic thresholds, optimized methods of prevention, advances in the use of novel antiviral therapies and certain immunosuppressive agents, and more savvy approaches to treatment resistant/refractory disease. The following report summarizes the updated recommendations.","container-title":"Transplantation","DOI":"10.1097/TP.0000000000002191","ISSN":"1534-6080","issue":"6","journalAbbreviation":"Transplantation","language":"eng","note":"PMID: 29596116","page":"900-931","source":"PubMed","title":"The Third International Consensus Guidelines on the Management of Cytomegalovirus in Solid-organ Transplantation","volume":"102","author":[{"family":"Kotton","given":"Camille N."},{"family":"Kumar","given":"Deepali"},{"family":"Caliendo","given":"Angela M."},{"family":"Huprikar","given":"Shirish"},{"family":"Chou","given":"Sunwen"},{"family":"Danziger-Isakov","given":"Lara"},{"family":"Humar","given":"Atul"},{"literal":"The Transplantation Society International CMV Consensus Group"}],"issued":{"date-parts":[["2018",6]]}}}],"schema":"https://github.com/citation-style-language/schema/raw/master/csl-citation.json"} </w:instrText>
      </w:r>
      <w:r>
        <w:rPr>
          <w:vertAlign w:val="superscript"/>
        </w:rPr>
        <w:fldChar w:fldCharType="separate"/>
      </w:r>
      <w:r w:rsidR="002D20B5" w:rsidRPr="002D20B5">
        <w:rPr>
          <w:rFonts w:ascii="Aptos" w:hAnsi="Aptos" w:cs="Times New Roman"/>
          <w:sz w:val="22"/>
          <w:vertAlign w:val="superscript"/>
        </w:rPr>
        <w:t>301</w:t>
      </w:r>
      <w:r>
        <w:rPr>
          <w:vertAlign w:val="superscript"/>
        </w:rPr>
        <w:fldChar w:fldCharType="end"/>
      </w:r>
      <w:r w:rsidRPr="00FF3619">
        <w:t>. It occurs most commonly in CMV naïve recipients of a kidney from a CMV positive donor. However, pre</w:t>
      </w:r>
      <w:r>
        <w:t>-</w:t>
      </w:r>
      <w:r w:rsidRPr="00FF3619">
        <w:t>implantation seropositive transplant recipients may be affected by reactivation of CMV infection or by primary infection with a new genotype. De novo CMV infection is associated with more intensive immunosuppression, treatment of acute rejection episodes and the use of TDAs. For CMV disease there is clear evidence that prophylaxis reduces the severity, delays the onset and prevents CMV infection in CMV negative recipients of CMV positive kidneys</w:t>
      </w:r>
      <w:r>
        <w:t xml:space="preserve"> </w:t>
      </w:r>
      <w:r>
        <w:fldChar w:fldCharType="begin"/>
      </w:r>
      <w:r w:rsidR="002D20B5">
        <w:instrText xml:space="preserve"> ADDIN ZOTERO_ITEM CSL_CITATION {"citationID":"Qgs5gsGk","properties":{"formattedCitation":"\\super 302\\nosupersub{}","plainCitation":"302","noteIndex":0},"citationItems":[{"id":19152,"uris":["http://zotero.org/users/3444308/items/T67TZSMS"],"itemData":{"id":19152,"type":"article-journal","abstract":"BACKGROUND: The risk of cytomegalovirus (CMV) infection in solid organ transplant recipients has resulted in the frequent use of prophylaxis to prevent the clinical syndrome associated with CMV infection. This is an update of a review first published in 2005 and updated in 2008 and 2013.\nOBJECTIVES: To determine the benefits and harms of antiviral medications to prevent CMV disease and all-cause death in solid organ transplant recipients.\nSEARCH METHODS: We contacted the information specialist and searched the Cochrane Kidney and Transplant Register of Studies up to 5 February 2024 using search terms relevant to this review. Studies in the Register are identified through searches of CENTRAL, MEDLINE, and EMBASE, conference proceedings, the International Clinical Trials Registry Platform (ICTRP) Search Portal, and ClinicalTrials.gov.\nSELECTION CRITERIA: We included randomised controlled trials (RCTs) and quasi-RCTs comparing antiviral medications with placebo or no treatment, comparing different antiviral medications or different regimens of the same antiviral medications for CMV prophylaxis in recipients of any solid organ transplant. Studies examining pre-emptive therapy for CMV infection are studied in a separate review and were excluded from this review.\nDATA COLLECTION AND ANALYSIS: Two authors independently assessed study eligibility, risk of bias and extracted data. Summary estimates of effect were obtained using a random-effects model, and results were expressed as risk ratios (RR) and their 95% confidence intervals (CI) for dichotomous outcomes and mean difference (MD) and 95% CI for continuous outcomes. Confidence in the evidence was assessed using the Grading of Recommendations Assessment, Development and Evaluation (GRADE) approach.\nMAIN RESULTS: This 2024 update found four new studies, bringing the total number of included studies to 41 (5054 participants). The risk of bias was high or unclear across most studies, with a low risk of bias for sequence generation (12), allocation concealment (12), blinding (11) and selective outcome reporting (9) in fewer studies. There is high-certainty evidence that prophylaxis with aciclovir, ganciclovir or valaciclovir compared with placebo or no treatment is more effective in preventing CMV disease (19 studies: RR 0.42, 95% CI 0.34 to 0.52), all-cause death (17 studies: RR 0.63, 95% CI 0.43 to 0.92), and CMV infection (17 studies: RR 0.61, 95% CI 0.48 to 0.77). There is moderate-certainty evidence that prophylaxis probably reduces death from CMV disease (7 studies: RR 0.26, 95% CI 0.08 to 0.78). Prophylaxis reduces the risk of herpes simplex and herpes zoster disease, bacterial and protozoal infections but probably makes little to no difference to fungal infection, acute rejection or graft loss. No apparent differences in adverse events with aciclovir, ganciclovir or valaciclovir compared with placebo or no treatment were found. There is high certainty evidence that ganciclovir, when compared with aciclovir, is more effective in preventing CMV disease (7 studies: RR 0.37, 95% CI 0.23 to 0.60). There may be little to no difference in any outcome between valganciclovir and IV ganciclovir compared with oral ganciclovir (low certainty evidence). The efficacy and adverse effects of valganciclovir or ganciclovir were probably no different to valaciclovir in three studies (moderate certainty evidence). There is moderate certainty evidence that extended duration prophylaxis probably reduces the risk of CMV disease compared with three months of therapy (2 studies: RR 0.20, 95% CI 0.12 to 0.35), with probably little to no difference in rates of adverse events. Low certainty evidence suggests that 450 mg/day valganciclovir compared with 900 mg/day valganciclovir results in little to no difference in all-cause death, CMV infection, acute rejection, and graft loss (no information on adverse events). Maribavir may increase CMV infection compared with ganciclovir (1 study: RR 1.34, 95% CI: 1.10 to 1.65; moderate certainty evidence); however, little to no difference between the two treatments were found for CMV disease, all-cause death, acute rejection, and adverse events at six months (low certainty evidence).\nAUTHORS' CONCLUSIONS: Prophylaxis with antiviral medications reduces CMV disease and CMV-associated death, compared with placebo or no treatment, in solid organ transplant recipients. These data support the continued routine use of antiviral prophylaxis in CMV-positive recipients and CMV-negative recipients of CMV-positive organ transplants.","container-title":"The Cochrane Database of Systematic Reviews","DOI":"10.1002/14651858.CD003774.pub5","ISSN":"1469-493X","issue":"5","journalAbbreviation":"Cochrane Database Syst Rev","language":"eng","note":"PMID: 38700045\nPMCID: PMC11066972","page":"CD003774","source":"PubMed","title":"Antiviral medications for preventing cytomegalovirus disease in solid organ transplant recipients","volume":"5","author":[{"family":"Vernooij","given":"Robin Wm"},{"family":"Michael","given":"Mini"},{"family":"Ladhani","given":"Maleeka"},{"family":"Webster","given":"Angela C."},{"family":"Strippoli","given":"Giovanni Fm"},{"family":"Craig","given":"Jonathan C."},{"family":"Hodson","given":"Elisabeth M."}],"issued":{"date-parts":[["2024",5,3]]}}}],"schema":"https://github.com/citation-style-language/schema/raw/master/csl-citation.json"} </w:instrText>
      </w:r>
      <w:r>
        <w:fldChar w:fldCharType="separate"/>
      </w:r>
      <w:r w:rsidR="002D20B5" w:rsidRPr="002D20B5">
        <w:rPr>
          <w:rFonts w:ascii="Aptos" w:hAnsi="Aptos" w:cs="Times New Roman"/>
          <w:sz w:val="22"/>
          <w:vertAlign w:val="superscript"/>
        </w:rPr>
        <w:t>302</w:t>
      </w:r>
      <w:r>
        <w:fldChar w:fldCharType="end"/>
      </w:r>
      <w:r w:rsidRPr="00FF3619">
        <w:t>. CMV infection is also associated with concomitant infection by other herpes viruses, the significance of which is uncertain</w:t>
      </w:r>
      <w:r>
        <w:t xml:space="preserve"> </w:t>
      </w:r>
      <w:r>
        <w:fldChar w:fldCharType="begin"/>
      </w:r>
      <w:r w:rsidR="002D20B5">
        <w:instrText xml:space="preserve"> ADDIN ZOTERO_ITEM CSL_CITATION {"citationID":"Esmux9Te","properties":{"formattedCitation":"\\super 303\\nosupersub{}","plainCitation":"303","noteIndex":0},"citationItems":[{"id":19151,"uris":["http://zotero.org/users/3444308/items/ERKSN4ES"],"itemData":{"id":19151,"type":"article-journal","abstract":"The effect of herpesvirus co-infections (HHV-6, HHV-7) on cytomegalovirus (CMV) disease and its response to therapy is unknown. We prospectively analyzed herpesvirus co-infections in transplant recipients with CMV disease. All patients received 3 weeks of antiviral therapy. Samples were collected at baseline (day 0) and then day 3, 7, 14 and 21 poststart of therapy. Viral load testing for CMV, HHV-6 and HHV-7 was done using quantitative PCR assays in 302 patients of whom 256 had documented symptomatic CMV viremia. In this subset, day 0 HHV-6 co-infection was present in 23/253 (9.1%) and HHV-7 in 17/253 (6.7%). Including those positive at any time point raised the prevalence to 79/256 (30.9%) for HHV-6 and 75/256 (29.3%) for HHV-7. Viral co-infection did not influence the response of CMV disease to antiviral therapy. Baseline CMV viral loads, time to eradication and risk of recurrence were similar in patients with and without HHV-6 or HHV-7 co-infection. Ganciclovir and valganciclovir had no clear effect on HHV-6 and HHV-7 viremia. In conclusion, herpesvirus co-infections are common in patients with CMV disease but with standard antiviral therapy, no clear clinical effects are discernable. Routine monitoring for viral co-infection in patients with CMV disease is not indicated.","container-title":"American Journal of Transplantation: Official Journal of the American Society of Transplantation and the American Society of Transplant Surgeons","DOI":"10.1111/j.1600-6143.2008.02501.x","ISSN":"1600-6143","issue":"2","journalAbbreviation":"Am J Transplant","language":"eng","note":"PMID: 19120074","page":"374-381","source":"PubMed","title":"An assessment of herpesvirus co-infections in patients with CMV disease: correlation with clinical and virologic outcomes","title-short":"An assessment of herpesvirus co-infections in patients with CMV disease","volume":"9","author":[{"family":"Humar","given":"A."},{"family":"Asberg","given":"A."},{"family":"Kumar","given":"D."},{"family":"Hartmann","given":"A."},{"family":"Moussa","given":"G."},{"family":"Jardine","given":"A."},{"family":"Rollag","given":"H."},{"family":"Mouas","given":"H."},{"family":"Gahlemann","given":"C. G."},{"family":"Pescovitz","given":"M. D."},{"literal":"VICTOR study group"}],"issued":{"date-parts":[["2009",2]]}}}],"schema":"https://github.com/citation-style-language/schema/raw/master/csl-citation.json"} </w:instrText>
      </w:r>
      <w:r>
        <w:fldChar w:fldCharType="separate"/>
      </w:r>
      <w:r w:rsidR="002D20B5" w:rsidRPr="002D20B5">
        <w:rPr>
          <w:rFonts w:ascii="Aptos" w:hAnsi="Aptos" w:cs="Times New Roman"/>
          <w:sz w:val="22"/>
          <w:vertAlign w:val="superscript"/>
        </w:rPr>
        <w:t>303</w:t>
      </w:r>
      <w:r>
        <w:fldChar w:fldCharType="end"/>
      </w:r>
      <w:r w:rsidRPr="00FF3619">
        <w:t xml:space="preserve">. CMV prophylaxis is therefore recommended in CMV negative KTRs from a CMV positive donor (D+/R-), and for seropositive KTRs (D-/R+ or D+/R+) exposed to more intensive immunosuppression, </w:t>
      </w:r>
      <w:proofErr w:type="gramStart"/>
      <w:r w:rsidRPr="00FF3619">
        <w:t>in particular</w:t>
      </w:r>
      <w:proofErr w:type="gramEnd"/>
      <w:r w:rsidRPr="00FF3619">
        <w:t xml:space="preserve"> TDAs.</w:t>
      </w:r>
    </w:p>
    <w:p w14:paraId="0A91BA5D" w14:textId="73990E1C" w:rsidR="00426BCE" w:rsidRPr="00FF3619" w:rsidRDefault="00426BCE" w:rsidP="00516860">
      <w:r w:rsidRPr="00FF3619">
        <w:t xml:space="preserve">In CMV negative recipients of a CMV positive kidney (D+/R-) the use of oral antiviral therapy, commonly valganciclovir, is proven to delay the onset, limit the severity and prevent CMV in a proportion of patients. In recipients with previous CMV exposure (D+/R+ or D-/R+), the decision to start prophylaxis therapy or monitor CMV viral loads varies between centres with moderate quality evidence to support both approaches </w:t>
      </w:r>
      <w:r>
        <w:fldChar w:fldCharType="begin"/>
      </w:r>
      <w:r w:rsidR="002D20B5">
        <w:instrText xml:space="preserve"> ADDIN ZOTERO_ITEM CSL_CITATION {"citationID":"bSh50Ju9","properties":{"formattedCitation":"\\super 304,305\\nosupersub{}","plainCitation":"304,305","noteIndex":0},"citationItems":[{"id":19149,"uris":["http://zotero.org/users/3444308/items/UEB5WXXV"],"itemData":{"id":19149,"type":"article-journal","abstract":"After allotransplantation, cytomegalovirus (CMV) may be transmitted from the donor organ, giving rise to primary infection in a CMV negative recipient or reinfection in one who is CMV positive. In addition, latent CMV may reactivate in a CMV positive recipient. In this study, serial blood samples from 689 kidney or liver transplant recipients were tested for CMV DNA by quantitative PCR. CMV was managed using preemptive antiviral therapy and no patient received antiviral prophylaxis. Dynamic and quantitative measures of viremia and treatment were assessed. Median peak viral load, duration of viremia and duration of treatment were highest during primary infection, followed by reinfection then reactivation. In patients who experienced a second episode of viremia, the viral replication rate was significantly slower than in the first episode. Our data provide a clear demonstration of the immune control of CMV in immunosuppressed patients and emphasize the effectiveness of the preemptive approach for prevention of CMV syndrome and end organ disease. Overall, our findings provide quantitative biomarkers which can be used in pharmacodynamic assessments of the ability of novel CMV vaccines or antiviral drugs to reduce or even interrupt such transmission.","container-title":"American Journal of Transplantation: Official Journal of the American Society of Transplantation and the American Society of Transplant Surgeons","DOI":"10.1111/j.1600-6143.2012.04087.x","ISSN":"1600-6143","issue":"9","journalAbbreviation":"Am J Transplant","language":"eng","note":"PMID: 22594993\nPMCID: PMC3510308","page":"2457-2464","source":"PubMed","title":"Cytomegalovirus replication kinetics in solid organ transplant recipients managed by preemptive therapy","volume":"12","author":[{"family":"Atabani","given":"S. F."},{"family":"Smith","given":"C."},{"family":"Atkinson","given":"C."},{"family":"Aldridge","given":"R. W."},{"family":"Rodriguez-Perálvarez","given":"M."},{"family":"Rolando","given":"N."},{"family":"Harber","given":"M."},{"family":"Jones","given":"G."},{"family":"O'Riordan","given":"A."},{"family":"Burroughs","given":"A. K."},{"family":"Thorburn","given":"D."},{"family":"O'Beirne","given":"J."},{"family":"Milne","given":"R. S. B."},{"family":"Emery","given":"V. C."},{"family":"Griffiths","given":"P. D."}],"issued":{"date-parts":[["2012",9]]}}},{"id":19150,"uris":["http://zotero.org/users/3444308/items/9V8AUA5X"],"itemData":{"id":19150,"type":"article-journal","abstract":"BACKGROUND: Prophylactic and preemptive strategies are used to prevent cytomegalovirus (CMV) infections after solid organ transplant. We assessed the safety and efficacy of both strategies for CMV prevention.\nMETHODS: A DerSimonian and Laird random-effects model was used for pooling the data, and Q statistic and I(2) methods were used to assess statistical heterogeneity.\nRESULTS: Twenty studies (2744 patients) were selected for the direct analysis and 20 studies (2544 patients) for the indirect analysis. The odds of CMV syndrome (odds ratio [OR] = 1.10; 95% confidence interval [CI], .60-2.03; P = .757; Q = 18.55; I(2) = 51.5%) and disease (OR = 0.77; 95% CI, .41-1.47; P = .432; Q = 32.71; I(2) = 45.0%) were not significantly different between strategies. The odds of developing late-onset CMV infections were higher for the prophylactic compared to the preemptive strategy (OR = 6.21; 95% CI, 2.55-15.20; P &lt; .0001; Q = 9.66; I(2) = 37.9%). The odds of CMV viremia were lower for prophylaxis (OR = 0.42; 95% CI, .24-.74; P = .003; Q = 48.10; I(2) = 75.1%) than preemptive therapy. No differences between strategies were noted for graft loss (OR = 0.88; 95% CI, .37-2.13; P = .779; Q = 13.03, I(2) = 38.6%), graft loss censored for death (OR = 0.73; 95% CI, .17-3.21; P = .679; Q = 4.48; I(2) = 55.3%), acute rejection (OR = 0.93; 95% CI, .70-1.24; P = .637; Q = 12.99; I(2) = 7.6%), or mortality (OR = 0.80; 95% CI, .56-1.14; P = .220; Q = 8.76; I(2) = 0%). The odds for other infections (herpes simplex virus, varicella zoster virus, bacterial and fungal infections) did not significantly differ between strategies. Leukopenia (OR = 1.97; 95% CI, 1.39-2.79; P = .0001; Q = 7.10; I(2) = 0%) and neutropenia (OR = 2.07; 95% CI, 1.13-3.78; P = .018; Q = 6.77; I(2) = 11.4%) were more frequent with prophylaxis than with the preemptive strategy. The results of direct and indirect comparisons were consistent.\nCONCLUSIONS: Prophylaxis was associated with less early posttransplant viremia, but significantly more late-onset CMV infections and side effects (leukopenia and neutropenia) than the preemptive strategy. Both preventive strategies showed similar efficacy in preventing CMV syndrome and disease, with no differences regarding rejection, graft loss, death, or opportunistic infections.","container-title":"Clinical Infectious Diseases: An Official Publication of the Infectious Diseases Society of America","DOI":"10.1093/cid/cit945","ISSN":"1537-6591","issue":"6","journalAbbreviation":"Clin Infect Dis","language":"eng","note":"PMID: 24385444","page":"785-803","source":"PubMed","title":"A direct and indirect comparison meta-analysis on the efficacy of cytomegalovirus preventive strategies in solid organ transplant","volume":"58","author":[{"family":"Florescu","given":"Diana F."},{"family":"Qiu","given":"Fang"},{"family":"Schmidt","given":"Cynthia M."},{"family":"Kalil","given":"Andre C."}],"issued":{"date-parts":[["2014",3]]}}}],"schema":"https://github.com/citation-style-language/schema/raw/master/csl-citation.json"} </w:instrText>
      </w:r>
      <w:r>
        <w:fldChar w:fldCharType="separate"/>
      </w:r>
      <w:r w:rsidR="002D20B5" w:rsidRPr="002D20B5">
        <w:rPr>
          <w:rFonts w:ascii="Aptos" w:hAnsi="Aptos" w:cs="Times New Roman"/>
          <w:sz w:val="22"/>
          <w:vertAlign w:val="superscript"/>
        </w:rPr>
        <w:t>304,305</w:t>
      </w:r>
      <w:r>
        <w:fldChar w:fldCharType="end"/>
      </w:r>
      <w:r w:rsidRPr="00FF3619">
        <w:t xml:space="preserve">. Recent randomised controlled trials suggest superior protection with </w:t>
      </w:r>
      <w:proofErr w:type="spellStart"/>
      <w:r w:rsidRPr="00FF3619">
        <w:t>letermovir</w:t>
      </w:r>
      <w:proofErr w:type="spellEnd"/>
      <w:r w:rsidRPr="00FF3619">
        <w:t xml:space="preserve"> compared to valganciclovir but this medication is not routinely available at present</w:t>
      </w:r>
      <w:r>
        <w:t xml:space="preserve"> </w:t>
      </w:r>
      <w:r>
        <w:fldChar w:fldCharType="begin"/>
      </w:r>
      <w:r w:rsidR="002D20B5">
        <w:instrText xml:space="preserve"> ADDIN ZOTERO_ITEM CSL_CITATION {"citationID":"wYLpE8Gx","properties":{"formattedCitation":"\\super 306\\nosupersub{}","plainCitation":"306","noteIndex":0},"citationItems":[{"id":19148,"uris":["http://zotero.org/users/3444308/items/WCAL2CH7"],"itemData":{"id":19148,"type":"article-journal","abstract":"IMPORTANCE: Valganciclovir for 200 days is standard care for cytomegalovirus (CMV) prophylaxis in high-risk CMV-seronegative kidney transplant recipients who receive an organ from a CMV-seropositive donor, but its use is limited by myelosuppression.\nOBJECTIVE: To compare the efficacy and safety of letermovir with valganciclovir for prevention of CMV disease in CMV-seronegative kidney transplant recipients who receive an organ from a CMV-seropositive donor.\nDESIGN, SETTING, AND PARTICIPANTS: Randomized, double-masked, double-dummy, noninferiority, phase 3 trial in adult CMV-seronegative kidney transplant recipients who received an organ from a CMV-seropositive donor at 94 participating sites between May 2018 and April 2021 (final follow-up in April 2022).\nINTERVENTIONS: Participants were randomized in a 1:1 ratio (stratified by receipt of lymphocyte-depleting induction immunosuppression) to receive letermovir, 480 mg, orally daily (with acyclovir) or valganciclovir, 900 mg, orally daily (adjusted for kidney function) for up to 200 days after transplant, with matching placebos.\nMAIN OUTCOMES AND MEASURES: The primary outcome was CMV disease, confirmed by an independent masked adjudication committee, through posttransplant week 52 (prespecified noninferiority margin, 10%). CMV disease through week 28 and time to onset of CMV disease through week 52 were secondary outcomes. Exploratory outcomes included quantifiable CMV DNAemia and resistance. The rate of leukopenia or neutropenia through week 28 was a prespecified safety outcome.\nRESULTS: Among 601 participants randomized, 589 received at least 1 dose of the study drug (mean age, 49.6 years; 422 [71.6%] men). Letermovir (n</w:instrText>
      </w:r>
      <w:r w:rsidR="002D20B5">
        <w:rPr>
          <w:rFonts w:ascii="Arial" w:hAnsi="Arial" w:cs="Arial"/>
        </w:rPr>
        <w:instrText> </w:instrText>
      </w:r>
      <w:r w:rsidR="002D20B5">
        <w:instrText>=</w:instrText>
      </w:r>
      <w:r w:rsidR="002D20B5">
        <w:rPr>
          <w:rFonts w:ascii="Arial" w:hAnsi="Arial" w:cs="Arial"/>
        </w:rPr>
        <w:instrText> </w:instrText>
      </w:r>
      <w:r w:rsidR="002D20B5">
        <w:instrText>289) was noninferior to valganciclovir (n</w:instrText>
      </w:r>
      <w:r w:rsidR="002D20B5">
        <w:rPr>
          <w:rFonts w:ascii="Arial" w:hAnsi="Arial" w:cs="Arial"/>
        </w:rPr>
        <w:instrText> </w:instrText>
      </w:r>
      <w:r w:rsidR="002D20B5">
        <w:instrText>=</w:instrText>
      </w:r>
      <w:r w:rsidR="002D20B5">
        <w:rPr>
          <w:rFonts w:ascii="Arial" w:hAnsi="Arial" w:cs="Arial"/>
        </w:rPr>
        <w:instrText> </w:instrText>
      </w:r>
      <w:r w:rsidR="002D20B5">
        <w:instrText>297) for prevention of CMV disease through week 52 (10.4% vs 11.8% of participants with committee-confirmed CMV disease; stratum-adjusted difference -1.4% [95% CI, -6.5% to 3.8%]). No participants who received letermovir vs 5 participants (1.7%) who received valganciclovir developed CMV disease through week 28. Time to onset of CMV disease was comparable between the groups (hazard ratio, 0.90 [95% CI, 0.56-1.47]). Quantifiable CMV DNAemia was detected in 2.1% of participants in the letermovir group vs 8.8% in the valganciclovir group by week 28. Of participants evaluated for suspected CMV disease or CMV DNAemia, none (0/52) who received letermovir and 12.1% (8/66) who received valganciclovir had resistance-associated substitutions. The rate of leukopenia or neutropenia through week 28 was lower with letermovir vs valganciclovir (26% vs 64%; difference, -37.9% [95% CI, -45.1% to -30.3%]; P</w:instrText>
      </w:r>
      <w:r w:rsidR="002D20B5">
        <w:rPr>
          <w:rFonts w:ascii="Arial" w:hAnsi="Arial" w:cs="Arial"/>
        </w:rPr>
        <w:instrText> </w:instrText>
      </w:r>
      <w:r w:rsidR="002D20B5">
        <w:instrText>&lt;</w:instrText>
      </w:r>
      <w:r w:rsidR="002D20B5">
        <w:rPr>
          <w:rFonts w:ascii="Arial" w:hAnsi="Arial" w:cs="Arial"/>
        </w:rPr>
        <w:instrText> </w:instrText>
      </w:r>
      <w:r w:rsidR="002D20B5">
        <w:instrText xml:space="preserve">.001). Fewer participants in the letermovir group than the valganciclovir group discontinued prophylaxis due to adverse events (4.1% vs 13.5%) or drug-related adverse events (2.7% vs 8.8%).\nCONCLUSION AND RELEVANCE: Among adult CMV-seronegative kidney transplant recipients who received an organ from a CMV-seropositive donor, letermovir was noninferior to valganciclovir for prophylaxis of CMV disease over 52 weeks, with lower rates of leukopenia or neutropenia, supporting its use for this indication.\nTRIAL REGISTRATION: ClinicalTrials.gov Identifier: NCT03443869; EudraCT: 2017-001055-30.","container-title":"JAMA","DOI":"10.1001/jama.2023.9106","ISSN":"1538-3598","issue":"1","journalAbbreviation":"JAMA","language":"eng","note":"PMID: 37279999\nPMCID: PMC10245286","page":"33-42","source":"PubMed","title":"Letermovir vs Valganciclovir for Prophylaxis of Cytomegalovirus in High-Risk Kidney Transplant Recipients: A Randomized Clinical Trial","title-short":"Letermovir vs Valganciclovir for Prophylaxis of Cytomegalovirus in High-Risk Kidney Transplant Recipients","volume":"330","author":[{"family":"Limaye","given":"Ajit P."},{"family":"Budde","given":"Klemens"},{"family":"Humar","given":"Atul"},{"family":"Vincenti","given":"Flavio"},{"family":"Kuypers","given":"Dirk R. J."},{"family":"Carroll","given":"Robert P."},{"family":"Stauffer","given":"Nicole"},{"family":"Murata","given":"Yoshihiko"},{"family":"Strizki","given":"Julie M."},{"family":"Teal","given":"Valerie L."},{"family":"Gilbert","given":"Christopher L."},{"family":"Haber","given":"Barbara A."}],"issued":{"date-parts":[["2023",7,3]]}}}],"schema":"https://github.com/citation-style-language/schema/raw/master/csl-citation.json"} </w:instrText>
      </w:r>
      <w:r>
        <w:fldChar w:fldCharType="separate"/>
      </w:r>
      <w:r w:rsidR="002D20B5" w:rsidRPr="002D20B5">
        <w:rPr>
          <w:rFonts w:ascii="Aptos" w:hAnsi="Aptos" w:cs="Times New Roman"/>
          <w:sz w:val="22"/>
          <w:vertAlign w:val="superscript"/>
        </w:rPr>
        <w:t>306</w:t>
      </w:r>
      <w:r>
        <w:fldChar w:fldCharType="end"/>
      </w:r>
      <w:r w:rsidRPr="00FF3619">
        <w:t>.</w:t>
      </w:r>
    </w:p>
    <w:p w14:paraId="123A0B6D" w14:textId="3610FDBF" w:rsidR="00426BCE" w:rsidRPr="00FF3619" w:rsidRDefault="00426BCE" w:rsidP="00516860">
      <w:r w:rsidRPr="00FF3619">
        <w:t xml:space="preserve"> It is important to recognise that a proportion of patients will develop CMV disease after stopping prophylaxis and will require clinical and virological monitoring for at least three months following the stopping of therapy. At present, evidence exists for the use of valaciclovir and valganciclovir </w:t>
      </w:r>
      <w:r>
        <w:fldChar w:fldCharType="begin"/>
      </w:r>
      <w:r w:rsidR="002D20B5">
        <w:instrText xml:space="preserve"> ADDIN ZOTERO_ITEM CSL_CITATION {"citationID":"2cTIFjQ1","properties":{"formattedCitation":"\\super 307,308\\nosupersub{}","plainCitation":"307,308","noteIndex":0},"citationItems":[{"id":19147,"uris":["http://zotero.org/users/3444308/items/4IGMN64S"],"itemData":{"id":19147,"type":"article-journal","abstract":"BACKGROUND: Cytomegalovirus (CMV) infections after transplantation are commonly treated using a prophylactic or preemptive regimen with (val)ganciclovir. It remains unclear, which approach is most effective in preventing CMV disease in D+R- patients. The aim of this retrospective study was to compare the treatment response and antiviral resistance in CMV infections between two treatment regimens in D+R- renal transplant recipients.\nMETHODS: Before 2006, a preemptive treatment regimen with valganciclovir was applied (42 patients). From 2006 onwards, patients first received prophylaxis with valganciclovir for 90 days, followed by a preemptive regimen (29 patients). CMV infections were monitored by regular determination of the CMV DNA load in plasma. Patient charts were reviewed for antiviral treatment data, and resistance was analyzed by nucleotide sequence analysis of the UL97 and UL54 genes in CMV DNA-positive samples.\nRESULTS: Treatment failure, defined as a CMV DNA load more than or equal to 1000 copies/mL after at least 2 weeks of treatment, occurred less frequently in the prophylaxis cohort than in the preemptive cohort (14% vs. 71%, P&lt;0.001). No CMV end-organ disease occurred in either cohort. Resistant viral isolates were found during treatment in one patient in the prophylaxis cohort versus in three patients in the preemptive group. All CMV infections with resistant virus were cleared without switch of (val)ganciclovir treatment.\nCONCLUSIONS: Treatment failure of CMV infections occurred less frequently in D+R- renal transplant patients on a sequential prophylaxis-preemptive regimen than in patients on a purely preemptive regimen. Antiviral resistance was observed infrequently and apparently played a minor role in treatment failure.","container-title":"Transplantation","DOI":"10.1097/TP.0b013e3181bc0301","ISSN":"1534-6080","issue":"3","journalAbbreviation":"Transplantation","language":"eng","note":"PMID: 20145523","page":"320-326","source":"PubMed","title":"Preemptive versus sequential prophylactic-preemptive treatment regimens for cytomegalovirus in renal transplantation: comparison of treatment failure and antiviral resistance","title-short":"Preemptive versus sequential prophylactic-preemptive treatment regimens for cytomegalovirus in renal transplantation","volume":"89","author":[{"family":"Beek","given":"Martha T.","non-dropping-particle":"van der"},{"family":"Berger","given":"Stefan P."},{"family":"Vossen","given":"Ann C. T. M."},{"family":"Blij-de Brouwer","given":"Caroline S.","non-dropping-particle":"van der"},{"family":"Press","given":"Rogier R."},{"family":"Fijter","given":"Johan W.","non-dropping-particle":"de"},{"family":"Claas","given":"Eric C. J."},{"family":"Kroes","given":"Aloys C. M."}],"issued":{"date-parts":[["2010",2,15]]}}},{"id":19146,"uris":["http://zotero.org/users/3444308/items/GYK47P2B"],"itemData":{"id":19146,"type":"article-journal","abstract":"Various CMV anti-viral (AV) preventive strategies have been utilized in KTRs. We examined efficacy, safety and costs of CMV-AV prevention strategies in KTRs using a systematic literature review (SLR) of randomized controlled trials (RCTs) publications indexed in MEDLINE and Embase (from inception to November 2018). Thirty RCTs met inclusion criteria with 22 unique AV preventive strategies. Prophylaxis was associated with significantly lower rates of CMV infection/disease (CMVi/d) compared to no prophylaxis (pooled odds ratio, pOR with 95% confidence interval (CI): CMVi: 0.33; 0.19, 0.57; CMVd: 0.27; 0.19; 0.39). Preemptive therapy (PET) had lower rates of CMVd (0.29; 0.11, 0.77), and medical costs compared to no PET. Prophylaxis had significantly lower rates of early CMVi/d, and higher rates of late CMVi and hematological adverse events (leukopenia, 2.93; 1.22, 7.04), and similar overall medical costs compared to PET. Studies involving head-to-head comparison of different prophylaxis approaches showed mixed findings with respect to optimum dose, duration and route of administration on CMV outcomes. Although there was heterogeneity across populations and interventions, both prophylaxis and PET strategies reduced CMVi/d compared to no prophylaxis/PET and had differential safety profile in terms of hematological adverse events. For comprehensiveness we did not limit study inclusion based on date; the wide time-period may have contributed to the heterogeneity in prevention approaches which subsequently made pooling studies a challenge. Despite demonstrated efficacy of prophylaxis/PET, our findings highlight the potential need of a novel intervention with a better safety profile and perhaps improved outcomes.","container-title":"Transplantation Reviews (Orlando, Fla.)","DOI":"10.1016/j.trre.2020.100587","ISSN":"1557-9816","issue":"1","journalAbbreviation":"Transplant Rev (Orlando)","language":"eng","note":"PMID: 33190040","page":"100587","source":"PubMed","title":"Antiviral treatment approaches for cytomegalovirus prevention in kidney transplant recipients: A systematic review of randomized controlled trials","title-short":"Antiviral treatment approaches for cytomegalovirus prevention in kidney transplant recipients","volume":"35","author":[{"family":"Raval","given":"Amit D."},{"family":"Kistler","given":"Kristin"},{"family":"Tang","given":"Yuexin"},{"family":"Murata","given":"Yoshihiko"},{"family":"Snydman","given":"David R."}],"issued":{"date-parts":[["2021",1]]}}}],"schema":"https://github.com/citation-style-language/schema/raw/master/csl-citation.json"} </w:instrText>
      </w:r>
      <w:r>
        <w:fldChar w:fldCharType="separate"/>
      </w:r>
      <w:r w:rsidR="002D20B5" w:rsidRPr="002D20B5">
        <w:rPr>
          <w:rFonts w:ascii="Aptos" w:hAnsi="Aptos" w:cs="Times New Roman"/>
          <w:sz w:val="22"/>
          <w:vertAlign w:val="superscript"/>
        </w:rPr>
        <w:t>307,308</w:t>
      </w:r>
      <w:r>
        <w:fldChar w:fldCharType="end"/>
      </w:r>
      <w:r w:rsidRPr="00FF3619">
        <w:t xml:space="preserve">. In clinical practice, valaciclovir is not widely available or used, and valganciclovir is the agent of choice. The dose of valganciclovir should be adjusted according to renal transplant function. Most commonly, and based on the available evidence, antiviral prophylaxis is usually continued for 90-180 days following transplantation. The rationale is that reduction of immunosuppressive therapy over this period will allow the immune system to combat viral replication once prophylactic therapy is withdrawn. However, it is likely that longer prophylaxis may have additional beneficial effects, most likely until immunosuppression has been reduced to long-term maintenance levels </w:t>
      </w:r>
      <w:r>
        <w:fldChar w:fldCharType="begin"/>
      </w:r>
      <w:r w:rsidR="002D20B5">
        <w:instrText xml:space="preserve"> ADDIN ZOTERO_ITEM CSL_CITATION {"citationID":"KWBK1yqd","properties":{"formattedCitation":"\\super 309,310\\nosupersub{}","plainCitation":"309,310","noteIndex":0},"citationItems":[{"id":19145,"uris":["http://zotero.org/users/3444308/items/H3BF3ZDZ"],"itemData":{"id":19145,"type":"article-journal","abstract":"Late-onset cytomegalovirus (CMV) disease is a significant problem with a standard 3-month prophylaxis regimen. This multicentre, double-blind, randomized controlled trial compared the efficacy and safety of 200 days' versus 100 days' valganciclovir prophylaxis (900 mg once daily) in 326 high-risk (D+/R-) kidney allograft recipients. Significantly fewer patients in the 200-day group versus the 100-day group developed confirmed CMV disease up to month 12 posttransplant (16.1% vs. 36.8%; p &lt; 0.0001). Confirmed CMV viremia was also significantly lower in the 200-day group (37.4% vs. 50.9%; p = 0.015 at month 12). There was no significant difference in the rate of biopsy-proven acute rejection between the groups (11% vs. 17%, respectively, p = 0.114). Adverse events occurred at similar rates between the groups and the majority were rated mild-to-moderate in intensity and not related to study medication. In conclusion, this study demonstrates that extending valganciclovir prophylaxis (900 mg once daily) to 200 days significantly reduces the incidence of CMV disease and viremia through to 12 months compared with 100 days' prophylaxis, without significant additional safety concerns associated with longer treatment. The number needed to treat to avoid one additional patient with CMV disease up to 12 months posttransplant is approximately 5.","container-title":"American Journal of Transplantation: Official Journal of the American Society of Transplantation and the American Society of Transplant Surgeons","DOI":"10.1111/j.1600-6143.2010.03074.x","ISSN":"1600-6143","issue":"5","journalAbbreviation":"Am J Transplant","language":"eng","note":"PMID: 20353469","page":"1228-1237","source":"PubMed","title":"The efficacy and safety of 200 days valganciclovir cytomegalovirus prophylaxis in high-risk kidney transplant recipients","volume":"10","author":[{"family":"Humar","given":"A."},{"family":"Lebranchu","given":"Y."},{"family":"Vincenti","given":"F."},{"family":"Blumberg","given":"E. A."},{"family":"Punch","given":"J. D."},{"family":"Limaye","given":"A. P."},{"family":"Abramowicz","given":"D."},{"family":"Jardine","given":"A. G."},{"family":"Voulgari","given":"A. T."},{"family":"Ives","given":"J."},{"family":"Hauser","given":"I. A."},{"family":"Peeters","given":"P."}],"issued":{"date-parts":[["2010",5]]}}},{"id":19144,"uris":["http://zotero.org/users/3444308/items/RL3TWL7R"],"itemData":{"id":19144,"type":"article-journal","container-title":"Journal of Nephrology","DOI":"10.1007/s40620-021-01161-4","ISSN":"1724-6059","issue":"6","journalAbbreviation":"J Nephrol","language":"eng","note":"PMID: 34782970","page":"2173-2175","source":"PubMed","title":"Efficacy and side effect profile of two CMV prophylaxis strategies in high and intermediate risk kidney transplant recipients - a multicentre national study","volume":"34","author":[{"family":"Rennie","given":"Trijntje J. W."},{"family":"Geddes","given":"Colin G."},{"family":"McIntyre-McClure","given":"Rhianna"},{"family":"Chua","given":"Bernadine H. E."},{"family":"Metcalfe","given":"Wendy"},{"family":"Johannessen","given":"Ingólfur"},{"family":"Phelan","given":"Paul J."},{"literal":"SCOT-network C. M. V. prophylaxis working group"}],"issued":{"date-parts":[["2021",12]]}}}],"schema":"https://github.com/citation-style-language/schema/raw/master/csl-citation.json"} </w:instrText>
      </w:r>
      <w:r>
        <w:fldChar w:fldCharType="separate"/>
      </w:r>
      <w:r w:rsidR="002D20B5" w:rsidRPr="002D20B5">
        <w:rPr>
          <w:rFonts w:ascii="Aptos" w:hAnsi="Aptos" w:cs="Times New Roman"/>
          <w:sz w:val="22"/>
          <w:vertAlign w:val="superscript"/>
        </w:rPr>
        <w:t>309,310</w:t>
      </w:r>
      <w:r>
        <w:fldChar w:fldCharType="end"/>
      </w:r>
      <w:r>
        <w:t>.</w:t>
      </w:r>
    </w:p>
    <w:p w14:paraId="57D5169C" w14:textId="23A898B0" w:rsidR="00426BCE" w:rsidRPr="00FF3619" w:rsidRDefault="00426BCE" w:rsidP="00516860">
      <w:r w:rsidRPr="00FF3619">
        <w:t>Treatment of CMV disease is equally effective with oral valganciclovir or intravenous ganciclovir</w:t>
      </w:r>
      <w:r w:rsidRPr="00FF3619">
        <w:rPr>
          <w:vertAlign w:val="superscript"/>
        </w:rPr>
        <w:t xml:space="preserve"> </w:t>
      </w:r>
      <w:r>
        <w:rPr>
          <w:vertAlign w:val="superscript"/>
        </w:rPr>
        <w:fldChar w:fldCharType="begin"/>
      </w:r>
      <w:r w:rsidR="002D20B5">
        <w:rPr>
          <w:vertAlign w:val="superscript"/>
        </w:rPr>
        <w:instrText xml:space="preserve"> ADDIN ZOTERO_ITEM CSL_CITATION {"citationID":"SkZL5kuI","properties":{"formattedCitation":"\\super 311,312\\nosupersub{}","plainCitation":"311,312","noteIndex":0},"citationItems":[{"id":19142,"uris":["http://zotero.org/users/3444308/items/PMLCHBQJ"],"itemData":{"id":19142,"type":"article-journal","abstract":"Intravenous ganciclovir is the standard treatment for cytomegalovirus disease in solid organ transplant recipients. Oral valganciclovir is a more convenient alternative. In a randomized, international trial, recipients with cytomegalovirus disease were treated with either 900 mg oral valganciclovir or 5 mg/kg i.v. ganciclovir twice daily for 21 days, followed by 900 mg daily valganciclovir for 28 days. A total of 321 patients were evaluated (valganciclovir [n = 164]; i.v. ganciclovir [n = 157]). The success rate of viremia eradication at Day 21 was 45.1% for valganciclovir and 48.4% for ganciclovir (95% CI -14.0% to +8.0%), and at Day 49; 67.1% and 70.1%, respectively (p = NS). Treatment success, as assessed by investigators, was 77.4% versus 80.3% at Day 21 and 85.4% versus 84.1% at Day 49 (p = NS). Baseline viral loads were not different between groups and decreased exponentially with similar half-lives and median time to eradication (21 vs. 19 days, p = 0.076). Side-effects and discontinuations of assigned treatment (18 of 321 patients) were comparable. Oral valganciclovir shows comparable safety and is not inferior to i.v. ganciclovir for treatment of cytomegalovirus disease in organ transplant recipients and provides a simpler treatment strategy, but care should be taken in extrapolating to organ transplant recipients not properly represented in the present study.","container-title":"American Journal of Transplantation: Official Journal of the American Society of Transplantation and the American Society of Transplant Surgeons","DOI":"10.1111/j.1600-6143.2007.01910.x","ISSN":"1600-6135","issue":"9","journalAbbreviation":"Am J Transplant","language":"eng","note":"PMID: 17640310","page":"2106-2113","source":"PubMed","title":"Oral valganciclovir is noninferior to intravenous ganciclovir for the treatment of cytomegalovirus disease in solid organ transplant recipients","volume":"7","author":[{"family":"Asberg","given":"A."},{"family":"Humar","given":"A."},{"family":"Rollag","given":"H."},{"family":"Jardine","given":"A. G."},{"family":"Mouas","given":"H."},{"family":"Pescovitz","given":"M. D."},{"family":"Sgarabotto","given":"D."},{"family":"Tuncer","given":"M."},{"family":"Noronha","given":"I. L."},{"family":"Hartmann","given":"A."},{"literal":"VICTOR Study Group"}],"issued":{"date-parts":[["2007",9]]}}},{"id":19143,"uris":["http://zotero.org/users/3444308/items/SN7BSUWT"],"itemData":{"id":19143,"type":"article-journal","abstract":"Though an important cause of morbidity and mortality in solid organ transplantation (SOT), the long-term outcomes of cytomegalovirus (CMV) disease treatment have not been well studied. In a randomized trial, 321 SOT recipients with CMV disease were followed 1 year after treatment with either twice daily intravenous ganciclovir or oral valganciclovir (for 21 days) followed by once daily valganciclovir until day 49 in all patients. Clinical and viral eradication of CMV disease was similar between groups. Clinical recurrence beyond day 49 was found in 15.1% and virological recurrence in 30.0%, no difference between groups (p &gt; 0.77). In a multivariable logistic regression analysis, the only independent predictor for recurrence was failure to eradicate DNAemia by day 21 (clinical: OR 3.9 [1.3-11.3], p = 0.012; virological: OR 5.6 [2.5-12.6], p &lt; 0.0001). Eight patients developed ganciclovir resistance, with no difference between groups (p = 0.62). Twenty patients (valganciclovir: 11, ganciclovir: 9, p = 0.82) died, 12 due to infections, two involving CMV disease. There were no differences in long-term outcomes between treatment arms, further supporting the use of oral valganciclovir for treatment of CMV disease. Persistent DNAemia at day 21, CMV IgG serostatus and development of resistance may be relevant factors for further individualization of treatment.","container-title":"American Journal of Transplantation: Official Journal of the American Society of Transplantation and the American Society of Transplant Surgeons","DOI":"10.1111/j.1600-6143.2009.02617.x","ISSN":"1600-6143","issue":"5","journalAbbreviation":"Am J Transplant","language":"eng","note":"PMID: 19422345","page":"1205-1213","source":"PubMed","title":"Long-term outcomes of CMV disease treatment with valganciclovir versus IV ganciclovir in solid organ transplant recipients","volume":"9","author":[{"family":"Asberg","given":"A."},{"family":"Humar","given":"A."},{"family":"Jardine","given":"A. G."},{"family":"Rollag","given":"H."},{"family":"Pescovitz","given":"M. D."},{"family":"Mouas","given":"H."},{"family":"Bignamini","given":"A."},{"family":"Töz","given":"H."},{"family":"Dittmer","given":"I."},{"family":"Montejo","given":"M."},{"family":"Hartmann","given":"A."},{"literal":"VICTOR Study Group"}],"issued":{"date-parts":[["2009",5]]}}}],"schema":"https://github.com/citation-style-language/schema/raw/master/csl-citation.json"} </w:instrText>
      </w:r>
      <w:r>
        <w:rPr>
          <w:vertAlign w:val="superscript"/>
        </w:rPr>
        <w:fldChar w:fldCharType="separate"/>
      </w:r>
      <w:r w:rsidR="002D20B5" w:rsidRPr="002D20B5">
        <w:rPr>
          <w:rFonts w:ascii="Aptos" w:hAnsi="Aptos" w:cs="Times New Roman"/>
          <w:sz w:val="22"/>
          <w:vertAlign w:val="superscript"/>
        </w:rPr>
        <w:t>311,312</w:t>
      </w:r>
      <w:r>
        <w:rPr>
          <w:vertAlign w:val="superscript"/>
        </w:rPr>
        <w:fldChar w:fldCharType="end"/>
      </w:r>
      <w:r>
        <w:t xml:space="preserve">. </w:t>
      </w:r>
      <w:r w:rsidRPr="00FF3619">
        <w:t xml:space="preserve">In life-threatening CMV infection, it is advisable to initiate treatment with intravenous therapy </w:t>
      </w:r>
      <w:r>
        <w:fldChar w:fldCharType="begin"/>
      </w:r>
      <w:r w:rsidR="002D20B5">
        <w:instrText xml:space="preserve"> ADDIN ZOTERO_ITEM CSL_CITATION {"citationID":"qhv4RogD","properties":{"formattedCitation":"\\super 313,314\\nosupersub{}","plainCitation":"313,314","noteIndex":0},"citationItems":[{"id":19140,"uris":["http://zotero.org/users/3444308/items/IEGSY3BE"],"itemData":{"id":19140,"type":"article-journal","abstract":"The clinical and virologic efficacy of ganciclovir (9-[1,3-dihydroxy-2-propoxymethyl]guanine) in the treatment of severe CMV infections in solid organ transplant recipients was investigated. Twelve patients (9 liver and 3 kidney transplant recipients) with CMV retinitis, esophagitis, hepatitis, or pneumonia received ganciclovir at a dose of 0.75-7.5 mg/kg/day for 10-30 days (mean duration 17 days). Clinical stabilization or improvement occurred in 8 patients (67%). Serial liver biopsies in 6 liver allograft recipients with CMV hepatitis demonstrated substantial histologic improvement on treatment. Of 6 patients with CMV pneumonia, 4 (67%) recovered and survived. Cultures of blood and other sites became negative in 9 patients (75%). Three patients (25%) had recurrent viral shedding after treatment, but none of these relapsed with invasive infections. Mild neutropenia was the only side effect encountered but was frequent (67%). The overall survival rate was 50%. Ganciclovir is effective in reducing CMV shedding in solid organ transplant recipients and is well tolerated. Our experience suggests a clinical benefit as well in patients with severe, invasive CMV disease. Relapse, in contrast to patients with the acquired immunodeficiency syndrome, is infrequent.","container-title":"Transplantation","DOI":"10.1097/00007890-198807000-00015","ISSN":"0041-1337","issue":"1","journalAbbreviation":"Transplantation","language":"eng","note":"PMID: 2839916","page":"82-88","source":"PubMed","title":"Ganciclovir therapy of severe cytomegalovirus infections in solid-organ transplant recipients","volume":"46","author":[{"family":"Harbison","given":"M. A."},{"family":"De Girolami","given":"P. C."},{"family":"Jenkins","given":"R. L."},{"family":"Hammer","given":"S. M."}],"issued":{"date-parts":[["1988",7]]}}},{"id":19141,"uris":["http://zotero.org/users/3444308/items/P32XBKJZ"],"itemData":{"id":19141,"type":"article-journal","abstract":"The occurrence of cytomegalovirus infection after solid organ transplantation has been correlated with decrease patient and allograft survival. The disease has not been conquered for two majors reasons: the length of time to establish the diagnosis of CMV has been excessive, and suitable, nontoxic antiviral agents have not been available for use. The purpose of this study was to examine the current incidence and impact of tissue-invasive cytomegalovirus (TI-CMV) disease that developed in 93 patients who underwent solid organ transplantation at University of Minnesota Hospitals (3/1/87 and 6/30/89) and who were treated with antiviral agent ganciclovir ( [9-(1,3-dihydroxy-2-2-propoxymethyl)-guanine [DHPG]). During this same period of time 323 patients received kidney transplants and 71 received kidney-pancreas transplants. Three patient groups were defined: (1) no CMV; (2) CMV infection (cultural or serologic evidence of noninvasive CMV infection); and (3) evidence of TI-CMV disease based upon initial complaints of fever, malaise, dyspnea, or abdominal pain, leukopenia (WBC less than 3000/ml), and evidence of a positive CMV rapid antigen test, CMV culture, or the presence of characteristic CMV inclusion bodies upon examination of material obtained by means of bronchoscopy, upper-gastrointestinal endoscopy, colonoscopy, or liver or renal biopsy. Patients with solely fever, leukopenia, but without a rising CMV serum titer, or positive CMV urine or blood cultures were excluded from the study. A multivariate analysis revealed that rejection therapy, age greater than 50 years, and receiving an organ from a seropositive donor were all significant variables that predisposed to TI-CMV. Analysis of patient and kidney allograft survival indicated that asymptomatic CMV infection had little current impact upon patient or allograft survival, while patients who developed TI-CMV exhibited higher rates of allograft loss and mortality, despite DHPG therapy. Comparison with historical group of patients indicated that TI-CMV DHPG-treated patients exhibited a trend toward improved allograft survival that may be relevant because the historical group of patients included patients with mild CMV infection. DHPG therapy was well tolerated and produced minimal toxicity, and excellent 30-day cure rates (89.2%), although 21.2% of patients required retreatment subsequently. We are currently conducting a trial to compare the ability of DHPG administered plus an anti-CMV immune globulin preparation with acyclovir to prevent posttransplant TI-CMV disease.","container-title":"Transplantation","DOI":"10.1097/00007890-199101000-00015","ISSN":"0041-1337","issue":"1","journalAbbreviation":"Transplantation","language":"eng","note":"PMID: 1846255","page":"98-106","source":"PubMed","title":"Treatment of invasive cytomegalovirus disease in solid organ transplant patients with ganciclovir","volume":"51","author":[{"family":"Dunn","given":"D. L."},{"family":"Mayoral","given":"J. L."},{"family":"Gillingham","given":"K. J."},{"family":"Loeffler","given":"C. M."},{"family":"Brayman","given":"K. L."},{"family":"Kramer","given":"M. A."},{"family":"Erice","given":"A."},{"family":"Balfour","given":"H. H."},{"family":"Fletcher","given":"C. V."},{"family":"Bolman","given":"R. M."}],"issued":{"date-parts":[["1991",1]]}}}],"schema":"https://github.com/citation-style-language/schema/raw/master/csl-citation.json"} </w:instrText>
      </w:r>
      <w:r>
        <w:fldChar w:fldCharType="separate"/>
      </w:r>
      <w:r w:rsidR="002D20B5" w:rsidRPr="002D20B5">
        <w:rPr>
          <w:rFonts w:ascii="Aptos" w:hAnsi="Aptos" w:cs="Times New Roman"/>
          <w:sz w:val="22"/>
          <w:vertAlign w:val="superscript"/>
        </w:rPr>
        <w:t>313,314</w:t>
      </w:r>
      <w:r>
        <w:fldChar w:fldCharType="end"/>
      </w:r>
      <w:r w:rsidRPr="00FF3619">
        <w:t>.</w:t>
      </w:r>
    </w:p>
    <w:p w14:paraId="09972996" w14:textId="1DFDF1F5" w:rsidR="00426BCE" w:rsidRPr="00FF3619" w:rsidRDefault="00426BCE" w:rsidP="00516860">
      <w:r w:rsidRPr="00FF3619">
        <w:t>Failure to respond to valganciclovir or ganciclovir, suggested by rising viral titres and/or persistent symptoms, despite at least 2 weeks treatment should raise suspicion of ganciclovir resistance.  This commonly develops in CMV genes UL54 and UL97</w:t>
      </w:r>
      <w:r>
        <w:t xml:space="preserve"> </w:t>
      </w:r>
      <w:r>
        <w:fldChar w:fldCharType="begin"/>
      </w:r>
      <w:r w:rsidR="002D20B5">
        <w:instrText xml:space="preserve"> ADDIN ZOTERO_ITEM CSL_CITATION {"citationID":"K72vHXql","properties":{"formattedCitation":"\\super 315\\nosupersub{}","plainCitation":"315","noteIndex":0},"citationItems":[{"id":19139,"uris":["http://zotero.org/users/3444308/items/4BG9R3Z8"],"itemData":{"id":19139,"type":"article-journal","abstract":"Cytomegalovirus (CMV) drug resistance mutation maps are updated with recent information for polymerase inhibitors, the terminase inhibitor letermovir and the UL97 kinase inhibitor maribavir. Newly mapped mutations and their phenotypes provide more detail on cross-resistance properties and suggest the need to expand the CMV gene regions covered in diagnostic testing. Next-generation deep sequencing technology offers a more sensitive, higher resolution view of emerging antiviral resistance and is recommended for use in clinical trials. Issues of standardization and diagnostic utility in comparison with traditional Sanger sequencing remain unresolved. Quality control is important for the accurate and reproducible detection of mutant viral populations in clinical specimens.","container-title":"Antiviral Research","DOI":"10.1016/j.antiviral.2020.104711","ISSN":"1872-9096","journalAbbreviation":"Antiviral Res","language":"eng","note":"PMID: 31940472\nPMCID: PMC7080590","page":"104711","source":"PubMed","title":"Advances in the genotypic diagnosis of cytomegalovirus antiviral drug resistance","volume":"176","author":[{"family":"Chou","given":"Sunwen"}],"issued":{"date-parts":[["2020",4]]}}}],"schema":"https://github.com/citation-style-language/schema/raw/master/csl-citation.json"} </w:instrText>
      </w:r>
      <w:r>
        <w:fldChar w:fldCharType="separate"/>
      </w:r>
      <w:r w:rsidR="002D20B5" w:rsidRPr="002D20B5">
        <w:rPr>
          <w:rFonts w:ascii="Aptos" w:hAnsi="Aptos" w:cs="Times New Roman"/>
          <w:sz w:val="22"/>
          <w:vertAlign w:val="superscript"/>
        </w:rPr>
        <w:t>315</w:t>
      </w:r>
      <w:r>
        <w:fldChar w:fldCharType="end"/>
      </w:r>
      <w:r w:rsidRPr="00FF3619">
        <w:t xml:space="preserve">.  Alternative antiviral </w:t>
      </w:r>
      <w:r w:rsidRPr="00FF3619">
        <w:lastRenderedPageBreak/>
        <w:t xml:space="preserve">therapy, such as cidofovir, </w:t>
      </w:r>
      <w:proofErr w:type="spellStart"/>
      <w:r w:rsidRPr="00FF3619">
        <w:t>maribavir</w:t>
      </w:r>
      <w:proofErr w:type="spellEnd"/>
      <w:r w:rsidRPr="00FF3619">
        <w:t xml:space="preserve"> and foscarnet, carry significant adverse side effect profiles and changing therapy should be discussed with virology specialists </w:t>
      </w:r>
      <w:r>
        <w:fldChar w:fldCharType="begin"/>
      </w:r>
      <w:r w:rsidR="002D20B5">
        <w:instrText xml:space="preserve"> ADDIN ZOTERO_ITEM CSL_CITATION {"citationID":"ivCVefx8","properties":{"formattedCitation":"\\super 316\\nosupersub{}","plainCitation":"316","noteIndex":0},"citationItems":[{"id":19138,"uris":["http://zotero.org/users/3444308/items/TN5EHP2G"],"itemData":{"id":19138,"type":"article-journal","abstract":"PURPOSE OF REVIEW: Cytomegalovirus (CMV) infections are a common complication in solid organ (SOT) and hematopoietic stem cell transplant (HSCT) recipients, leading to increased morbidity and mortality. Currently available treatment options have reduced the burden of infection, but utilization of these agents can be limited by toxicities such as nephrotoxicity and/or myelosuppression as well as emergence of resistance. The expansion of our current armamentarium towards CMV infection is crucial. Here, we review an emerging therapy, maribavir, and the safety and efficacy of this potential new agent for the prophylaxis and treatment of CMV infections including resistant/refractory disease.\nRECENT FINDINGS: Maribavir is a novel agent with CMV activity approved by Federal Food and Drug Administration (FDA) in December 2021 for resistant/refractory disease. Compared to currently available treatment for CMV infection, maribavir has a unique mechanism of action, retains activity against most (val)ganciclovir resistant strains, provides a more predictable pharmacokinetic profile, and fewer severe toxicities. Maribavir has been studied in phase 2 and 3 studies with ongoing phase 3 studies. While maribavir failed to meet the primary endpoints in the initial phase 3 study for prophylaxis therapy in allogeneic-HSCT and liver transplant recipients, results from the phase 2 study when used for pre-emptive therapy after HSCT show similar efficacy to valganciclovir, and results from the phase 3 study examining resistant/refractory disease demonstrate superiority to investigator-initiated therapy of (val)ganciclovir, foscarnet, or cidofovir.\nSUMMARY: Maribavir provides a new agent for the management of resistant/refractory CMV infection. Results of the recently published phase 3 study provide further insight into the role of this novel therapy.","container-title":"Therapeutics and Clinical Risk Management","DOI":"10.2147/TCRM.S303052","ISSN":"1176-6336","journalAbbreviation":"Ther Clin Risk Manag","language":"eng","note":"PMID: 35308097\nPMCID: PMC8926008","page":"223-232","source":"PubMed","title":"Evaluating the Safety of Maribavir for the Treatment of Cytomegalovirus","volume":"18","author":[{"family":"Gandhi","given":"Ronak G."},{"family":"Kotton","given":"Camille N."}],"issued":{"date-parts":[["2022"]]}}}],"schema":"https://github.com/citation-style-language/schema/raw/master/csl-citation.json"} </w:instrText>
      </w:r>
      <w:r>
        <w:fldChar w:fldCharType="separate"/>
      </w:r>
      <w:r w:rsidR="002D20B5" w:rsidRPr="002D20B5">
        <w:rPr>
          <w:rFonts w:ascii="Aptos" w:hAnsi="Aptos" w:cs="Times New Roman"/>
          <w:sz w:val="22"/>
          <w:vertAlign w:val="superscript"/>
        </w:rPr>
        <w:t>316</w:t>
      </w:r>
      <w:r>
        <w:fldChar w:fldCharType="end"/>
      </w:r>
      <w:r w:rsidRPr="00FF3619">
        <w:t>.</w:t>
      </w:r>
    </w:p>
    <w:p w14:paraId="09B1D52E" w14:textId="45383C59" w:rsidR="00426BCE" w:rsidRPr="00516860" w:rsidRDefault="00426BCE" w:rsidP="00516860">
      <w:pPr>
        <w:pStyle w:val="GuidelineHeadings"/>
      </w:pPr>
      <w:r w:rsidRPr="00FF3619">
        <w:t xml:space="preserve">Guideline </w:t>
      </w:r>
      <w:r w:rsidR="00B361D6">
        <w:t>7</w:t>
      </w:r>
      <w:r w:rsidRPr="00FF3619">
        <w:t>.3 – KTR: Epstein Barr virus infection</w:t>
      </w:r>
    </w:p>
    <w:p w14:paraId="5E9A8FDA" w14:textId="4E8B40A3" w:rsidR="00516860" w:rsidRDefault="00426BCE" w:rsidP="00426BCE">
      <w:r w:rsidRPr="00FF3619">
        <w:t>After transplantation, primary EBV infection may present with a broad spectrum of disorders ranging from asymptomatic infection to high grade non-Hodgkin lymphoma (PTLD). EBV seronegative KTRs are up to 50 times more likely to develop PTLD compared to their seronegative counterparts. The EBV genome is found in more than 90% of PTLD occurring during the first year after transplantation</w:t>
      </w:r>
      <w:r>
        <w:fldChar w:fldCharType="begin"/>
      </w:r>
      <w:r w:rsidR="002D20B5">
        <w:instrText xml:space="preserve"> ADDIN ZOTERO_ITEM CSL_CITATION {"citationID":"cVSfZi20","properties":{"formattedCitation":"\\super 317\\nosupersub{}","plainCitation":"317","noteIndex":0},"citationItems":[{"id":19137,"uris":["http://zotero.org/users/3444308/items/2Z7YH8QZ"],"itemData":{"id":19137,"type":"article-journal","container-title":"American Journal of Transplantation: Official Journal of the American Society of Transplantation and the American Society of Transplant Surgeons","DOI":"10.1111/ajt.12104","ISSN":"1600-6143","journalAbbreviation":"Am J Transplant","language":"eng","note":"PMID: 23465004","page":"107-120","source":"PubMed","title":"Epstein-Barr virus and posttransplant lymphoproliferative disorder in solid organ transplantation","volume":"13 Suppl 4","author":[{"family":"Allen","given":"U. D."},{"family":"Preiksaitis","given":"J. K."},{"literal":"AST Infectious Diseases Community of Practice"}],"issued":{"date-parts":[["2013",3]]}}}],"schema":"https://github.com/citation-style-language/schema/raw/master/csl-citation.json"} </w:instrText>
      </w:r>
      <w:r>
        <w:fldChar w:fldCharType="separate"/>
      </w:r>
      <w:r w:rsidR="002D20B5" w:rsidRPr="002D20B5">
        <w:rPr>
          <w:rFonts w:ascii="Aptos" w:hAnsi="Aptos" w:cs="Times New Roman"/>
          <w:sz w:val="22"/>
          <w:vertAlign w:val="superscript"/>
        </w:rPr>
        <w:t>317</w:t>
      </w:r>
      <w:r>
        <w:fldChar w:fldCharType="end"/>
      </w:r>
      <w:r w:rsidRPr="00FF3619">
        <w:t>. Vigilance is therefore essential, especially since EBV viraemia usually precedes the development of PTLD by 4-16 weeks. However, assays for EBV viral load can often be positive in asymptomatic patients (false positives) and so clinical correlation and attention to changes in viral load are essential. Risk factors for early PTLD include primary EBV infection, young donor age, CMV infection, and induction with TDAs. The use of antiviral agents (e.g. valaciclovir or valganciclovir) or immunoglobulins in response to rising viral loads is unproven and cannot be recommended. Since the immune response to EBV infected tissue is thought to depend on EBV-specific T cell responses it is logical to reduce immunosuppressive treatment in the face of clinical EBV infections and PTLD.</w:t>
      </w:r>
    </w:p>
    <w:p w14:paraId="651C46CB" w14:textId="78C24ECC" w:rsidR="00426BCE" w:rsidRPr="00FF3619" w:rsidRDefault="00426BCE" w:rsidP="00516860">
      <w:pPr>
        <w:pStyle w:val="GuidelineHeadings"/>
        <w:rPr>
          <w:b w:val="0"/>
          <w:bCs/>
        </w:rPr>
      </w:pPr>
      <w:r w:rsidRPr="00FF3619">
        <w:t xml:space="preserve">Guideline </w:t>
      </w:r>
      <w:r w:rsidR="00B361D6">
        <w:t>7</w:t>
      </w:r>
      <w:r w:rsidRPr="00FF3619">
        <w:t>.4 – KTR: Varicella Zoster Virus infection</w:t>
      </w:r>
    </w:p>
    <w:p w14:paraId="20FF43E6" w14:textId="1CB59FA2" w:rsidR="00426BCE" w:rsidRPr="00FF3619" w:rsidRDefault="00426BCE" w:rsidP="00516860">
      <w:r w:rsidRPr="00FF3619">
        <w:t xml:space="preserve">Acquired by 90% of the population before adulthood, primary infection with VZV causes chickenpox. Thereafter the virus remains latent in the cranial nerve and dorsal root ganglia. Secondary reactivation results in shingles and typical dermatomal blistering skin lesions. Primary infection is an uncommon complication in KTR except in seronegative individuals and paediatrics and can be acquired by direct skin contact and by airborne droplet transmission </w:t>
      </w:r>
      <w:r>
        <w:fldChar w:fldCharType="begin"/>
      </w:r>
      <w:r w:rsidR="002D20B5">
        <w:instrText xml:space="preserve"> ADDIN ZOTERO_ITEM CSL_CITATION {"citationID":"WQrkhWhQ","properties":{"formattedCitation":"\\super 318\\nosupersub{}","plainCitation":"318","noteIndex":0},"citationItems":[{"id":19136,"uris":["http://zotero.org/users/3444308/items/KH5IVIKV"],"itemData":{"id":19136,"type":"article-journal","abstract":"Varicella-zoster virus, a herpesvirus, causes varicella (chickenpox) and, after endogenous reactivation, herpes zoster (shingles). Varicella, which is recognised by a characteristic vesicular rash, arises mainly in young children, although older individuals can be affected. In immunocompetent patients, symptoms are usually mild to moderate, but an uncomplicated severe case can have more than 1000 lesions and severe constitutional symptoms. Serious complications--including central nervous system involvement, pneumonia, secondary bacterial infections, and death--are sometimes seen. Varicella can be prevented by vaccination. Vaccine is about 80-85% effective against all disease and highly (more than 95%) effective in prevention of severe disease. In the USA, a routine childhood immunisation programme has reduced disease incidence, complications, hospital admissions, and deaths in children and in the general population, indicating strong herd immunity. Similar immunisation programmes have been adopted by some other countries, including Uruguay, Germany, Taiwan, Canada, and Australia, and are expected to be implemented more widely in future.","container-title":"Lancet (London, England)","DOI":"10.1016/S0140-6736(06)69561-5","ISSN":"1474-547X","issue":"9544","journalAbbreviation":"Lancet","language":"eng","note":"PMID: 17046469","page":"1365-1376","source":"PubMed","title":"Varicella","volume":"368","author":[{"family":"Heininger","given":"Ulrich"},{"family":"Seward","given":"Jane F."}],"issued":{"date-parts":[["2006",10,14]]}}}],"schema":"https://github.com/citation-style-language/schema/raw/master/csl-citation.json"} </w:instrText>
      </w:r>
      <w:r>
        <w:fldChar w:fldCharType="separate"/>
      </w:r>
      <w:r w:rsidR="002D20B5" w:rsidRPr="002D20B5">
        <w:rPr>
          <w:rFonts w:ascii="Aptos" w:hAnsi="Aptos" w:cs="Times New Roman"/>
          <w:sz w:val="22"/>
          <w:vertAlign w:val="superscript"/>
        </w:rPr>
        <w:t>318</w:t>
      </w:r>
      <w:r>
        <w:fldChar w:fldCharType="end"/>
      </w:r>
      <w:r w:rsidRPr="00FF3619">
        <w:t>. Donor</w:t>
      </w:r>
      <w:r w:rsidRPr="00FF3619">
        <w:rPr>
          <w:rFonts w:ascii="Cambria Math" w:hAnsi="Cambria Math" w:cs="Cambria Math"/>
        </w:rPr>
        <w:t>‐</w:t>
      </w:r>
      <w:r w:rsidRPr="00FF3619">
        <w:t>transmitted VZV infection is rare but has been reported.</w:t>
      </w:r>
      <w:r w:rsidRPr="00FF3619">
        <w:rPr>
          <w:vertAlign w:val="superscript"/>
        </w:rPr>
        <w:t xml:space="preserve"> </w:t>
      </w:r>
      <w:r w:rsidR="00D03CA3" w:rsidRPr="00FF3619">
        <w:t>Breakthrough</w:t>
      </w:r>
      <w:r w:rsidRPr="00FF3619">
        <w:t xml:space="preserve"> varicella can occur in vaccinated KTR but the risk is low, although it is more likely to occur in those who did not develop sufficient immunity post vaccination or</w:t>
      </w:r>
      <w:r w:rsidR="00D03CA3">
        <w:t xml:space="preserve"> </w:t>
      </w:r>
      <w:r w:rsidRPr="00FF3619">
        <w:t>in whom</w:t>
      </w:r>
      <w:r>
        <w:t xml:space="preserve"> </w:t>
      </w:r>
      <w:r w:rsidRPr="00FF3619">
        <w:t xml:space="preserve">VZV antibodies titres </w:t>
      </w:r>
      <w:r w:rsidR="00D03CA3" w:rsidRPr="00FF3619">
        <w:t>diminish</w:t>
      </w:r>
      <w:r w:rsidRPr="00FF3619">
        <w:t xml:space="preserve"> </w:t>
      </w:r>
      <w:r w:rsidR="00D03CA3" w:rsidRPr="00FF3619">
        <w:t>post-transplant</w:t>
      </w:r>
      <w:r w:rsidRPr="00FF3619">
        <w:t xml:space="preserve"> </w:t>
      </w:r>
      <w:r>
        <w:fldChar w:fldCharType="begin"/>
      </w:r>
      <w:r w:rsidR="002D20B5">
        <w:instrText xml:space="preserve"> ADDIN ZOTERO_ITEM CSL_CITATION {"citationID":"LPWfEIah","properties":{"formattedCitation":"\\super 319\\nosupersub{}","plainCitation":"319","noteIndex":0},"citationItems":[{"id":19135,"uris":["http://zotero.org/users/3444308/items/UDPGTYNL"],"itemData":{"id":19135,"type":"article-journal","abstract":"These updated guidelines from the American Society of Transplantation Infectious Diseases Community of Practice review the diagnosis, prevention, and management of varicella zoster virus (VZV) in the pre- and post-transplant period. Primary varicella is an uncommon complication post-solid-organ transplant (SOT), except among pediatric transplant patients and those seronegative for VZV. As the majority of SOT recipients are seropositive for VZV, herpes zoster (HZ) occurs frequently following SOT, particularly among recipients who are older (≥65 years of age) and those receiving more intensive immunosuppression. Transplant providers should aware of the increased risk for HZ-related complications such as dissemination, organ-specific involvement, and post-herpetic neuralgia. Treatment for localized zoster is primarily given as oral regimens, but those with more complicated presentations or those at risk for dissemination should be treated initially with IV therapy. Available antiviral prophylaxis regimens and vaccination strategies for varicella and HZ among these immunosuppressed patients remain a mainstay for prevention in the pre-and post-transplant periods. Finally, we discuss important approaches to addressing post-exposure prophylaxis and infection control practices for those SOT patients with documented VZV infections.","container-title":"Clinical Transplantation","DOI":"10.1111/ctr.13622","ISSN":"1399-0012","issue":"9","journalAbbreviation":"Clin Transplant","language":"eng","note":"PMID: 31162727","page":"e13622","source":"PubMed","title":"Varicella zoster virus in solid organ transplantation: Guidelines from the American Society of Transplantation Infectious Diseases Community of Practice","title-short":"Varicella zoster virus in solid organ transplantation","volume":"33","author":[{"family":"Pergam","given":"Steven A."},{"family":"Limaye","given":"Ajit P."},{"literal":"AST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319</w:t>
      </w:r>
      <w:r>
        <w:fldChar w:fldCharType="end"/>
      </w:r>
      <w:r w:rsidRPr="00FF3619">
        <w:t>.</w:t>
      </w:r>
    </w:p>
    <w:p w14:paraId="7BDC97D5" w14:textId="60F81B6F" w:rsidR="00426BCE" w:rsidRPr="00FF3619" w:rsidRDefault="00426BCE" w:rsidP="00516860">
      <w:r w:rsidRPr="00FF3619">
        <w:t xml:space="preserve">Primary varicella disease in KTRs can be devastating with severe skin lesions, widespread visceral involvement and disseminated intravascular coagulation. In KTR, treatment with IV </w:t>
      </w:r>
      <w:proofErr w:type="spellStart"/>
      <w:r w:rsidRPr="00FF3619">
        <w:t>aciclovir</w:t>
      </w:r>
      <w:proofErr w:type="spellEnd"/>
      <w:r w:rsidRPr="00FF3619">
        <w:t xml:space="preserve"> should be started as soon as possible, ideally within 24 hours of the rash occurring.  IV therapy can be switched to oral once all the lesions have crusted over or the patient has improved significantly. The immunosuppression burden of the patient should be evaluated and a reduction considered </w:t>
      </w:r>
      <w:r>
        <w:fldChar w:fldCharType="begin"/>
      </w:r>
      <w:r w:rsidR="002D20B5">
        <w:instrText xml:space="preserve"> ADDIN ZOTERO_ITEM CSL_CITATION {"citationID":"9fE8kDyr","properties":{"formattedCitation":"\\super 319\\nosupersub{}","plainCitation":"319","noteIndex":0},"citationItems":[{"id":19135,"uris":["http://zotero.org/users/3444308/items/UDPGTYNL"],"itemData":{"id":19135,"type":"article-journal","abstract":"These updated guidelines from the American Society of Transplantation Infectious Diseases Community of Practice review the diagnosis, prevention, and management of varicella zoster virus (VZV) in the pre- and post-transplant period. Primary varicella is an uncommon complication post-solid-organ transplant (SOT), except among pediatric transplant patients and those seronegative for VZV. As the majority of SOT recipients are seropositive for VZV, herpes zoster (HZ) occurs frequently following SOT, particularly among recipients who are older (≥65 years of age) and those receiving more intensive immunosuppression. Transplant providers should aware of the increased risk for HZ-related complications such as dissemination, organ-specific involvement, and post-herpetic neuralgia. Treatment for localized zoster is primarily given as oral regimens, but those with more complicated presentations or those at risk for dissemination should be treated initially with IV therapy. Available antiviral prophylaxis regimens and vaccination strategies for varicella and HZ among these immunosuppressed patients remain a mainstay for prevention in the pre-and post-transplant periods. Finally, we discuss important approaches to addressing post-exposure prophylaxis and infection control practices for those SOT patients with documented VZV infections.","container-title":"Clinical Transplantation","DOI":"10.1111/ctr.13622","ISSN":"1399-0012","issue":"9","journalAbbreviation":"Clin Transplant","language":"eng","note":"PMID: 31162727","page":"e13622","source":"PubMed","title":"Varicella zoster virus in solid organ transplantation: Guidelines from the American Society of Transplantation Infectious Diseases Community of Practice","title-short":"Varicella zoster virus in solid organ transplantation","volume":"33","author":[{"family":"Pergam","given":"Steven A."},{"family":"Limaye","given":"Ajit P."},{"literal":"AST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319</w:t>
      </w:r>
      <w:r>
        <w:fldChar w:fldCharType="end"/>
      </w:r>
      <w:r>
        <w:t>.</w:t>
      </w:r>
      <w:r w:rsidR="00A45FAF">
        <w:t xml:space="preserve"> </w:t>
      </w:r>
      <w:r w:rsidRPr="00FF3619">
        <w:t>Non-specific IVIg or VZV IVIg is not recommended for treatment as it is unlikely to provide additional benefit in those with established infection although has been used in those with severe disease</w:t>
      </w:r>
      <w:r>
        <w:t xml:space="preserve"> </w:t>
      </w:r>
      <w:r>
        <w:fldChar w:fldCharType="begin"/>
      </w:r>
      <w:r w:rsidR="002D20B5">
        <w:instrText xml:space="preserve"> ADDIN ZOTERO_ITEM CSL_CITATION {"citationID":"uyU8ons4","properties":{"formattedCitation":"\\super 319\\nosupersub{}","plainCitation":"319","noteIndex":0},"citationItems":[{"id":19135,"uris":["http://zotero.org/users/3444308/items/UDPGTYNL"],"itemData":{"id":19135,"type":"article-journal","abstract":"These updated guidelines from the American Society of Transplantation Infectious Diseases Community of Practice review the diagnosis, prevention, and management of varicella zoster virus (VZV) in the pre- and post-transplant period. Primary varicella is an uncommon complication post-solid-organ transplant (SOT), except among pediatric transplant patients and those seronegative for VZV. As the majority of SOT recipients are seropositive for VZV, herpes zoster (HZ) occurs frequently following SOT, particularly among recipients who are older (≥65 years of age) and those receiving more intensive immunosuppression. Transplant providers should aware of the increased risk for HZ-related complications such as dissemination, organ-specific involvement, and post-herpetic neuralgia. Treatment for localized zoster is primarily given as oral regimens, but those with more complicated presentations or those at risk for dissemination should be treated initially with IV therapy. Available antiviral prophylaxis regimens and vaccination strategies for varicella and HZ among these immunosuppressed patients remain a mainstay for prevention in the pre-and post-transplant periods. Finally, we discuss important approaches to addressing post-exposure prophylaxis and infection control practices for those SOT patients with documented VZV infections.","container-title":"Clinical Transplantation","DOI":"10.1111/ctr.13622","ISSN":"1399-0012","issue":"9","journalAbbreviation":"Clin Transplant","language":"eng","note":"PMID: 31162727","page":"e13622","source":"PubMed","title":"Varicella zoster virus in solid organ transplantation: Guidelines from the American Society of Transplantation Infectious Diseases Community of Practice","title-short":"Varicella zoster virus in solid organ transplantation","volume":"33","author":[{"family":"Pergam","given":"Steven A."},{"family":"Limaye","given":"Ajit P."},{"literal":"AST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319</w:t>
      </w:r>
      <w:r>
        <w:fldChar w:fldCharType="end"/>
      </w:r>
      <w:r w:rsidRPr="00FF3619">
        <w:t xml:space="preserve">. </w:t>
      </w:r>
    </w:p>
    <w:p w14:paraId="58B9B8F1" w14:textId="7DEEDC4C" w:rsidR="00426BCE" w:rsidRPr="00FF3619" w:rsidRDefault="00426BCE" w:rsidP="00516860">
      <w:r w:rsidRPr="00FF3619">
        <w:t>For KTR with herpes zoster (shingles) localised (dermatomal) infection may be treated with oral antiviral therapy (</w:t>
      </w:r>
      <w:proofErr w:type="spellStart"/>
      <w:r w:rsidRPr="00FF3619">
        <w:t>eg</w:t>
      </w:r>
      <w:proofErr w:type="spellEnd"/>
      <w:r w:rsidRPr="00FF3619">
        <w:t xml:space="preserve"> </w:t>
      </w:r>
      <w:proofErr w:type="spellStart"/>
      <w:r w:rsidRPr="00FF3619">
        <w:t>aciclovir</w:t>
      </w:r>
      <w:proofErr w:type="spellEnd"/>
      <w:r w:rsidRPr="00FF3619">
        <w:t xml:space="preserve"> or valaciclovir) for 7 days or until the lesions have crusted over.  </w:t>
      </w:r>
      <w:r w:rsidRPr="00FF3619">
        <w:lastRenderedPageBreak/>
        <w:t xml:space="preserve">KTR with disseminated, invasive or ocular involvement should be treated with IV </w:t>
      </w:r>
      <w:proofErr w:type="spellStart"/>
      <w:r w:rsidRPr="00FF3619">
        <w:t>aciclovir</w:t>
      </w:r>
      <w:proofErr w:type="spellEnd"/>
      <w:r w:rsidRPr="00FF3619">
        <w:t xml:space="preserve"> for at least 7 days with input from a virologist </w:t>
      </w:r>
      <w:r>
        <w:fldChar w:fldCharType="begin"/>
      </w:r>
      <w:r w:rsidR="002D20B5">
        <w:instrText xml:space="preserve"> ADDIN ZOTERO_ITEM CSL_CITATION {"citationID":"9FxvBxXw","properties":{"formattedCitation":"\\super 319\\nosupersub{}","plainCitation":"319","noteIndex":0},"citationItems":[{"id":19135,"uris":["http://zotero.org/users/3444308/items/UDPGTYNL"],"itemData":{"id":19135,"type":"article-journal","abstract":"These updated guidelines from the American Society of Transplantation Infectious Diseases Community of Practice review the diagnosis, prevention, and management of varicella zoster virus (VZV) in the pre- and post-transplant period. Primary varicella is an uncommon complication post-solid-organ transplant (SOT), except among pediatric transplant patients and those seronegative for VZV. As the majority of SOT recipients are seropositive for VZV, herpes zoster (HZ) occurs frequently following SOT, particularly among recipients who are older (≥65 years of age) and those receiving more intensive immunosuppression. Transplant providers should aware of the increased risk for HZ-related complications such as dissemination, organ-specific involvement, and post-herpetic neuralgia. Treatment for localized zoster is primarily given as oral regimens, but those with more complicated presentations or those at risk for dissemination should be treated initially with IV therapy. Available antiviral prophylaxis regimens and vaccination strategies for varicella and HZ among these immunosuppressed patients remain a mainstay for prevention in the pre-and post-transplant periods. Finally, we discuss important approaches to addressing post-exposure prophylaxis and infection control practices for those SOT patients with documented VZV infections.","container-title":"Clinical Transplantation","DOI":"10.1111/ctr.13622","ISSN":"1399-0012","issue":"9","journalAbbreviation":"Clin Transplant","language":"eng","note":"PMID: 31162727","page":"e13622","source":"PubMed","title":"Varicella zoster virus in solid organ transplantation: Guidelines from the American Society of Transplantation Infectious Diseases Community of Practice","title-short":"Varicella zoster virus in solid organ transplantation","volume":"33","author":[{"family":"Pergam","given":"Steven A."},{"family":"Limaye","given":"Ajit P."},{"literal":"AST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319</w:t>
      </w:r>
      <w:r>
        <w:fldChar w:fldCharType="end"/>
      </w:r>
      <w:r w:rsidRPr="00FF3619">
        <w:t>.</w:t>
      </w:r>
    </w:p>
    <w:p w14:paraId="67F8EB69" w14:textId="717F1275" w:rsidR="00426BCE" w:rsidRPr="00FF3619" w:rsidRDefault="00426BCE" w:rsidP="00516860">
      <w:r>
        <w:t xml:space="preserve">VZV IVIg is recommended for KTR who have no antibodies to VZV and have had a significant exposure to varicella or zoster during the infectious period via UK HSA. </w:t>
      </w:r>
      <w:r>
        <w:fldChar w:fldCharType="begin"/>
      </w:r>
      <w:r w:rsidR="002D20B5">
        <w:instrText xml:space="preserve"> ADDIN ZOTERO_ITEM CSL_CITATION {"citationID":"5tm0jBoi","properties":{"formattedCitation":"\\super 320\\nosupersub{}","plainCitation":"320","noteIndex":0},"citationItems":[{"id":19134,"uris":["http://zotero.org/users/3444308/items/XDP4DRZ4"],"itemData":{"id":19134,"type":"report","language":"en","title":"Guidelines on post-exposure prophylaxis (PEP) for varicella or shingles","URL":"https://www.gov.uk/government/publications/post-exposure-prophylaxis-for-chickenpox-and-shingles/guidelines-on-post-exposure-prophylaxis-pep-for-varicella-or-shingles-january-2023","author":[{"literal":"UK Health Security Agency"}],"accessed":{"date-parts":[["2025",10,25]]},"issued":{"date-parts":[["2025",7]]}}}],"schema":"https://github.com/citation-style-language/schema/raw/master/csl-citation.json"} </w:instrText>
      </w:r>
      <w:r>
        <w:fldChar w:fldCharType="separate"/>
      </w:r>
      <w:r w:rsidR="002D20B5" w:rsidRPr="002D20B5">
        <w:rPr>
          <w:rFonts w:ascii="Aptos" w:hAnsi="Aptos" w:cs="Times New Roman"/>
          <w:sz w:val="22"/>
          <w:vertAlign w:val="superscript"/>
        </w:rPr>
        <w:t>320</w:t>
      </w:r>
      <w:r>
        <w:fldChar w:fldCharType="end"/>
      </w:r>
    </w:p>
    <w:p w14:paraId="536C10A2" w14:textId="23733594" w:rsidR="00426BCE" w:rsidRPr="00FF3619" w:rsidRDefault="00426BCE" w:rsidP="00516860">
      <w:r w:rsidRPr="00FF3619">
        <w:t xml:space="preserve">Vaccination of </w:t>
      </w:r>
      <w:proofErr w:type="spellStart"/>
      <w:r w:rsidRPr="00FF3619">
        <w:t>sero</w:t>
      </w:r>
      <w:proofErr w:type="spellEnd"/>
      <w:r w:rsidRPr="00FF3619">
        <w:t xml:space="preserve">-negative patients on the transplant waiting list with the live-attenuated varicella vaccine is advised as it has been shown to be safe and immunogenic </w:t>
      </w:r>
      <w:r>
        <w:fldChar w:fldCharType="begin"/>
      </w:r>
      <w:r w:rsidR="002D20B5">
        <w:instrText xml:space="preserve"> ADDIN ZOTERO_ITEM CSL_CITATION {"citationID":"Rc3nOZTQ","properties":{"formattedCitation":"\\super 319\\nosupersub{}","plainCitation":"319","noteIndex":0},"citationItems":[{"id":19135,"uris":["http://zotero.org/users/3444308/items/UDPGTYNL"],"itemData":{"id":19135,"type":"article-journal","abstract":"These updated guidelines from the American Society of Transplantation Infectious Diseases Community of Practice review the diagnosis, prevention, and management of varicella zoster virus (VZV) in the pre- and post-transplant period. Primary varicella is an uncommon complication post-solid-organ transplant (SOT), except among pediatric transplant patients and those seronegative for VZV. As the majority of SOT recipients are seropositive for VZV, herpes zoster (HZ) occurs frequently following SOT, particularly among recipients who are older (≥65 years of age) and those receiving more intensive immunosuppression. Transplant providers should aware of the increased risk for HZ-related complications such as dissemination, organ-specific involvement, and post-herpetic neuralgia. Treatment for localized zoster is primarily given as oral regimens, but those with more complicated presentations or those at risk for dissemination should be treated initially with IV therapy. Available antiviral prophylaxis regimens and vaccination strategies for varicella and HZ among these immunosuppressed patients remain a mainstay for prevention in the pre-and post-transplant periods. Finally, we discuss important approaches to addressing post-exposure prophylaxis and infection control practices for those SOT patients with documented VZV infections.","container-title":"Clinical Transplantation","DOI":"10.1111/ctr.13622","ISSN":"1399-0012","issue":"9","journalAbbreviation":"Clin Transplant","language":"eng","note":"PMID: 31162727","page":"e13622","source":"PubMed","title":"Varicella zoster virus in solid organ transplantation: Guidelines from the American Society of Transplantation Infectious Diseases Community of Practice","title-short":"Varicella zoster virus in solid organ transplantation","volume":"33","author":[{"family":"Pergam","given":"Steven A."},{"family":"Limaye","given":"Ajit P."},{"literal":"AST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319</w:t>
      </w:r>
      <w:r>
        <w:fldChar w:fldCharType="end"/>
      </w:r>
      <w:r>
        <w:t>.</w:t>
      </w:r>
      <w:r w:rsidRPr="00FF3619">
        <w:t xml:space="preserve"> </w:t>
      </w:r>
    </w:p>
    <w:p w14:paraId="3C64325D" w14:textId="1171BC73" w:rsidR="00516860" w:rsidRDefault="00426BCE" w:rsidP="00426BCE">
      <w:r w:rsidRPr="00FF3619">
        <w:t xml:space="preserve">KTR immunisation with inactivated VZV vaccine to prevent shingles is safe and effective. A randomised control trial studied 264 KTR 4-18 months </w:t>
      </w:r>
      <w:r w:rsidR="00002D7B" w:rsidRPr="00FF3619">
        <w:t>post-transplant</w:t>
      </w:r>
      <w:r w:rsidRPr="00FF3619">
        <w:t xml:space="preserve"> in whom half were given the adjuvanted recombinant zoster vaccine (RZV) and the other 132 placebo. Vaccine response was monitored over 12 months and </w:t>
      </w:r>
      <w:r w:rsidR="00002D7B" w:rsidRPr="00FF3619">
        <w:t>anti-glycoprotein</w:t>
      </w:r>
      <w:r w:rsidRPr="00FF3619">
        <w:t xml:space="preserve"> E specific humoral and cell-mediated immune responses were higher in RZV than placebo recipients across all post vaccination time points and persisted above pre</w:t>
      </w:r>
      <w:r w:rsidR="000163EF">
        <w:t>-</w:t>
      </w:r>
      <w:r w:rsidRPr="00FF3619">
        <w:t>vaccination baseline 12 months post-dose</w:t>
      </w:r>
      <w:r>
        <w:t xml:space="preserve"> </w:t>
      </w:r>
      <w:r>
        <w:fldChar w:fldCharType="begin"/>
      </w:r>
      <w:r w:rsidR="002D20B5">
        <w:instrText xml:space="preserve"> ADDIN ZOTERO_ITEM CSL_CITATION {"citationID":"7NA1cxTy","properties":{"formattedCitation":"\\super 321\\nosupersub{}","plainCitation":"321","noteIndex":0},"citationItems":[{"id":19133,"uris":["http://zotero.org/users/3444308/items/JPAM54EX"],"itemData":{"id":19133,"type":"article-journal","abstract":"BACKGROUND: The incidence of herpes zoster is up to 9 times higher in immunosuppressed solid organ transplant recipients than in the general population. We investigated the immunogenicity and safety of an adjuvanted recombinant zoster vaccine (RZV) in renal transplant (RT) recipients ≥18 years of age receiving daily immunosuppressive therapy.\nMETHODS: In this phase 3, randomized (1:1), observer-blind, multicenter trial, RT recipients were enrolled and received 2 doses of RZV or placebo 1-2 months (M) apart 4-18M posttransplant. Anti-glycoprotein E (gE) antibody concentrations, gE-specific CD4 T-cell frequencies, and vaccine response rates were assessed at 1M post-dose 1, and 1M and 12M post-dose 2. Solicited and unsolicited adverse events (AEs) were recorded for 7 and 30 days after each dose, respectively. Solicited general symptoms and unsolicited AEs were also collected 7 days before first vaccination. Serious AEs (including biopsy-proven allograft rejections) and potential immune-mediated diseases (pIMDs) were recorded up to 12M post-dose 2.\nRESULTS: Two hundred sixty-four participants (RZV: 132; placebo: 132) were enrolled between March 2014 and April 2017. gE-specific humoral and cell-mediated immune responses were higher in RZV than placebo recipients across postvaccination time points and persisted above prevaccination baseline 12M post-dose 2. Local AEs were reported more frequently by RZV than placebo recipients. Overall occurrences of renal function changes, rejections, unsolicited AEs, serious AEs, and pIMDs were similar between groups.\nCONCLUSIONS: RZV was immunogenic in chronically immunosuppressed RT recipients. Immunogenicity persisted through 12M postvaccination. No safety concerns arose.\nCLINICAL TRIALS REGISTRATION: NCT02058589.","container-title":"Clinical Infectious Diseases: An Official Publication of the Infectious Diseases Society of America","DOI":"10.1093/cid/ciz177","ISSN":"1537-6591","issue":"2","journalAbbreviation":"Clin Infect Dis","language":"eng","note":"PMID: 30843046\nPMCID: PMC6938982","page":"181-190","source":"PubMed","title":"Immunogenicity and Safety of the Adjuvanted Recombinant Zoster Vaccine in Chronically Immunosuppressed Adults Following Renal Transplant: A Phase 3, Randomized Clinical Trial","title-short":"Immunogenicity and Safety of the Adjuvanted Recombinant Zoster Vaccine in Chronically Immunosuppressed Adults Following Renal Transplant","volume":"70","author":[{"family":"Vink","given":"Peter"},{"family":"Ramon Torrell","given":"Josep Maria"},{"family":"Sanchez Fructuoso","given":"Ana"},{"family":"Kim","given":"Sung-Joo"},{"family":"Kim","given":"Sang-Il"},{"family":"Zaltzman","given":"Jeff"},{"family":"Ortiz","given":"Fernanda"},{"family":"Campistol Plana","given":"Josep Maria"},{"family":"Fernandez Rodriguez","given":"Ana Maria"},{"family":"Rebollo Rodrigo","given":"Henar"},{"family":"Campins Marti","given":"Magda"},{"family":"Perez","given":"Rafael"},{"family":"González Roncero","given":"Francisco Manuel"},{"family":"Kumar","given":"Deepali"},{"family":"Chiang","given":"Yang-Jen"},{"family":"Doucette","given":"Karen"},{"family":"Pipeleers","given":"Lissa"},{"family":"Agüera Morales","given":"Maria Luisa"},{"family":"Rodriguez-Ferrero","given":"Maria Luisa"},{"family":"Secchi","given":"Antonio"},{"family":"McNeil","given":"Shelly A."},{"family":"Campora","given":"Laura"},{"family":"Di Paolo","given":"Emmanuel"},{"family":"El Idrissi","given":"Mohamed"},{"family":"López-Fauqued","given":"Marta"},{"family":"Salaun","given":"Bruno"},{"family":"Heineman","given":"Thomas C."},{"family":"Oostvogels","given":"Lidia"},{"literal":"Z-041 Study Group"}],"issued":{"date-parts":[["2020",1,2]]}}}],"schema":"https://github.com/citation-style-language/schema/raw/master/csl-citation.json"} </w:instrText>
      </w:r>
      <w:r>
        <w:fldChar w:fldCharType="separate"/>
      </w:r>
      <w:r w:rsidR="002D20B5" w:rsidRPr="002D20B5">
        <w:rPr>
          <w:rFonts w:ascii="Aptos" w:hAnsi="Aptos" w:cs="Times New Roman"/>
          <w:sz w:val="22"/>
          <w:vertAlign w:val="superscript"/>
        </w:rPr>
        <w:t>321</w:t>
      </w:r>
      <w:r>
        <w:fldChar w:fldCharType="end"/>
      </w:r>
      <w:r w:rsidRPr="00FF3619">
        <w:t>.</w:t>
      </w:r>
    </w:p>
    <w:p w14:paraId="30F89464" w14:textId="6970235B" w:rsidR="00426BCE" w:rsidRPr="00FF3619" w:rsidRDefault="00426BCE" w:rsidP="00516860">
      <w:pPr>
        <w:pStyle w:val="GuidelineHeadings"/>
      </w:pPr>
      <w:r w:rsidRPr="00FF3619">
        <w:t xml:space="preserve">Guideline </w:t>
      </w:r>
      <w:r w:rsidR="00B361D6">
        <w:t>7</w:t>
      </w:r>
      <w:r w:rsidRPr="00FF3619">
        <w:t xml:space="preserve">.5 – KTR: Herpes Simplex Virus infection </w:t>
      </w:r>
    </w:p>
    <w:p w14:paraId="08672B43" w14:textId="34128DFE" w:rsidR="00426BCE" w:rsidRPr="00516860" w:rsidRDefault="00426BCE" w:rsidP="00516860">
      <w:pPr>
        <w:rPr>
          <w:b/>
        </w:rPr>
      </w:pPr>
      <w:r w:rsidRPr="00FF3619">
        <w:t xml:space="preserve">There is an increased potential for superficial HSV infections to progress disseminated or invasive disease in KTRs. Reactivation most commonly occurs in the first few weeks after transplantation and complicated disease can become life threatening involving the liver, lung and central nervous system. For mucocutaneous disease, oral treatment should be started as soon as possible with </w:t>
      </w:r>
      <w:proofErr w:type="spellStart"/>
      <w:r w:rsidRPr="00FF3619">
        <w:t>aciclovir</w:t>
      </w:r>
      <w:proofErr w:type="spellEnd"/>
      <w:r w:rsidRPr="00FF3619">
        <w:t xml:space="preserve">, valaciclovir or </w:t>
      </w:r>
      <w:proofErr w:type="spellStart"/>
      <w:r w:rsidRPr="00FF3619">
        <w:t>famiciclovir</w:t>
      </w:r>
      <w:proofErr w:type="spellEnd"/>
      <w:r w:rsidRPr="00FF3619">
        <w:t xml:space="preserve"> until complete healing of all lesions or at least 5-7 days. Due to their gravity, complicated infections should be treated with intravenous therapy which may need to be prolonged in cases with CNS involvement and a reduction in immunosuppression </w:t>
      </w:r>
      <w:r>
        <w:fldChar w:fldCharType="begin"/>
      </w:r>
      <w:r w:rsidR="002D20B5">
        <w:instrText xml:space="preserve"> ADDIN ZOTERO_ITEM CSL_CITATION {"citationID":"sqr3UHG7","properties":{"formattedCitation":"\\super 322\\nosupersub{}","plainCitation":"322","noteIndex":0},"citationItems":[{"id":19132,"uris":["http://zotero.org/users/3444308/items/UBMI85LJ"],"itemData":{"id":19132,"type":"article-journal","abstract":"These updated guidelines from the Infectious Diseases Community of Practice of the American Society of Transplantation review the diagnosis, prevention, and management of HSV in the pre- and post-transplant period. A majority of transplant recipients are seropositive for HSV-1 or 2. Compared with immunocompetent persons, SOT recipients shed HSV more frequently, have more severe clinical manifestations, and are slower to respond to therapy. Most HSV infection is diagnosed on clinical grounds, but patients may present with atypical lesions and/or other clinical manifestations. Acquisition from the donor is rare. Polymerase chain reaction is the preferred diagnostic test unless culture is needed for resistance testing. For limited mucocutaneous lesions, oral therapy can be used; however, in severe, disseminated, visceral or CNS involvement, acyclovir doses of up to 10 mg/kg every 8 hours intravenously should be initiated. Acyclovir-resistant HSV is less common in SOT patients than in HSCT and can be treated with foscarnet, though other novel therapies are currently under investigation. HSV-specific prophylaxis should be considered for all HSV-1 and HSV-2-seropositive organ recipients who are not receiving antiviral medication for CMV prevention that has activity against HSV.","container-title":"Clinical Transplantation","DOI":"10.1111/ctr.13526","ISSN":"1399-0012","issue":"9","journalAbbreviation":"Clin Transplant","language":"eng","note":"PMID: 30859647","page":"e13526","source":"PubMed","title":"Herpes simplex virus infections in solid organ transplantation: Guidelines from the American Society of Transplantation Infectious Diseases Community of Practice","title-short":"Herpes simplex virus infections in solid organ transplantation","volume":"33","author":[{"family":"Lee","given":"Dong H."},{"family":"Zuckerman","given":"Richard A."},{"literal":"AST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322</w:t>
      </w:r>
      <w:r>
        <w:fldChar w:fldCharType="end"/>
      </w:r>
      <w:r>
        <w:t>.</w:t>
      </w:r>
    </w:p>
    <w:p w14:paraId="2933AD91" w14:textId="0CA58804" w:rsidR="00516860" w:rsidRDefault="00426BCE" w:rsidP="00426BCE">
      <w:r w:rsidRPr="00FF3619">
        <w:t xml:space="preserve">For KTR who experience recurrent episodes of HSV infection, long term </w:t>
      </w:r>
      <w:proofErr w:type="spellStart"/>
      <w:r w:rsidRPr="00FF3619">
        <w:t>aciclovir</w:t>
      </w:r>
      <w:proofErr w:type="spellEnd"/>
      <w:r w:rsidRPr="00FF3619">
        <w:t xml:space="preserve"> therapy should be considered if immunosuppression cannot be reduced.  Long term use has been shown to be effective in immunocompromised patients and the risk of </w:t>
      </w:r>
      <w:proofErr w:type="spellStart"/>
      <w:r w:rsidRPr="00FF3619">
        <w:t>aciclovir</w:t>
      </w:r>
      <w:proofErr w:type="spellEnd"/>
      <w:r w:rsidRPr="00FF3619">
        <w:t xml:space="preserve"> resistance less than with recurrent treatment courses </w:t>
      </w:r>
      <w:r>
        <w:fldChar w:fldCharType="begin"/>
      </w:r>
      <w:r w:rsidR="002D20B5">
        <w:instrText xml:space="preserve"> ADDIN ZOTERO_ITEM CSL_CITATION {"citationID":"bdW9vHh9","properties":{"formattedCitation":"\\super 322\\nosupersub{}","plainCitation":"322","noteIndex":0},"citationItems":[{"id":19132,"uris":["http://zotero.org/users/3444308/items/UBMI85LJ"],"itemData":{"id":19132,"type":"article-journal","abstract":"These updated guidelines from the Infectious Diseases Community of Practice of the American Society of Transplantation review the diagnosis, prevention, and management of HSV in the pre- and post-transplant period. A majority of transplant recipients are seropositive for HSV-1 or 2. Compared with immunocompetent persons, SOT recipients shed HSV more frequently, have more severe clinical manifestations, and are slower to respond to therapy. Most HSV infection is diagnosed on clinical grounds, but patients may present with atypical lesions and/or other clinical manifestations. Acquisition from the donor is rare. Polymerase chain reaction is the preferred diagnostic test unless culture is needed for resistance testing. For limited mucocutaneous lesions, oral therapy can be used; however, in severe, disseminated, visceral or CNS involvement, acyclovir doses of up to 10 mg/kg every 8 hours intravenously should be initiated. Acyclovir-resistant HSV is less common in SOT patients than in HSCT and can be treated with foscarnet, though other novel therapies are currently under investigation. HSV-specific prophylaxis should be considered for all HSV-1 and HSV-2-seropositive organ recipients who are not receiving antiviral medication for CMV prevention that has activity against HSV.","container-title":"Clinical Transplantation","DOI":"10.1111/ctr.13526","ISSN":"1399-0012","issue":"9","journalAbbreviation":"Clin Transplant","language":"eng","note":"PMID: 30859647","page":"e13526","source":"PubMed","title":"Herpes simplex virus infections in solid organ transplantation: Guidelines from the American Society of Transplantation Infectious Diseases Community of Practice","title-short":"Herpes simplex virus infections in solid organ transplantation","volume":"33","author":[{"family":"Lee","given":"Dong H."},{"family":"Zuckerman","given":"Richard A."},{"literal":"AST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322</w:t>
      </w:r>
      <w:r>
        <w:fldChar w:fldCharType="end"/>
      </w:r>
      <w:r>
        <w:t>.</w:t>
      </w:r>
    </w:p>
    <w:p w14:paraId="6F3C058F" w14:textId="12D96791" w:rsidR="00426BCE" w:rsidRPr="00516860" w:rsidRDefault="00426BCE" w:rsidP="00516860">
      <w:pPr>
        <w:pStyle w:val="GuidelineHeadings"/>
      </w:pPr>
      <w:r w:rsidRPr="00FF3619">
        <w:t xml:space="preserve">Guideline </w:t>
      </w:r>
      <w:r w:rsidR="00B361D6">
        <w:t>7</w:t>
      </w:r>
      <w:r w:rsidRPr="00FF3619">
        <w:t xml:space="preserve">.6 – KTR: BK </w:t>
      </w:r>
      <w:r>
        <w:t xml:space="preserve">viral associated </w:t>
      </w:r>
      <w:r w:rsidRPr="00FF3619">
        <w:t>nephropathy</w:t>
      </w:r>
    </w:p>
    <w:p w14:paraId="1CA3BBF4" w14:textId="132FACD9" w:rsidR="00426BCE" w:rsidRPr="00FF3619" w:rsidRDefault="00426BCE" w:rsidP="00426BCE">
      <w:pPr>
        <w:jc w:val="both"/>
      </w:pPr>
      <w:r w:rsidRPr="00FF3619">
        <w:t>The human polyoma BK virus is linked to two major clinical syndromes in KTRs, namely BK virus nephropathy (BKVN) and transplant ureteric stenosis</w:t>
      </w:r>
      <w:r>
        <w:t xml:space="preserve"> </w:t>
      </w:r>
      <w:r>
        <w:fldChar w:fldCharType="begin"/>
      </w:r>
      <w:r w:rsidR="002D20B5">
        <w:instrText xml:space="preserve"> ADDIN ZOTERO_ITEM CSL_CITATION {"citationID":"Qx4ExMVZ","properties":{"formattedCitation":"\\super 129,323\\nosupersub{}","plainCitation":"129,323","noteIndex":0},"citationItems":[{"id":19131,"uris":["http://zotero.org/users/3444308/items/KBJD5YGU"],"itemData":{"id":19131,"type":"article-journal","abstract":"In the last 10 years, better immunosuppression drugs have decreased the rates of acute rejection in kidney transplantation but have also led to the emergence of polyomavirus-associated nephropathy (PVAN). This occurs in 1% to 10% of patients with kidney transplantion and is caused by BK virus in more than 95% of cases. Less than 5% of cases are attributed to the JC virus. Initially, lack of recognition or late diagnosis of PVAN resulted in rapid loss of graft function in more than 50% of patients. In recent years, it has become clear that early diagnosis and timely reduction in immunosuppression is the only proven measure, which significantly affects the outcome of PVAN. Diverse interventions have been explored including the adjunctive use of cidofovir, leflunomide, fluoroquinolones, and intravenous immunoglobulins. Allograft histology is needed to definitively establish the diagnosis of PVAN, but is of limited sensitivity in the early stage of disease. Well-established techniques and protocols for systematic screening by urine cytology and quantitative molecular-genetic techniques allow now for timely intervention before irreversible parenchymal changes occur. Moreover, preemptive reduction in immunosuppression is most effective in presumptive PVAN as defined by surrogate markers (i.e., high BK virus viremia). In this setting, preservation of graft function can be considered the rule. Nevertheless, the recovery of BK virus-specific T-cell immunity may require prolonged periods during which cytopathic damage may continue to accumulate. Despite remarkable progress in the field, important challenges remain, such as the rare patient with PVAN refractory to any intervention and the newly recognized association of PVAN with urogenital tumors.","container-title":"Transplantation","DOI":"10.1097/TP.0b013e318197c17d","ISSN":"1534-6080","issue":"5","journalAbbreviation":"Transplantation","language":"eng","note":"PMID: 19295303","page":"621-630","source":"PubMed","title":"The decade of polyomavirus BK-associated nephropathy: state of affairs","title-short":"The decade of polyomavirus BK-associated nephropathy","volume":"87","author":[{"family":"Ramos","given":"Emilio"},{"family":"Drachenberg","given":"Cinthia B."},{"family":"Wali","given":"Ravinder"},{"family":"Hirsch","given":"Hans H."}],"issued":{"date-parts":[["2009",3,15]]}}},{"id":19034,"uris":["http://zotero.org/users/3444308/items/KX9HZFDD"],"itemData":{"id":19034,"type":"article-journal","abstract":"The present AST-IDCOP guidelines update information on BK polyomavirus (BKPyV) infection, replication, and disease, which impact kidney transplantation (KT), but rarely non-kidney solid organ transplantation (SOT). As pretransplant risk factors in KT donors and recipients presently do not translate into clinically validated measures regarding organ allocation, antiviral prophylaxis, or screening, all KT recipients should be screened for BKPyV-DNAemia monthly until month 9, and then every 3 months until 2 years posttransplant. Extended screening after 2 years may be considered in pediatric KT. Stepwise immunosuppression reduction is recommended for KT patients with plasma BKPyV-DNAemia of &gt;1000 copies/mL sustained for 3 weeks or increasing to &gt;10 000 copies/mL reflecting probable and presumptive BKPyV-associated nephropathy, respectively. Reducing immunosuppression is also the primary intervention for biopsy-proven BKPyV-associated nephropathy. Hence, allograft biopsy is not required for treating BKPyV-DNAemic patients with baseline renal function. Despite virological rationales, proper randomized clinical trials are lacking to generally recommend treatment by switching from tacrolimus to cyclosporine-A, from mycophenolate to mTOR inhibitors or leflunomide or by the adjunct use of intravenous immunoglobulins, leflunomide, or cidofovir. Fluoroquinolones are not recommended for prophylaxis or therapy. Retransplantation after allograft loss due to BKPyV nephropathy can be successful if BKPyV-DNAemia is definitively cleared, independent of failed allograft nephrectomy.","container-title":"Clinical Transplantation","DOI":"10.1111/ctr.13528","ISSN":"1399-0012","issue":"9","journalAbbreviation":"Clin Transplant","language":"eng","note":"PMID: 30859620","page":"e13528","source":"PubMed","title":"BK polyomavirus in solid organ transplantation-Guidelines from the American Society of Transplantation Infectious Diseases Community of Practice","volume":"33","author":[{"family":"Hirsch","given":"Hans H."},{"family":"Randhawa","given":"Parmjeet S."},{"literal":"AST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129,323</w:t>
      </w:r>
      <w:r>
        <w:fldChar w:fldCharType="end"/>
      </w:r>
      <w:r w:rsidRPr="00FF3619">
        <w:t>. BKVN occurs in up to 10% of KTRs and is associated with a significant number (15</w:t>
      </w:r>
      <w:r>
        <w:t xml:space="preserve"> </w:t>
      </w:r>
      <w:r w:rsidRPr="00FF3619">
        <w:t>-</w:t>
      </w:r>
      <w:r>
        <w:t xml:space="preserve"> </w:t>
      </w:r>
      <w:r w:rsidRPr="00FF3619">
        <w:t xml:space="preserve">50%) of allograft losses. 90% of young adults have serological evidence of prior infection and the DNA virus remains latent in the uroepithelium. The virus becomes active and replicates under the influence of immunosuppression. BK virus is cytolytic and epithelial cells are shed in the urine as decoy cells with free virus detected in the urine. With increased viral replication, BKV can be found in the blood and detected by PCR. Approximately half of patients with high level </w:t>
      </w:r>
      <w:proofErr w:type="spellStart"/>
      <w:r w:rsidRPr="00FF3619">
        <w:t>viruria</w:t>
      </w:r>
      <w:proofErr w:type="spellEnd"/>
      <w:r w:rsidRPr="00FF3619">
        <w:t xml:space="preserve"> (&gt;10</w:t>
      </w:r>
      <w:r w:rsidRPr="00FF3619">
        <w:rPr>
          <w:vertAlign w:val="superscript"/>
        </w:rPr>
        <w:t>7</w:t>
      </w:r>
      <w:r w:rsidRPr="00FF3619">
        <w:t xml:space="preserve"> copies/mL) will develop significant BK viraemia (10</w:t>
      </w:r>
      <w:r w:rsidRPr="00FF3619">
        <w:rPr>
          <w:vertAlign w:val="superscript"/>
        </w:rPr>
        <w:t>4</w:t>
      </w:r>
      <w:r w:rsidRPr="00FF3619">
        <w:t xml:space="preserve"> copies/mL) and half of these will develop histological BKVN. This sequence justifies screening for either high level urinary BKV shedding </w:t>
      </w:r>
      <w:r w:rsidRPr="00FF3619">
        <w:lastRenderedPageBreak/>
        <w:t xml:space="preserve">(alternatively the presence of decoy cells) or BK viraemia. Risk factors for BKV include donor and recipient characteristics, high immunosuppressive burden and intensification of immunosuppression. Definitive diagnosis requires demonstration of the virus in renal tissue, usually by staining with the antibody for large T antigen of SV40. Since the infection can be focal and preferentially affects the renal medulla, two cores including medulla should be examined </w:t>
      </w:r>
      <w:r>
        <w:fldChar w:fldCharType="begin"/>
      </w:r>
      <w:r w:rsidR="002D20B5">
        <w:instrText xml:space="preserve"> ADDIN ZOTERO_ITEM CSL_CITATION {"citationID":"qybjKrDt","properties":{"formattedCitation":"\\super 324,325\\nosupersub{}","plainCitation":"324,325","noteIndex":0},"citationItems":[{"id":19130,"uris":["http://zotero.org/users/3444308/items/MTED9TGC"],"itemData":{"id":19130,"type":"article-journal","abstract":"Polyomavirus-associated nephropathy (PVAN) is a significant cause of allograft loss. The diagnosis requires allograft biopsy, but the impact of the histological features on diagnosis and outcome has not been described. We studied the distribution and extent of PVAN in 90 patients. Viral cytopathic changes, tubular atrophy/fibrosis and inflammation were semi-quantitatively scored and classified into histological patterns. The histological findings were correlated with viruria, viremia and graft survival. PVAN lesions were random, (multi-)focal and affected both cortex and medulla. Areas with PVAN coexisted with areas of unaffected parenchyma. In 36.5% (15/41) of biopsies with multiple tissue cores, discordant findings with PVAN-positive and -negative cores were observed. However, all patients with PVAN had decoy cells in urine as well as significant viruria and viremia (mean of 2.5 x 10(8) and 2.32 x 10(7) viral copies, respectively). Biopsies showing lesser degrees of renal scarring at the time of diagnosis were associated with, more likely, resolution of the infection, in response to decrease of immunosuppression (p = 0.001). More advanced tubulointerstitial atrophy, active inflammation and higher creatinine level at diagnosis correlated with worse graft outcome (p = 0.0002, 0.0001 and 0.0006). Due to the focal nature of PVAN, correlation of biopsy results with viruria and viremia are required for diagnosis.","container-title":"American Journal of Transplantation: Official Journal of the American Society of Transplantation and the American Society of Transplant Surgeons","DOI":"10.1046/j.1600-6143.2004.00603.x","ISSN":"1600-6135","issue":"12","journalAbbreviation":"Am J Transplant","language":"eng","note":"PMID: 15575913","page":"2082-2092","source":"PubMed","title":"Histological patterns of polyomavirus nephropathy: correlation with graft outcome and viral load","title-short":"Histological patterns of polyomavirus nephropathy","volume":"4","author":[{"family":"Drachenberg","given":"Cinthia B."},{"family":"Papadimitriou","given":"John C."},{"family":"Hirsch","given":"Hans H."},{"family":"Wali","given":"Ravinder"},{"family":"Crowder","given":"Clinton"},{"family":"Nogueira","given":"Joseph"},{"family":"Cangro","given":"Charles B."},{"family":"Mendley","given":"Susan"},{"family":"Mian","given":"Ayesa"},{"family":"Ramos","given":"Emilio"}],"issued":{"date-parts":[["2004",12]]}}},{"id":19129,"uris":["http://zotero.org/users/3444308/items/I8VUNQP3"],"itemData":{"id":19129,"type":"article-journal","abstract":"BACKGROUND: The purpose of this study was to determine if histological features of polyomavirus allograft nephropathy (PVAN) are associated with the clinical presentation and outcomes of PVAN.\nMETHODS: We examined the histological features of initial and follow-up biopsies of 20 kidney and kidney-pancreas transplant recipients with PVAN during a time prior to routine surveillance. The subjects' demographics, clinical characteristics, and outcomes were compared based upon classification of histological features of PVAN on initial biopsy.\nRESULTS: Diabetes mellitus (45%) and a history of tacrolimus-induced nephrotoxicity (35%) appeared to be prevalent in subjects with PVAN. Although histological severity of PVAN did not predict or correlate with the clinical course of PVAN, subjects with pattern C on initial PVAN biopsy presented later posttransplant, had higher serum creatinine level at presentation, and had significant allograft deterioration at follow-up than subjects with either pattern A or B on initial biopsy. Resolution of PVAN was noted in 60% of follow-up biopsies and occurred more frequently in subjects with pattern B on initial biopsy. Most subjects developed chronic allograft nephropathy after PVAN and viral clearance did not abrogate the progression to chronic allograft nephropathy.\nCONCLUSIONS: These data indicate that histologic patterns of PVAN may have clinical correlation to disease presentation and prognosis.","container-title":"Transplantation","DOI":"10.1097/01.tp.0000226176.87700.a4","ISSN":"0041-1337","issue":"2","journalAbbreviation":"Transplantation","language":"eng","note":"PMID: 16858282","page":"196-204","source":"PubMed","title":"Clinical utility of histological features of polyomavirus allograft nephropathy","volume":"82","author":[{"family":"Gaber","given":"Lillian W."},{"family":"Egidi","given":"M. Francesca"},{"family":"Stratta","given":"Robert J."},{"family":"Lo","given":"Agnes"},{"family":"Moore","given":"Linda W."},{"family":"Gaber","given":"A. Osama"}],"issued":{"date-parts":[["2006",7,27]]}}}],"schema":"https://github.com/citation-style-language/schema/raw/master/csl-citation.json"} </w:instrText>
      </w:r>
      <w:r>
        <w:fldChar w:fldCharType="separate"/>
      </w:r>
      <w:r w:rsidR="002D20B5" w:rsidRPr="002D20B5">
        <w:rPr>
          <w:rFonts w:ascii="Aptos" w:hAnsi="Aptos" w:cs="Times New Roman"/>
          <w:sz w:val="22"/>
          <w:vertAlign w:val="superscript"/>
        </w:rPr>
        <w:t>324,325</w:t>
      </w:r>
      <w:r>
        <w:fldChar w:fldCharType="end"/>
      </w:r>
      <w:r>
        <w:t>.</w:t>
      </w:r>
    </w:p>
    <w:p w14:paraId="337A2038" w14:textId="2DA19BCF" w:rsidR="00426BCE" w:rsidRPr="00FF3619" w:rsidRDefault="00426BCE" w:rsidP="00426BCE">
      <w:pPr>
        <w:jc w:val="both"/>
      </w:pPr>
      <w:r w:rsidRPr="00FF3619">
        <w:t>The mainstay of treatment is reduction of immunosuppression and there is no evidence that reducing any particular immunosuppressive agent is particularly beneficial</w:t>
      </w:r>
      <w:r>
        <w:t xml:space="preserve"> </w:t>
      </w:r>
      <w:r>
        <w:fldChar w:fldCharType="begin"/>
      </w:r>
      <w:r w:rsidR="002D20B5">
        <w:instrText xml:space="preserve"> ADDIN ZOTERO_ITEM CSL_CITATION {"citationID":"nBtVudUz","properties":{"formattedCitation":"\\super 326\\nosupersub{}","plainCitation":"326","noteIndex":0},"citationItems":[{"id":19128,"uris":["http://zotero.org/users/3444308/items/7IZFJAYV"],"itemData":{"id":19128,"type":"article-journal","abstract":"A 1-year, single-center, randomized trial demonstrated that the calcineurin inhibitor or adjuvant immunosuppression, independently, does not affect BK-viruria or viremia and that monitoring and pre-emptive withdrawal of immunosuppression was associated with resolution of BK-viremia and absence of clinical BK-nephropathy without acute rejection or graft loss. A retrospective 5-year review of this trial was conducted. In cases of BK viremia, the antimetabolite was withdrawn and for sustained viremia, the calcineurin inhibitor was minimized. Five-year follow-up was available on 97% of patients. Overall 5-year patient survival was 91% and graft survival was 84%. There were no differences in patient-survival by immunosuppressive regimen or presence of BK-viremia. Immunosuppression and viremia did not influence graft survival. Acute rejection occurred in 12% by 5-years after transplant, was less common with tacrolimus versus cyclosporine (9% vs. 18%; p = 0.082), and was lowest with the tacrolimus-azathioprine regimen (5%, p = 0.127). Tacrolimus was associated with better renal function at 5-years (eGFR 63 FK vs. 52 CsA mL/min, p = 0.001). Minimization of immunosuppression upon detection of BK-viremia was associated with excellent graft survival at 5-years, low rejection rates and excellent renal function. It is a safe, short and long-term strategy that resulted in freedom from clinically evident BK-virus nephropathy.","container-title":"American Journal of Transplantation: Official Journal of the American Society of Transplantation and the American Society of Transplant Surgeons","DOI":"10.1111/j.1600-6143.2009.02952.x","ISSN":"1600-6143","issue":"2","journalAbbreviation":"Am J Transplant","language":"eng","note":"PMID: 20055811\nPMCID: PMC3188431","page":"407-415","source":"PubMed","title":"BK-virus and the impact of pre-emptive immunosuppression reduction: 5-year results","title-short":"BK-virus and the impact of pre-emptive immunosuppression reduction","volume":"10","author":[{"family":"Hardinger","given":"K. L."},{"family":"Koch","given":"M. J."},{"family":"Bohl","given":"D. J."},{"family":"Storch","given":"G. A."},{"family":"Brennan","given":"D. C."}],"issued":{"date-parts":[["2010",2]]}}}],"schema":"https://github.com/citation-style-language/schema/raw/master/csl-citation.json"} </w:instrText>
      </w:r>
      <w:r>
        <w:fldChar w:fldCharType="separate"/>
      </w:r>
      <w:r w:rsidR="002D20B5" w:rsidRPr="002D20B5">
        <w:rPr>
          <w:rFonts w:ascii="Aptos" w:hAnsi="Aptos" w:cs="Times New Roman"/>
          <w:sz w:val="22"/>
          <w:vertAlign w:val="superscript"/>
        </w:rPr>
        <w:t>326</w:t>
      </w:r>
      <w:r>
        <w:fldChar w:fldCharType="end"/>
      </w:r>
      <w:r w:rsidRPr="00FF3619">
        <w:t>. Common approaches include sequentially reducing/stopping anti-proliferative agents followed by reducing CNI levels in the face of rising viral replication. Specific agents such as intravenous immunoglobulin, quinolones, cidofovir and leflunomide have been shown to have anti-viral activity but there is no definitive evidence to show that they offer any advantage over simply reducing the total immunosuppressive burden</w:t>
      </w:r>
      <w:r>
        <w:t xml:space="preserve"> </w:t>
      </w:r>
      <w:r w:rsidRPr="00FF3619">
        <w:t xml:space="preserve"> </w:t>
      </w:r>
      <w:r>
        <w:fldChar w:fldCharType="begin"/>
      </w:r>
      <w:r w:rsidR="002D20B5">
        <w:instrText xml:space="preserve"> ADDIN ZOTERO_ITEM CSL_CITATION {"citationID":"7HmZZ8PK","properties":{"formattedCitation":"\\super 327,328\\nosupersub{}","plainCitation":"327,328","noteIndex":0},"citationItems":[{"id":19127,"uris":["http://zotero.org/users/3444308/items/ZXKCBU45"],"itemData":{"id":19127,"type":"article-journal","abstract":"BACKGROUND: Polyomavirus BK (BKV) infection can cause nephropathy in the allograft kidney. No well-established drug treatment is available at this time. Human intravenous immunoglobulins (IVIG) have been used as an empiric therapy without proof of effectiveness.\nMETHODS: We tested five lots of commercially available IVIG preparations from two different suppliers for polyomavirus neutralizing activity. BKV and mouse polyomavirus were used to infect human and murine host cells, respectively, with or without prior treatment with IVIG. Neutralization activity was measured by quantitation of viral DNA after 7 days in culture.\nRESULTS: Coincubation of BKV but not mouse polyomavirus with clinically relevant concentrations of IVIG derived from healthy and hepatitis B vaccinated subjects caused more than 90% inhibition of viral DNA yield after 7 days in culture. Consistent with a direct neutralizing mechanism, this effect was significantly diminished if viral infection was performed in immunoglobulin pretreated cells or if immunoglobulin treatment was delayed 2 hr after addition of infectious virus.\nCONCLUSION: Human IVIG preparations contain BKV neutralizing antibodies. Data on neutralizing capacity of these antibodies are presented to aid dose exploration in clinical trials seeking to validate the use of IVIG in patients with BKV infection.","container-title":"Transplantation","DOI":"10.1097/tp.0b013e3181daaaf1","ISSN":"1534-6080","issue":"12","journalAbbreviation":"Transplantation","language":"eng","note":"PMID: 20568674\nPMCID: PMC3075564","page":"1462-1465","source":"PubMed","title":"Polyomavirus BK neutralizing activity in human immunoglobulin preparations","volume":"89","author":[{"family":"Randhawa","given":"Parmjeet S."},{"family":"Schonder","given":"Kristine"},{"family":"Shapiro","given":"Ron"},{"family":"Farasati","given":"Nousha"},{"family":"Huang","given":"Yuchen"}],"issued":{"date-parts":[["2010",6,27]]}}},{"id":19126,"uris":["http://zotero.org/users/3444308/items/JBVDSJNC"],"itemData":{"id":19126,"type":"article-journal","abstract":"BK virus maintains a latent infection that is ubiquitous in humans. It has a propensity for reactivation in the setting of a dysfunctional cellular immune response and is frequently encountered in kidney transplant recipients. Screening for the virus has been effective in preventing progression to nephropathy and graft loss. However, it can be a diagnostic and therapeutic challenge. In this in-depth state-of-the-art review, we will discuss the history of the virus, virology, epidemiology, cellular response, pathogenesis, methods of screening and diagnosis, evidence-based treatment strategies, and upcoming therapeutics, along with the issue of re-transplantation in patients.","container-title":"Viruses","DOI":"10.3390/v14081616","ISSN":"1999-4915","issue":"8","journalAbbreviation":"Viruses","language":"eng","note":"PMID: 35893681\nPMCID: PMC9330039","page":"1616","source":"PubMed","title":"BK Virus Nephropathy in Kidney Transplantation: A State-of-the-Art Review","title-short":"BK Virus Nephropathy in Kidney Transplantation","volume":"14","author":[{"family":"Kant","given":"Sam"},{"family":"Dasgupta","given":"Alana"},{"family":"Bagnasco","given":"Serena"},{"family":"Brennan","given":"Daniel C."}],"issued":{"date-parts":[["2022",7,25]]}}}],"schema":"https://github.com/citation-style-language/schema/raw/master/csl-citation.json"} </w:instrText>
      </w:r>
      <w:r>
        <w:fldChar w:fldCharType="separate"/>
      </w:r>
      <w:r w:rsidR="002D20B5" w:rsidRPr="002D20B5">
        <w:rPr>
          <w:rFonts w:ascii="Aptos" w:hAnsi="Aptos" w:cs="Times New Roman"/>
          <w:sz w:val="22"/>
          <w:vertAlign w:val="superscript"/>
        </w:rPr>
        <w:t>327,328</w:t>
      </w:r>
      <w:r>
        <w:fldChar w:fldCharType="end"/>
      </w:r>
      <w:r w:rsidRPr="00FF3619">
        <w:t>.</w:t>
      </w:r>
    </w:p>
    <w:p w14:paraId="6F32DEA1" w14:textId="040A89E9" w:rsidR="00426BCE" w:rsidRPr="00FF3619" w:rsidRDefault="00426BCE" w:rsidP="00426BCE">
      <w:pPr>
        <w:jc w:val="both"/>
      </w:pPr>
      <w:r w:rsidRPr="00FF3619">
        <w:t>There is no evidence loss of a transplanted kidney, as a result of BKVN, will adversely affect the outcome of subsequent grafts and no special precautions are necessary (e.g. allograft nephrectomy) prior to re-listing</w:t>
      </w:r>
      <w:r>
        <w:t xml:space="preserve"> </w:t>
      </w:r>
      <w:r>
        <w:fldChar w:fldCharType="begin"/>
      </w:r>
      <w:r w:rsidR="002D20B5">
        <w:instrText xml:space="preserve"> ADDIN ZOTERO_ITEM CSL_CITATION {"citationID":"VUcP3Wfw","properties":{"formattedCitation":"\\super 329\\nosupersub{}","plainCitation":"329","noteIndex":0},"citationItems":[{"id":19125,"uris":["http://zotero.org/users/3444308/items/VW4YDDDD"],"itemData":{"id":19125,"type":"article-journal","abstract":"BK virus (BKV) has emerged as a major complication of kidney transplantation. Since June 30, 2004, the OPTN in the USA collects BKV as a primary or secondary cause of graft loss and also if treatment for BK virus (TBKV) is administered. In this study, we determined characteristics of those recipients of repeat kidney transplants from the OPTN database, where either (a) a graft loss occurred between June 30, 2004 and December 31, 2008 and database recorded prior TBKV in that allograft or (b) a graft loss between June 30, 2004 and December 31, 2008 was attributed primarily or secondarily due to BKV. In the study time period, 823 graft losses have occurred where TBKV or graft failure attributable to BKV was reported in prior transplant; of these, 126 have received a retransplant as of June 5, 2009. Induction and maintenance immunosuppression usage mirrored current trends. As of June 5, 2009, 118/126 grafts are still functioning, one graft failure attributed to BKV. TBKV was reported in 17.5% of the retransplants. In the retransplants performed through December 31, 2007, 1-year acute rejection rate was 7%, 1-year and 3-year Kaplan-Meier graft survival rates and median GFR were 98.5%, 93.6%, 65.5 and 68.4 mL/min, respectively. Retransplantation after BKV appears to be associated with good results.","container-title":"American Journal of Transplantation: Official Journal of the American Society of Transplantation and the American Society of Transplant Surgeons","DOI":"10.1111/j.1600-6143.2010.03083.x","ISSN":"1600-6143","issue":"5","journalAbbreviation":"Am J Transplant","language":"eng","note":"PMID: 20353461","page":"1312-1315","source":"PubMed","title":"Retransplantation after BK virus nephropathy in prior kidney transplant: an OPTN database analysis","title-short":"Retransplantation after BK virus nephropathy in prior kidney transplant","volume":"10","author":[{"family":"Dharnidharka","given":"V. R."},{"family":"Cherikh","given":"W. S."},{"family":"Neff","given":"R."},{"family":"Cheng","given":"Y."},{"family":"Abbott","given":"K. C."}],"issued":{"date-parts":[["2010",5]]}}}],"schema":"https://github.com/citation-style-language/schema/raw/master/csl-citation.json"} </w:instrText>
      </w:r>
      <w:r>
        <w:fldChar w:fldCharType="separate"/>
      </w:r>
      <w:r w:rsidR="002D20B5" w:rsidRPr="002D20B5">
        <w:rPr>
          <w:rFonts w:ascii="Aptos" w:hAnsi="Aptos" w:cs="Times New Roman"/>
          <w:sz w:val="22"/>
          <w:vertAlign w:val="superscript"/>
        </w:rPr>
        <w:t>329</w:t>
      </w:r>
      <w:r>
        <w:fldChar w:fldCharType="end"/>
      </w:r>
      <w:r w:rsidRPr="00FF3619">
        <w:t>.</w:t>
      </w:r>
    </w:p>
    <w:p w14:paraId="78852E1E" w14:textId="3871ECAE" w:rsidR="00426BCE" w:rsidRPr="00FF3619" w:rsidRDefault="00426BCE" w:rsidP="00516860">
      <w:pPr>
        <w:pStyle w:val="GuidelineHeadings"/>
      </w:pPr>
      <w:r w:rsidRPr="00FF3619">
        <w:t xml:space="preserve">Guideline </w:t>
      </w:r>
      <w:r w:rsidR="00B361D6">
        <w:t>7</w:t>
      </w:r>
      <w:r w:rsidRPr="00FF3619">
        <w:t xml:space="preserve">.7 – KTR: Pneumocystis </w:t>
      </w:r>
      <w:proofErr w:type="spellStart"/>
      <w:r w:rsidRPr="00FF3619">
        <w:t>jirovecii</w:t>
      </w:r>
      <w:proofErr w:type="spellEnd"/>
      <w:r w:rsidRPr="00FF3619">
        <w:t xml:space="preserve"> infection- treatment and prophylaxis</w:t>
      </w:r>
    </w:p>
    <w:p w14:paraId="32482283" w14:textId="38144326" w:rsidR="00426BCE" w:rsidRPr="00FF3619" w:rsidRDefault="00426BCE" w:rsidP="00516860">
      <w:r w:rsidRPr="00FF3619">
        <w:t xml:space="preserve">Diagnosis of Pneumocystis pneumonia (PCP) requires confirmation by microscopy or PCR from respiratory secretions (induced sputum after inhaled saline or bronchoalveolar lavage). In non-HIV infected individuals, co-trimoxazole has been shown to be effective. Co-trimoxazole has excellent bioavailability and enteral administration is preferred, although intravenous therapy may be necessary in acutely unwell patients. In patients with contraindications to co-trimoxazole, intravenous pentamidine is a suitable alternative although is associated with a higher rate of side effects and should be avoided in patients with pancreas transplants. Alternative agents against pneumocystis </w:t>
      </w:r>
      <w:proofErr w:type="spellStart"/>
      <w:r w:rsidRPr="00FF3619">
        <w:t>jirovecii</w:t>
      </w:r>
      <w:proofErr w:type="spellEnd"/>
      <w:r w:rsidRPr="00FF3619">
        <w:t xml:space="preserve"> include atovaquone, primaquine with clindamycin (although may affect tacrolimus levels) or dapsone with trimethoprim </w:t>
      </w:r>
      <w:r>
        <w:fldChar w:fldCharType="begin"/>
      </w:r>
      <w:r w:rsidR="002D20B5">
        <w:instrText xml:space="preserve"> ADDIN ZOTERO_ITEM CSL_CITATION {"citationID":"qtxXoI2e","properties":{"formattedCitation":"\\super 330\\nosupersub{}","plainCitation":"330","noteIndex":0},"citationItems":[{"id":19124,"uris":["http://zotero.org/users/3444308/items/LYJX2DDZ"],"itemData":{"id":19124,"type":"article-journal","abstract":"These updated guidelines from the Infectious Diseases Community of Practice of the American Society of Transplantation review the diagnosis, prevention, and management of Pneumocystis jiroveci fungal infection transplant recipients. Pneumonia (PJP) may develop via airborne transmission or reactivation of prior infection. Nosocomial clusters of infection have been described among transplant recipients. PJP should not occur during prophylaxis with trimethoprim-sulfamethoxazole (TMP-SMX). Without prophylaxis, PJP risk is greatest in the first 6 months after organ transplantation but may develop later. Risk factors include low lymphocyte counts, cytomegalovirus infection (CMV), hypogammaglobulinemia, treated graft rejection or corticosteroids, and advancing patient age (&gt;65). Presentation typically includes fever, dyspnea with hypoxemia, and cough. Chest radiographic patterns generally reveal diffuse interstitial processes best seen by CT scans. Patients generally have PO2  &lt; 60 mm Hg, elevated serum lactic dehydrogenase (LDH), and elevated serum (1 → 3) β-d-glucan assay. Specific diagnosis uses respiratory specimens with direct immunofluorescent staining; invasive procedures may be required. Quantitative PCR is a useful adjunct to diagnosis. TMP-SMX is the drug of choice for therapy; drug allergy should be documented before resorting to alternative therapies. Adjunctive corticosteroids may be useful early. Routine PJP prophylaxis is recommended for at least 6-12 months post-transplant, preferably with TMP-SMX.","container-title":"Clinical Transplantation","DOI":"10.1111/ctr.13587","ISSN":"1399-0012","issue":"9","journalAbbreviation":"Clin Transplant","language":"eng","note":"PMID: 31077616","page":"e13587","source":"PubMed","title":"Pneumocystis jiroveci in solid organ transplantation: Guidelines from the American Society of Transplantation Infectious Diseases Community of Practice","title-short":"Pneumocystis jiroveci in solid organ transplantation","volume":"33","author":[{"family":"Fishman","given":"Jay A."},{"family":"Gans","given":"Hayley"},{"literal":"AST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330</w:t>
      </w:r>
      <w:r>
        <w:fldChar w:fldCharType="end"/>
      </w:r>
      <w:r w:rsidRPr="00FF3619">
        <w:t>. Therapy should be continued for 14 to 21 days. The use of additional glucocorticoid therapy is not associated with improved survival in non-HIV patients, although treatment with prednisolone has been associated with quicker recovery from severe PCP infection in one small observational study</w:t>
      </w:r>
      <w:r w:rsidRPr="00FF3619">
        <w:rPr>
          <w:vertAlign w:val="superscript"/>
        </w:rPr>
        <w:t xml:space="preserve"> </w:t>
      </w:r>
      <w:r>
        <w:rPr>
          <w:vertAlign w:val="superscript"/>
        </w:rPr>
        <w:fldChar w:fldCharType="begin"/>
      </w:r>
      <w:r w:rsidR="002D20B5">
        <w:rPr>
          <w:vertAlign w:val="superscript"/>
        </w:rPr>
        <w:instrText xml:space="preserve"> ADDIN ZOTERO_ITEM CSL_CITATION {"citationID":"pCBYD861","properties":{"formattedCitation":"\\super 331\\nosupersub{}","plainCitation":"331","noteIndex":0},"citationItems":[{"id":19123,"uris":["http://zotero.org/users/3444308/items/XYKYR8IG"],"itemData":{"id":19123,"type":"article-journal","abstract":"INTRODUCTION: The clinical benefits of adjunctive corticosteroids for Pneumocystis jirovecii (P. jirovecii) pneumonia in patients not infected with the human immunodeficiency virus (HIV) has not been evaluated by meta-analysis.\nMETHODS: We conducted a systematic review of published studies describing the effects of adjunctive corticosteroids on outcome in non-HIV P. jirovecii pneumonia patients. Two investigators independently searched the PubMed and Cochrane databases for eligible articles written in English. A meta-analysis was performed using a random-effects model for measuring mortality as the primary outcome, and the need for intubation or mechanical ventilation as the secondary outcome.\nRESULTS: Seven observational studies were eligible. In these studies, adjunctive corticosteroids did not affect mortality in non-HIV patients (odds ratio [OR] 1.26; 95% CI 0.60-2.67) and there was no beneficial effect in patients with severe hypoxemia (PaO2&lt;70mmHg) (OR 0.90; 95% CI 0.44-1.83). No significant effect on the secondary outcome was observed (OR 1.34; 95% CI 0.44-4.11).\nCONCLUSIONS: Although the studies were observational, meta-analysis showed that adjunctive corticosteroids did not improve the outcome of P. jirovecii pneumonia in non-HIV patients. The results warrant a randomized controlled trial.","container-title":"Archivos De Bronconeumologia","DOI":"10.1016/j.arbres.2016.06.016","ISSN":"1579-2129","issue":"2","journalAbbreviation":"Arch Bronconeumol","language":"eng, spa","note":"PMID: 27616706","page":"55-61","source":"PubMed","title":"Adjunctive Corticosteroids for Pneumocystis jirovecii Pneumonia in Non-HIV-infected Patients: A Systematic Review and Meta-analysis of Observational Studies","title-short":"Adjunctive Corticosteroids for Pneumocystis jirovecii Pneumonia in Non-HIV-infected Patients","volume":"53","author":[{"family":"Fujikura","given":"Yuji"},{"family":"Manabe","given":"Toshie"},{"family":"Kawana","given":"Akihiko"},{"family":"Kohno","given":"Shigeru"}],"issued":{"date-parts":[["2017",2]]}}}],"schema":"https://github.com/citation-style-language/schema/raw/master/csl-citation.json"} </w:instrText>
      </w:r>
      <w:r>
        <w:rPr>
          <w:vertAlign w:val="superscript"/>
        </w:rPr>
        <w:fldChar w:fldCharType="separate"/>
      </w:r>
      <w:r w:rsidR="002D20B5" w:rsidRPr="002D20B5">
        <w:rPr>
          <w:rFonts w:ascii="Aptos" w:hAnsi="Aptos" w:cs="Times New Roman"/>
          <w:sz w:val="22"/>
          <w:vertAlign w:val="superscript"/>
        </w:rPr>
        <w:t>331</w:t>
      </w:r>
      <w:r>
        <w:rPr>
          <w:vertAlign w:val="superscript"/>
        </w:rPr>
        <w:fldChar w:fldCharType="end"/>
      </w:r>
      <w:r w:rsidRPr="00FF3619">
        <w:t xml:space="preserve">. Due to poor outcomes in hypoxic patients, corticosteroids are suggested in this group and should be started ideally within 72 hours of starting antimicrobial therapy </w:t>
      </w:r>
      <w:r>
        <w:fldChar w:fldCharType="begin"/>
      </w:r>
      <w:r w:rsidR="002D20B5">
        <w:instrText xml:space="preserve"> ADDIN ZOTERO_ITEM CSL_CITATION {"citationID":"RijgCGQh","properties":{"formattedCitation":"\\super 330\\nosupersub{}","plainCitation":"330","noteIndex":0},"citationItems":[{"id":19124,"uris":["http://zotero.org/users/3444308/items/LYJX2DDZ"],"itemData":{"id":19124,"type":"article-journal","abstract":"These updated guidelines from the Infectious Diseases Community of Practice of the American Society of Transplantation review the diagnosis, prevention, and management of Pneumocystis jiroveci fungal infection transplant recipients. Pneumonia (PJP) may develop via airborne transmission or reactivation of prior infection. Nosocomial clusters of infection have been described among transplant recipients. PJP should not occur during prophylaxis with trimethoprim-sulfamethoxazole (TMP-SMX). Without prophylaxis, PJP risk is greatest in the first 6 months after organ transplantation but may develop later. Risk factors include low lymphocyte counts, cytomegalovirus infection (CMV), hypogammaglobulinemia, treated graft rejection or corticosteroids, and advancing patient age (&gt;65). Presentation typically includes fever, dyspnea with hypoxemia, and cough. Chest radiographic patterns generally reveal diffuse interstitial processes best seen by CT scans. Patients generally have PO2  &lt; 60 mm Hg, elevated serum lactic dehydrogenase (LDH), and elevated serum (1 → 3) β-d-glucan assay. Specific diagnosis uses respiratory specimens with direct immunofluorescent staining; invasive procedures may be required. Quantitative PCR is a useful adjunct to diagnosis. TMP-SMX is the drug of choice for therapy; drug allergy should be documented before resorting to alternative therapies. Adjunctive corticosteroids may be useful early. Routine PJP prophylaxis is recommended for at least 6-12 months post-transplant, preferably with TMP-SMX.","container-title":"Clinical Transplantation","DOI":"10.1111/ctr.13587","ISSN":"1399-0012","issue":"9","journalAbbreviation":"Clin Transplant","language":"eng","note":"PMID: 31077616","page":"e13587","source":"PubMed","title":"Pneumocystis jiroveci in solid organ transplantation: Guidelines from the American Society of Transplantation Infectious Diseases Community of Practice","title-short":"Pneumocystis jiroveci in solid organ transplantation","volume":"33","author":[{"family":"Fishman","given":"Jay A."},{"family":"Gans","given":"Hayley"},{"literal":"AST Infectious Diseases Community of Practice"}],"issued":{"date-parts":[["2019",9]]}}}],"schema":"https://github.com/citation-style-language/schema/raw/master/csl-citation.json"} </w:instrText>
      </w:r>
      <w:r>
        <w:fldChar w:fldCharType="separate"/>
      </w:r>
      <w:r w:rsidR="002D20B5" w:rsidRPr="002D20B5">
        <w:rPr>
          <w:rFonts w:ascii="Aptos" w:hAnsi="Aptos" w:cs="Times New Roman"/>
          <w:sz w:val="22"/>
          <w:vertAlign w:val="superscript"/>
        </w:rPr>
        <w:t>330</w:t>
      </w:r>
      <w:r>
        <w:fldChar w:fldCharType="end"/>
      </w:r>
      <w:r w:rsidRPr="00FF3619">
        <w:t>.</w:t>
      </w:r>
    </w:p>
    <w:p w14:paraId="1460BC68" w14:textId="7FDDD5AA" w:rsidR="00426BCE" w:rsidRPr="00FF3619" w:rsidRDefault="00426BCE" w:rsidP="00516860">
      <w:pPr>
        <w:rPr>
          <w:i/>
        </w:rPr>
      </w:pPr>
      <w:r w:rsidRPr="00FF3619">
        <w:t xml:space="preserve">PCP prophylaxis with co-trimoxazole is recommended and has shown to be beneficial in a meta-analysis of 13 randomised studies in 1412 immunocompromised individuals. In 10 of the trials (n=1000) comparing co-trimoxazole to no treatment or fluroquinolones, an 85% reduction in the occurrence of PCP in KTRs receiving prophylaxis with co-trimoxazole, RR of </w:t>
      </w:r>
      <w:r w:rsidRPr="00FF3619">
        <w:lastRenderedPageBreak/>
        <w:t>0.15 (95% CI 0.04 to 0.62) was found. Two trials (207 patients) looked at co-trimoxazole dosing and found no differences between once daily versus thrice weekly dosing</w:t>
      </w:r>
      <w:r>
        <w:t xml:space="preserve"> </w:t>
      </w:r>
      <w:r>
        <w:fldChar w:fldCharType="begin"/>
      </w:r>
      <w:r w:rsidR="002D20B5">
        <w:instrText xml:space="preserve"> ADDIN ZOTERO_ITEM CSL_CITATION {"citationID":"QILQUipy","properties":{"formattedCitation":"\\super 332\\nosupersub{}","plainCitation":"332","noteIndex":0},"citationItems":[{"id":19122,"uris":["http://zotero.org/users/3444308/items/25ASLGRY"],"itemData":{"id":19122,"type":"article-journal","abstract":"BACKGROUND: Pneumocystis pneumonia (PCP) is a disease affecting immunocompromised patients. PCP among these patients is associated with significant morbidity and mortality.\nOBJECTIVES: To assess the effectiveness of PCP prophylaxis among non-HIV immunocompromised patients; and to define the type of immunocompromised patient for whom evidence suggests a benefit for PCP prophylaxis.\nSEARCH METHODS: Electronic searches of the Cochrane Central Register of Controlled Trials (CENTRAL) (The Cochrane Library 2014, Issue 1), MEDLINE and EMBASE (to March 2014), LILACS (to March 2014), relevant conference proceedings; and references of identified trials.\nSELECTION CRITERIA: Randomised controlled trials (RCTs) or quasi-RCTs comparing prophylaxis with an antibiotic effective against PCP versus placebo, no intervention, or antibiotic(s) with no activity against PCP; and trials comparing different antibiotics effective against PCP among immunocompromised non-HIV patients. We only included trials in which Pneumocystis infections were available as an outcome.\nDATA COLLECTION AND ANALYSIS: Two review authors independently assessed risk of bias in each trial and extracted data from the included trials. We contacted authors of the included trials to obtain missing data. The primary outcome was documented PCP infections. Risk ratios (RR) with 95% confidence intervals (CI) were estimated and pooled using the random-effects model.\nMAIN RESULTS: Thirteen trials performed between the years 1974 and 2008 were included, involving 1412 patients. Four trials included 520 children with acute lymphoblastic leukemia and the remaining trials included adults with acute leukemia, solid organ transplantation or autologous bone marrow transplantation. Compared to no treatment or treatment with fluoroquinolones (inactive against Pneumocystis), there was an 85% reduction in the occurrence of PCP in patients receiving prophylaxis with trimethoprim/sulfamethoxazole, RR of 0.15 (95% CI 0.04 to 0.62; 10 trials, 1000 patients). The evidence was graded as moderate due to possible risk of bias. PCP-related mortality was also significantly reduced, RR of 0.17 (95% CI 0.03 to 0.94; nine trials, 886 patients) (low quality of evidence due to possible risk of bias and imprecision), but in trials comparing PCP prophylaxis against placebo or no treatment there was no significant effect on all-cause mortality (low quality of evidence due to imprecision). Occurrence of leukopenia or neutropenia and their duration were not reported consistently. No significant differences in overall adverse events or events requiring discontinuation were seen comparing trimethoprim/sulfamethoxazole to no treatment or placebo (four trials, 470 patients, moderate quality evidence). No differences between once daily versus thrice weekly trimethoprim/sulfamethoxazole were seen (two trials, 207 patients).\nAUTHORS' CONCLUSIONS: Given an event rate of 6.2% in the control groups of the included trials, prophylaxis for PCP using trimethoprim/sulfamethoxazole is highly effective among non-HIV immunocompromised patients, with a number needed to treat to prevent PCP of 19 patients (95% CI 17 to 42). Prophylaxis should be considered for patients with a similar baseline risk of PCP.","container-title":"The Cochrane Database of Systematic Reviews","DOI":"10.1002/14651858.CD005590.pub3","ISSN":"1469-493X","issue":"10","journalAbbreviation":"Cochrane Database Syst Rev","language":"eng","note":"PMID: 25269391\nPMCID: PMC6457644","page":"CD005590","source":"PubMed","title":"Prophylaxis for Pneumocystis pneumonia (PCP) in non-HIV immunocompromised patients","volume":"2014","author":[{"family":"Stern","given":"Anat"},{"family":"Green","given":"Hefziba"},{"family":"Paul","given":"Mical"},{"family":"Vidal","given":"Liat"},{"family":"Leibovici","given":"Leonard"}],"issued":{"date-parts":[["2014",10,1]]}}}],"schema":"https://github.com/citation-style-language/schema/raw/master/csl-citation.json"} </w:instrText>
      </w:r>
      <w:r>
        <w:fldChar w:fldCharType="separate"/>
      </w:r>
      <w:r w:rsidR="002D20B5" w:rsidRPr="002D20B5">
        <w:rPr>
          <w:rFonts w:ascii="Aptos" w:hAnsi="Aptos" w:cs="Times New Roman"/>
          <w:sz w:val="22"/>
          <w:vertAlign w:val="superscript"/>
        </w:rPr>
        <w:t>332</w:t>
      </w:r>
      <w:r>
        <w:fldChar w:fldCharType="end"/>
      </w:r>
      <w:r w:rsidRPr="00FF3619">
        <w:t xml:space="preserve">. </w:t>
      </w:r>
    </w:p>
    <w:p w14:paraId="56A22EC2" w14:textId="45CFAB1F" w:rsidR="00426BCE" w:rsidRPr="00FF3619" w:rsidRDefault="00426BCE" w:rsidP="00516860">
      <w:pPr>
        <w:pStyle w:val="GuidelineHeadings"/>
      </w:pPr>
      <w:r w:rsidRPr="00FF3619">
        <w:t xml:space="preserve">Guideline </w:t>
      </w:r>
      <w:r w:rsidR="00B361D6">
        <w:t>7</w:t>
      </w:r>
      <w:r w:rsidRPr="00FF3619">
        <w:t xml:space="preserve">.8 – KTR: Post-transplant infection prophylaxis </w:t>
      </w:r>
    </w:p>
    <w:p w14:paraId="59441EE7" w14:textId="7378271C" w:rsidR="00426BCE" w:rsidRPr="00FF3619" w:rsidRDefault="00426BCE" w:rsidP="00516860">
      <w:r w:rsidRPr="00FF3619">
        <w:t>In addition to benefit for PCP, there is good evidence that co-trimoxazole provides effective prophylaxis against urinary tract infections after renal transplantation</w:t>
      </w:r>
      <w:r>
        <w:t xml:space="preserve"> </w:t>
      </w:r>
      <w:r>
        <w:fldChar w:fldCharType="begin"/>
      </w:r>
      <w:r w:rsidR="002D20B5">
        <w:instrText xml:space="preserve"> ADDIN ZOTERO_ITEM CSL_CITATION {"citationID":"Te1ECrr6","properties":{"formattedCitation":"\\super 333\\nosupersub{}","plainCitation":"333","noteIndex":0},"citationItems":[{"id":19121,"uris":["http://zotero.org/users/3444308/items/R73KQPHH"],"itemData":{"id":19121,"type":"article-journal","abstract":"PURPOSE: To determine the efficacy of long-term prophylaxis with trimethoprim-sulfamethoxazole (TMP-SMZ) for prevention of bacterial infection following renal transplantation, the absorption of TMP-SMZ in transplant patients, the effects of prophylaxis on the microflora, and the cost-benefit of prophylaxis.\nPATIENTS AND METHODS: One hundred thirty-two adult patients selected to undergo renal transplantation participated in a randomized, double-blind, placebo-controlled trial.\nRESULTS: Patients randomized to receive TMP-SMZ experienced fewer hospital days with fever (3.3% versus 7.7%, p less than 0.001) and significantly fewer bacterial infections during the transplant hospitalization after removal of a urethral catheter (0.76 versus 1.88 per 100 days, p less than 0.005) and following discharge from the hospital (0.08 versus 0.30 per 100 days, p less than 0.001). During the transplant hospitalization, a daily dose of 320/1,600 mg was highly effective for prophylaxis whereas 160/800 mg daily gave unexpectedly low blood levels and was effective only for prevention of urinary tract infections after catheter removal. Prophylaxis was most effective in prevention of infections of the urinary tract (24 versus 54, p less than 0.005) and bloodstream (one versus nine, p less than 0.01) and infections caused by enteric gram-negative bacilli (four versus 46, p less than 0.001), enterococci (six versus 22, p = 0.006), or Staphylococcus aureus (one versus nine, p = 0.01). Prophylaxis did not prevent urinary tract infection associated with urethral catheters in the early posttransplant period, but after catheter removal, reduced the risk of urinary tract infection threefold (p less than 0.001). No significant differences in colonization by TMP-SMZ-resistant gram-negative bacilli were identified between the two groups; patients given TMP-SMZ were, paradoxically, less likely to become colonized by candida, probably because of less exposure to antibiotics for treatment of infection. Recipients of prophylaxis did not have a higher rate of infection caused by TMP-SMZ-resistant bacteria or Candida; however, their infections were more likely to be caused by resistant bacteria than infections in patients in the placebo group (62% versus 18%, p less than 0.001).\nCONCLUSIONS: Prophylaxis with TMP-SMZ, which is well tolerated, significantly reduces the incidence of bacterial infection following renal transplantation, especially infection of the urinary tract and bloodstream, can provide protection against Pneumocystis carinii pneumonia, and is cost-beneficial. Subnormal absorption of TMP-SMZ in the early posttransplant period mandates 320/1,600 mg daily for optimal benefit. Prophylaxis has little discernible effect on the microflora.","container-title":"The American Journal of Medicine","DOI":"10.1016/0002-9343(90)90337-d","ISSN":"0002-9343","issue":"3","journalAbbreviation":"Am J Med","language":"eng","note":"PMID: 2118307","page":"255-274","source":"PubMed","title":"A prospective, randomized, double-blind study of trimethoprim-sulfamethoxazole for prophylaxis of infection in renal transplantation: clinical efficacy, absorption of trimethoprim-sulfamethoxazole, effects on the microflora, and the cost-benefit of prophylaxis","title-short":"A prospective, randomized, double-blind study of trimethoprim-sulfamethoxazole for prophylaxis of infection in renal transplantation","volume":"89","author":[{"family":"Fox","given":"B. C."},{"family":"Sollinger","given":"H. W."},{"family":"Belzer","given":"F. O."},{"family":"Maki","given":"D. G."}],"issued":{"date-parts":[["1990",9]]}}}],"schema":"https://github.com/citation-style-language/schema/raw/master/csl-citation.json"} </w:instrText>
      </w:r>
      <w:r>
        <w:fldChar w:fldCharType="separate"/>
      </w:r>
      <w:r w:rsidR="002D20B5" w:rsidRPr="002D20B5">
        <w:rPr>
          <w:rFonts w:ascii="Aptos" w:hAnsi="Aptos" w:cs="Times New Roman"/>
          <w:sz w:val="22"/>
          <w:vertAlign w:val="superscript"/>
        </w:rPr>
        <w:t>333</w:t>
      </w:r>
      <w:r>
        <w:fldChar w:fldCharType="end"/>
      </w:r>
      <w:r w:rsidRPr="00FF3619">
        <w:t xml:space="preserve">. Alternatives include cephalosporins and fluoroquinolones. Alternative agents against pneumocystis </w:t>
      </w:r>
      <w:proofErr w:type="spellStart"/>
      <w:r w:rsidRPr="00FF3619">
        <w:t>jirovecii</w:t>
      </w:r>
      <w:proofErr w:type="spellEnd"/>
      <w:r w:rsidRPr="00FF3619">
        <w:t xml:space="preserve"> include dapsone, atovaquone or aerosolized pentamidine. </w:t>
      </w:r>
    </w:p>
    <w:p w14:paraId="49C7CC3E" w14:textId="2F557A0B" w:rsidR="00426BCE" w:rsidRPr="00FF3619" w:rsidRDefault="00426BCE" w:rsidP="00516860">
      <w:r w:rsidRPr="00FF3619">
        <w:t>Candida infection is common after renal transplantation and can cause considerable morbidity. It is usually acquired from colonisation of the oral mucosa and so topical oral preparations offer a simple form of prevention without the potential toxicity of systemic preparations</w:t>
      </w:r>
      <w:r>
        <w:t xml:space="preserve"> </w:t>
      </w:r>
      <w:r>
        <w:fldChar w:fldCharType="begin"/>
      </w:r>
      <w:r w:rsidR="002D20B5">
        <w:instrText xml:space="preserve"> ADDIN ZOTERO_ITEM CSL_CITATION {"citationID":"XYWkrXdA","properties":{"formattedCitation":"\\super 334\\nosupersub{}","plainCitation":"334","noteIndex":0},"citationItems":[{"id":19120,"uris":["http://zotero.org/users/3444308/items/NABGPVCZ"],"itemData":{"id":19120,"type":"article-journal","abstract":"Despite significant advances in the diagnosis, prevention, and treatment of fungal infection in transplant recipients, this infection complication remains a major cause of morbidity and mortality. Our understanding of the pathogenesis of the different fungal microorganisms has enabled us to identify patients at risk for such infections. While Candida infection remains a major complication in patients with intra-abdominal solid organ transplantations in which the bowel is surgically manipulated, Aspergillus infection remains the main fungal complication in lung transplantation recipients. The incidence of all types of fungal infection remains around 5-10%, while mortality following Aspergillus infection remains around 70%. Suppression of Candida growth at the time of surgical manipulation of the bowel should be the mainstay of prevention of this infection in intra-abdominal organ transplantation. Fluconazole is effective and relatively safe at 100-400 mg daily for the first 1-3 months post-liver transplantation. Prevention strategies toward Aspergillus infections remain elusive, but a number of manipulations, such as inhaled liposomal preparations post-organ transplantation or the preemptive use or universal prophylaxis of itraconazole are being validated. The next step is to determine the clinical value of molecular diagnostic techniques for the identification and preemptive therapy of patients at risk for the variety fungal infections.","container-title":"Transplant Infectious Disease: An Official Journal of the Transplantation Society","DOI":"10.1034/j.1399-3062.4.s3.7.x","ISSN":"1398-2273","journalAbbreviation":"Transpl Infect Dis","language":"eng","note":"PMID: 12486792","page":"46-51","source":"PubMed","title":"Prevention of fungal infection in transplantation","volume":"4 Suppl 3","author":[{"family":"Paya","given":"C. V."}],"issued":{"date-parts":[["2002"]]}}}],"schema":"https://github.com/citation-style-language/schema/raw/master/csl-citation.json"} </w:instrText>
      </w:r>
      <w:r>
        <w:fldChar w:fldCharType="separate"/>
      </w:r>
      <w:r w:rsidR="002D20B5" w:rsidRPr="002D20B5">
        <w:rPr>
          <w:rFonts w:ascii="Aptos" w:hAnsi="Aptos" w:cs="Times New Roman"/>
          <w:sz w:val="22"/>
          <w:vertAlign w:val="superscript"/>
        </w:rPr>
        <w:t>334</w:t>
      </w:r>
      <w:r>
        <w:fldChar w:fldCharType="end"/>
      </w:r>
      <w:r w:rsidRPr="00FF3619">
        <w:t xml:space="preserve">. </w:t>
      </w:r>
    </w:p>
    <w:p w14:paraId="10F3496F" w14:textId="764E7353" w:rsidR="00516860" w:rsidRDefault="00426BCE" w:rsidP="00516860">
      <w:r w:rsidRPr="00FF3619">
        <w:t>Tuberculosis in KTRs is usually due to reactivation of quiescent disease under the influence of immunosuppression. In other immunosuppressed populations, treatment of latent TB prevents progression to clinically active TB. Cochrane Database review and recent metanalyses recommend prophylaxis with isoniazid (for up to 1 year) in selected recipients at high risk of TB with careful monitoring of liver function, especially in patients who are hepatitis B and C positive</w:t>
      </w:r>
      <w:r>
        <w:t xml:space="preserve"> </w:t>
      </w:r>
      <w:r>
        <w:fldChar w:fldCharType="begin"/>
      </w:r>
      <w:r w:rsidR="002D20B5">
        <w:instrText xml:space="preserve"> ADDIN ZOTERO_ITEM CSL_CITATION {"citationID":"CEblszKy","properties":{"formattedCitation":"\\super 335,336\\nosupersub{}","plainCitation":"335,336","noteIndex":0},"citationItems":[{"id":19118,"uris":["http://zotero.org/users/3444308/items/RHTHUB32"],"itemData":{"id":19118,"type":"article-journal","abstract":"BACKGROUND: Organ transplant recipients are at increased risk of infection as a result of immunosuppression caused inadvertently by medical treatment. Tuberculosis (TB) is a challenging infection to manage among organ transplant recipients that can be transmitted from infected people or triggered from latent infection. Organ transplant recipients have been reported to be up to 300 times more likely to develop TB than the general population. Consensus about the use of antibiotic prophylaxis to prevent post solid organ transplant TB has not been achieved.\nOBJECTIVES: This review assessed the benefits and harms of antibiotic prophylaxis to prevent post solid organ transplant TB.\nSEARCH METHODS: We searched the Cochrane Renal Group's Specialised Register up to 30 April 2013 through contact with the Trials' Search Co-ordinator using search terms relevant to this review. Studies contained in the Specialised Register are identified through search strategies specifically designed for CENTRAL, MEDLINE and EMBASE and handsearching conference proceedings.\nSELECTION CRITERIA: All randomised controlled trials (RCTs) and quasi-RCTs that compared antibiotic prophylaxis with a placebo or no intervention for recipients of solid organ transplants were included.\nDATA COLLECTION AND ANALYSIS: Two authors independently assessed studies for inclusion and extracted data. We derived risk ratios (RR) for dichotomous data and mean differences (MD) for continuous data with 95% confidence intervals (CI). Methodological risk of bias was assessed using the Cochrane risk of bias tool.\nMAIN RESULTS: We identified three studies (10 reports) that involved 558 kidney transplant recipients which met our inclusion criteria. All studies were conducted in countries that have high prevalence of TB (India and Pakistan), and investigated isoniazid, an oral antibacterial drug. Control in all studies was no antibiotic prophylaxis. Prophylactic administration of isoniazid reduced the risk of developing TB post-transplant (3 studies, RR 0.35 95% CI 0.14 to 0.89), and there was no significant effect on all-cause mortality (2 studies, RR 1.39, 95% CI 0.70 to 2.78). There was however substantial risk of liver damage (3 studies, RR 2.74, 95% CI 1.22 to 6.17).Reporting of methodological quality parameters was incomplete in all three studies. Overall, risk of bias was assessed as suboptimal.\nAUTHORS' CONCLUSIONS: Isoniazid prophylaxis for kidney transplant recipients reduced the risk of developing TB post-transplant. Kidney transplant recipients in settings that have high prevalence of TB should receive isoniazid during the first year following transplant. There is however, significant risk of liver damage, particularly among those who are hepatitis B or C positive. Further studies are needed among recipients of other solid organ transplants and in settings with low prevalence of TB to determine the benefits and harms of anti-TB prophylaxis in those populations.","container-title":"The Cochrane Database of Systematic Reviews","DOI":"10.1002/14651858.CD008597.pub2","ISSN":"1469-493X","issue":"3","journalAbbreviation":"Cochrane Database Syst Rev","language":"eng","note":"PMID: 24590589\nPMCID: PMC6464846","page":"CD008597","source":"PubMed","title":"Antibiotic prophylaxis for preventing post solid organ transplant tuberculosis","volume":"2014","author":[{"family":"Adamu","given":"Bappa"},{"family":"Abdu","given":"Aliyu"},{"family":"Abba","given":"Abdullahi A."},{"family":"Borodo","given":"Musa M."},{"family":"Tleyjeh","given":"Imad M."}],"issued":{"date-parts":[["2014",3,4]]}}},{"id":19119,"uris":["http://zotero.org/users/3444308/items/LXHWDQ8T"],"itemData":{"id":19119,"type":"article-journal","abstract":"Background: A systematic review and meta-analysis was performed to investigate the efficacy and safety of isoniazid (INH) prophylaxis to prevent tuberculosis (TB) infection in kidney transplant recipients (KTRs). Methods: Web of Science, SCOPUS, and PubMed were searched to identify relevant studies that compared the effects among patients who received INH prophylaxis after transplantation. Results: A total of 13 studies (involving 6,547 KTRs) were included in our analysis. We found that the risk of active TB infection (RR: 0.35, 95%CI 0.27-0.45, p &lt; 0.01) for KTRs was lower in the INH treatment group than in those without prophylaxis. However, there was no significant difference between the two groups in mortality (RR: 0.93, 95%CI 0.67-1.28, p = 0.64), acute rejection (RR: 0.82, 95%CI 0.44-1.51, p = 0.52), and hepatotoxicity (RR: 1.25, 95%CI 0.94-1.65, p = 0.12). Conclusion: Isoniazid prophylaxis is a safe and effective for KTRs on reactivation of latent TB infection.","container-title":"Frontiers in Pharmacology","DOI":"10.3389/fphar.2023.1022579","ISSN":"1663-9812","journalAbbreviation":"Front Pharmacol","language":"eng","note":"PMID: 37007009\nPMCID: PMC10060851","page":"1022579","source":"PubMed","title":"Chemoprophylaxis for the prevention of tuberculosis in kidney transplant recipients: A systematic review and meta-analysis","title-short":"Chemoprophylaxis for the prevention of tuberculosis in kidney transplant recipients","volume":"14","author":[{"family":"Yuan","given":"Zhihui"},{"family":"Chao","given":"Sheng"},{"family":"Xu","given":"Yuan"},{"family":"Niu","given":"Yulin"}],"issued":{"date-parts":[["2023"]]}}}],"schema":"https://github.com/citation-style-language/schema/raw/master/csl-citation.json"} </w:instrText>
      </w:r>
      <w:r>
        <w:fldChar w:fldCharType="separate"/>
      </w:r>
      <w:r w:rsidR="002D20B5" w:rsidRPr="002D20B5">
        <w:rPr>
          <w:rFonts w:ascii="Aptos" w:hAnsi="Aptos" w:cs="Times New Roman"/>
          <w:sz w:val="22"/>
          <w:vertAlign w:val="superscript"/>
        </w:rPr>
        <w:t>335,336</w:t>
      </w:r>
      <w:r>
        <w:fldChar w:fldCharType="end"/>
      </w:r>
      <w:r>
        <w:t>.</w:t>
      </w:r>
    </w:p>
    <w:p w14:paraId="269B3785" w14:textId="77777777" w:rsidR="00516860" w:rsidRDefault="00516860">
      <w:r>
        <w:br w:type="page"/>
      </w:r>
    </w:p>
    <w:p w14:paraId="7FCAC70C" w14:textId="194BE7B9" w:rsidR="00426BCE" w:rsidRPr="00FF3619" w:rsidRDefault="009B0CA8" w:rsidP="00516860">
      <w:pPr>
        <w:pStyle w:val="GuidelineUpperHeadings"/>
      </w:pPr>
      <w:bookmarkStart w:id="31" w:name="_Toc213749041"/>
      <w:r>
        <w:lastRenderedPageBreak/>
        <w:t>8</w:t>
      </w:r>
      <w:r w:rsidR="00426BCE" w:rsidRPr="00FF3619">
        <w:t>. Kidney Transplant Recipient (KTR): Bone and Joint disease (Guidelines 9.1-8.7)</w:t>
      </w:r>
      <w:bookmarkEnd w:id="31"/>
    </w:p>
    <w:p w14:paraId="214325F3" w14:textId="3F589FB4" w:rsidR="00426BCE" w:rsidRPr="00FF3619" w:rsidRDefault="00426BCE" w:rsidP="00516860">
      <w:pPr>
        <w:pStyle w:val="GuidelineHeadings"/>
      </w:pPr>
      <w:r w:rsidRPr="00FF3619">
        <w:t xml:space="preserve">Guideline </w:t>
      </w:r>
      <w:r w:rsidR="00B361D6">
        <w:t>8</w:t>
      </w:r>
      <w:r w:rsidRPr="00FF3619">
        <w:t>.</w:t>
      </w:r>
      <w:r w:rsidR="00516860">
        <w:t xml:space="preserve">1 </w:t>
      </w:r>
      <w:r w:rsidR="00516860" w:rsidRPr="00FF3619">
        <w:t>–</w:t>
      </w:r>
      <w:r w:rsidRPr="00FF3619">
        <w:t xml:space="preserve"> KTR: Osteoporosis</w:t>
      </w:r>
    </w:p>
    <w:p w14:paraId="097A12BB" w14:textId="6F667FAA" w:rsidR="00426BCE" w:rsidRPr="003701E2" w:rsidRDefault="00426BCE" w:rsidP="00426BCE">
      <w:pPr>
        <w:jc w:val="both"/>
      </w:pPr>
      <w:r w:rsidRPr="003701E2">
        <w:t>All KTRs have a complex bone disorder whereby the effects of immunosuppression are superimposed on an underlying Chronic Kidney Disease Mineral and Bone Disorder (CKD-MBD). Any guidance should be used in conjunction with existing national and international guidelines for CKD-MBD including KDIGO</w:t>
      </w:r>
      <w:r>
        <w:t xml:space="preserve"> </w:t>
      </w:r>
      <w:r>
        <w:fldChar w:fldCharType="begin"/>
      </w:r>
      <w:r w:rsidR="002D20B5">
        <w:instrText xml:space="preserve"> ADDIN ZOTERO_ITEM CSL_CITATION {"citationID":"ikgSB2UQ","properties":{"formattedCitation":"\\super 337,338\\nosupersub{}","plainCitation":"337,338","noteIndex":0},"citationItems":[{"id":19084,"uris":["http://zotero.org/users/3444308/items/57HWUC23","http://zotero.org/users/3444308/items/YEE74S5Q"],"itemData":{"id":19084,"type":"article-journal","container-title":"Kidney International Supplements","DOI":"10.1016/j.kisu.2017.04.001","ISSN":"2157-1724","issue":"1","journalAbbreviation":"Kidney Int Suppl (2011)","language":"eng","note":"PMID: 30675420\nPMCID: PMC6340919","page":"1-59","source":"PubMed","title":"KDIGO 2017 Clinical Practice Guideline Update for the Diagnosis, Evaluation, Prevention, and Treatment of Chronic Kidney Disease-Mineral and Bone Disorder (CKD-MBD)","volume":"7","author":[{"literal":"Kidney Disease: Improving Global Outcomes (KDIGO) CKD-MBD Update Work Group"}],"issued":{"date-parts":[["2017",7]]}}},{"id":19117,"uris":["http://zotero.org/users/3444308/items/5I787I7A"],"itemData":{"id":19117,"type":"article-journal","abstract":"Controlling the excessive fracture burden in patients with chronic kidney disease (CKD) Stages G4-G5D remains an impressive challenge. The reasons are 2-fold. First, the pathophysiology of bone fragility in patients with CKD G4-G5D is complex and multifaceted, comprising a mixture of age-related (primary male/postmenopausal), drug-induced and CKD-related bone abnormalities. Second, our current armamentarium of osteoporosis medications has not been developed for, or adequately studied in patients with CKD G4-G5D, partly related to difficulties in diagnosing osteoporosis in this specific setting and fear of complications. Doubts about the optimal diagnostic and therapeutic approach fuel inertia in daily clinical practice. The scope of the present consensus paper is to review and update the assessment and diagnosis of osteoporosis in patients with CKD G4-G5D and to discuss the therapeutic interventions available and the manner in which these can be used to develop management strategies for the prevention of fragility fracture. As such, it aims to stimulate a cohesive approach to the management of osteoporosis in patients with CKD G4-G5D to replace current variations in care and treatment nihilism.","container-title":"Nephrology, Dialysis, Transplantation: Official Publication of the European Dialysis and Transplant Association - European Renal Association","DOI":"10.1093/ndt/gfaa192","ISSN":"1460-2385","issue":"1","journalAbbreviation":"Nephrol Dial Transplant","language":"eng","note":"PMID: 33098421","page":"42-59","source":"PubMed","title":"European Consensus Statement on the diagnosis and management of osteoporosis in chronic kidney disease stages G4-G5D","volume":"36","author":[{"family":"Evenepoel","given":"Pieter"},{"family":"Cunningham","given":"John"},{"family":"Ferrari","given":"Serge"},{"family":"Haarhaus","given":"Mathias"},{"family":"Javaid","given":"Muhammad Kassim"},{"family":"Lafage-Proust","given":"Marie-Hélène"},{"family":"Prieto-Alhambra","given":"Daniel"},{"family":"Torres","given":"Pablo Ureña"},{"family":"Cannata-Andia","given":"Jorge"},{"literal":"European Renal Osteodystrophy (EUROD) workgroup, an initiative of the CKD-MBD working group of the ERA-EDTA, and the committee of Scientific Advisors and National Societies of the IOF"}],"issued":{"date-parts":[["2021",1,1]]}}}],"schema":"https://github.com/citation-style-language/schema/raw/master/csl-citation.json"} </w:instrText>
      </w:r>
      <w:r>
        <w:fldChar w:fldCharType="separate"/>
      </w:r>
      <w:r w:rsidR="002D20B5" w:rsidRPr="002D20B5">
        <w:rPr>
          <w:rFonts w:ascii="Aptos" w:hAnsi="Aptos" w:cs="Times New Roman"/>
          <w:sz w:val="22"/>
          <w:vertAlign w:val="superscript"/>
        </w:rPr>
        <w:t>337,338</w:t>
      </w:r>
      <w:r>
        <w:fldChar w:fldCharType="end"/>
      </w:r>
      <w:r w:rsidRPr="003701E2">
        <w:t xml:space="preserve">. </w:t>
      </w:r>
    </w:p>
    <w:p w14:paraId="2B2D54A5" w14:textId="4693F2AE" w:rsidR="00426BCE" w:rsidRPr="003701E2" w:rsidRDefault="00426BCE" w:rsidP="00426BCE">
      <w:pPr>
        <w:jc w:val="both"/>
      </w:pPr>
      <w:r w:rsidRPr="003701E2">
        <w:t>The risk of fractures after renal transplantation is high but there are limited studies assessing factors that predict fracture risk after transplant. Dual energy x-ray absorptiometry (DEXA) measurement of bone mineral density (BMD) remains the gold-standard for assessing fracture risk and has been assessed in KTRs in two studies demonstrating that osteopenia or osteoporosis at either spine or hip can predict fracture</w:t>
      </w:r>
      <w:r>
        <w:t xml:space="preserve"> </w:t>
      </w:r>
      <w:r>
        <w:fldChar w:fldCharType="begin"/>
      </w:r>
      <w:r w:rsidR="002D20B5">
        <w:instrText xml:space="preserve"> ADDIN ZOTERO_ITEM CSL_CITATION {"citationID":"5xsxOiYW","properties":{"formattedCitation":"\\super 339,340\\nosupersub{}","plainCitation":"339,340","noteIndex":0},"citationItems":[{"id":19115,"uris":["http://zotero.org/users/3444308/items/57FZ4P5H"],"itemData":{"id":19115,"type":"article-journal","abstract":"Renal transplant patients have a high prevalence of osteopenia, osteoporosis and fractures. The aim of the study was to investigate whether dual-energy x-ray absorptiometry (DXA) is of value to predict fractures. In 1995-2007, 238 renal transplant patients underwent 670 DXA investigations. Osteopenia (46.0%), osteoporosis (13.9%) and absolute bone mineral density (BMD) (median 0.9, range 0.4-2.0 g/cm(2)) in the hip region were used to evaluate fracture risk. Data on fractures were collected at the occasion of each DXA, and a questionnaire was filled in by 191 patients at regular outpatient visits. Reported fractures were verified by consultation of medical records. In all, 46 patients had 53 fractures. Cumulative hazard of fracture was significantly different among normal BMD, osteopenia and osteoporosis in the hip (p &lt; 0.0001). A Cox proportional hazard analysis also including age, gender and diabetic nephropathy showed significantly increased fracture risk for osteoporosis (3.5 times, CI 1.8-6.4, p = 0.0001) as well as for osteopenia (2.7 times, 1.6-4.6, p = 0.0003). A significantly increased risk was also found with absolute BMD estimates below the median. Osteopenia and an absolute bone density below 0.9 g/cm(2) in the hip region confer an increased risk of fracture.","container-title":"American Journal of Transplantation: Official Journal of the American Society of Transplantation and the American Society of Transplant Surgeons","DOI":"10.1111/j.1600-6143.2008.02423.x","ISSN":"1600-6143","issue":"12","journalAbbreviation":"Am J Transplant","language":"eng","note":"PMID: 18853956","page":"2647-2651","source":"PubMed","title":"Can DXA predict fractures in renal transplant patients?","volume":"8","author":[{"family":"Akaberi","given":"S."},{"family":"Simonsen","given":"O."},{"family":"Lindergård","given":"B."},{"family":"Nyberg","given":"G."}],"issued":{"date-parts":[["2008",12]]}}},{"id":19116,"uris":["http://zotero.org/users/3444308/items/B8C2DXCD"],"itemData":{"id":19116,"type":"article-journal","abstract":"Kidney transplant recipients are at increased risk of fractures. This prospective observational study investigated whether areal bone mineral density (aBMD) as assessed by dual-energy x-ray absorptiometry can predict incident fragility fractures in de novo kidney transplant recipients and whether bone turnover markers increase diagnostic accuracy. Parameters of bone mineral metabolism including parathyroid hormone (PTH), fibroblast growth factor 23, sclerostin, calcidiol and calcitriol, and bone turnover markers were assessed in blood samples collected immediately prior to kidney transplantation in 518 adult recipients. aBMD was measured at several skeletal sites within 14 days posttransplant. Thirty patients had a history of a fragility fracture at the time of transplantation, and osteopenia or osteoporosis at the femoral neck was observed in 77%. Bone turnover markers were inversely correlated with aBMD at all skeletal sites. Low aBMD and low PTH were associated with history of fragility fracture at the time of transplantation, independent of age, gender, and comorbidity. During a median post-transplant follow-up of 5.2 years, 38 patients sustained a fragility fracture, corresponding to a fracture incidence of 14.1 per 1000 person-years. Low aBMD at the hip and lumbar spine were associated with incident fractures, independent of classical determinants, including history of fracture. PTH and bone turnover markers at the time of transplantation failed to predict incident fractures. In conclusion, aBMD is low, correlates inversely with bone turnover, and predicts incident fractures in de novo kidney transplant recipients.","container-title":"Kidney International","DOI":"10.1016/j.kint.2018.12.024","ISSN":"1523-1755","issue":"6","journalAbbreviation":"Kidney Int","language":"eng","note":"PMID: 30922664","page":"1461-1470","source":"PubMed","title":"Bone mineral density, bone turnover markers, and incident fractures in de novo kidney transplant recipients","volume":"95","author":[{"family":"Evenepoel","given":"Pieter"},{"family":"Claes","given":"Kathleen"},{"family":"Meijers","given":"Bjorn"},{"family":"Laurent","given":"Michaël R."},{"family":"Bammens","given":"Bert"},{"family":"Naesens","given":"Maarten"},{"family":"Sprangers","given":"Ben"},{"family":"Pottel","given":"Hans"},{"family":"Cavalier","given":"Etienne"},{"family":"Kuypers","given":"Dirk"}],"issued":{"date-parts":[["2019",6]]}}}],"schema":"https://github.com/citation-style-language/schema/raw/master/csl-citation.json"} </w:instrText>
      </w:r>
      <w:r>
        <w:fldChar w:fldCharType="separate"/>
      </w:r>
      <w:r w:rsidR="002D20B5" w:rsidRPr="002D20B5">
        <w:rPr>
          <w:rFonts w:ascii="Aptos" w:hAnsi="Aptos" w:cs="Times New Roman"/>
          <w:sz w:val="22"/>
          <w:vertAlign w:val="superscript"/>
        </w:rPr>
        <w:t>339,340</w:t>
      </w:r>
      <w:r>
        <w:fldChar w:fldCharType="end"/>
      </w:r>
      <w:r w:rsidRPr="003701E2">
        <w:t xml:space="preserve">. Alternative clinical tools such as the fracture risk assessment tool and trabecular bone scores require validation in KTRs.  </w:t>
      </w:r>
    </w:p>
    <w:p w14:paraId="05150713" w14:textId="77777777" w:rsidR="00426BCE" w:rsidRPr="003701E2" w:rsidRDefault="00426BCE" w:rsidP="00426BCE">
      <w:pPr>
        <w:jc w:val="both"/>
      </w:pPr>
      <w:r w:rsidRPr="003701E2">
        <w:t xml:space="preserve">Bisphosphonate-use post-transplant has been assessed in a 2019 Cochrane </w:t>
      </w:r>
      <w:proofErr w:type="gramStart"/>
      <w:r w:rsidRPr="003701E2">
        <w:t>review</w:t>
      </w:r>
      <w:r>
        <w:t xml:space="preserve"> </w:t>
      </w:r>
      <w:r w:rsidRPr="003701E2">
        <w:t xml:space="preserve"> of</w:t>
      </w:r>
      <w:proofErr w:type="gramEnd"/>
      <w:r w:rsidRPr="003701E2">
        <w:t xml:space="preserve"> treatments for bone disease among kidney transplant recipients. Bisphosphonate use was not associated with significant increases in BMD with low certainty that they help prevent fractures. In addition, data relating to bisphosphonates are limited to the first 12 months post-transplant.</w:t>
      </w:r>
    </w:p>
    <w:p w14:paraId="12BD222C" w14:textId="0BE828BB" w:rsidR="00426BCE" w:rsidRPr="003701E2" w:rsidRDefault="00426BCE" w:rsidP="00426BCE">
      <w:pPr>
        <w:jc w:val="both"/>
      </w:pPr>
      <w:r w:rsidRPr="003701E2">
        <w:t xml:space="preserve">There is evidence that treatment with calcium and vitamin D derivatives attenuates post-transplant bone loss and maintains bone mineral density without excess hypercalcaemia </w:t>
      </w:r>
      <w:r>
        <w:t xml:space="preserve"> </w:t>
      </w:r>
      <w:r>
        <w:fldChar w:fldCharType="begin"/>
      </w:r>
      <w:r w:rsidR="002D20B5">
        <w:instrText xml:space="preserve"> ADDIN ZOTERO_ITEM CSL_CITATION {"citationID":"i4fWAYYY","properties":{"formattedCitation":"\\super 341,342\\nosupersub{}","plainCitation":"341,342","noteIndex":0},"citationItems":[{"id":19113,"uris":["http://zotero.org/users/3444308/items/JG7LNQSW"],"itemData":{"id":19113,"type":"article-journal","abstract":"We performed a prospective, randomized, double-blind study to determine whether calcium and calcitriol prevents posttransplant bone loss. Thirty-eight nondiabetic and 26 diabetic patients without prior steroid exposure undergoing their first kidney or kidney-pancreas transplant were randomized to calcium, calcium plus calcitriol, or placebo. Lumbar spine (LS), femoral neck (FN), and distal radius (DR) bone mineral density scans (BMDs) were obtained at baseline, 6, and 12 months. At 1 year, patients treated with placebo experienced a 2% decline in BMD at the LS and DR and a 1.3% increase at the FN. In contrast, patients treated with calcium and vitamin D had a 0.1% decline at the LS and 2.9% and 4.8% increases at the DR and FN, respectively. Patients receiving cyclosporine had more bone loss than those receiving tacrolimus. Our results demonstrate a small therapeutic effect of calcium and calcitriol and suggest that tacrolimus is less osteotoxic than cyclosporine.","container-title":"Transplantation","DOI":"10.1097/01.tp.0000137937.44703.42","ISSN":"0041-1337","issue":"8","journalAbbreviation":"Transplantation","language":"eng","note":"PMID: 15502727","page":"1233-1236","source":"PubMed","title":"Calcium and calcitriol prophylaxis attenuates posttransplant bone loss","volume":"78","author":[{"family":"Josephson","given":"Michelle A."},{"family":"Schumm","given":"L. Philip"},{"family":"Chiu","given":"May Y."},{"family":"Marshall","given":"Cory"},{"family":"Thistlethwaite","given":"J. Richard"},{"family":"Sprague","given":"Stuart M."}],"issued":{"date-parts":[["2004",10,27]]}}},{"id":19114,"uris":["http://zotero.org/users/3444308/items/RSH9V3WA"],"itemData":{"id":19114,"type":"article-journal","abstract":"BACKGROUND: Bone loss occurs during the first 6 months after renal transplantation (RT), and corticosteroid therapy plays an important role. Although calcium plus vitamin D administration prevents corticosteroid-induced osteoporosis, its use in RT recipients is limited by the risk of hypercalcemia.\nMETHODS: This double-blind, randomized, and controlled prospective intervention trial examined the effect of intermittent calcitriol (0.5 microg/48 h) during the first 3 months after RT, plus oral calcium supplementation (0.5 g/day) during 1 year with calcium supplementation alone. The primary outcome measure was the change in bone mineral density (BMD) at 3 and 12 months after RT; we also explored whether the effect of calcitriol on BMD was different among vitamin D receptor (VDR) genotypes (BsmI). Forty-five recipients were randomized to calcitriol therapy (CT) and 41 were randomized to placebo (PL).\nRESULTS: Both groups had a similar degree of pre-existing hyperparathyroidism (197 +/- 229 vs. 191 +/- 183 pg/mL), but a more pronounced decrease of parathyroid hormone (PTH) levels after RT was observed in CT patients (at 3 months: 61.4 +/- 42.2 vs. 85.7 +/- 53.1 pg/mL, P= 0.02; at 12 months: 67.3 +/- 33.7 vs. 82.6 +/- 37 pg/mL; P= 0.08). CT patients preserved their BMD at the total hip significantly better than those on PL (3 months: 0.04 +/- 3.3 vs. -1.93 +/- 3.2%, P= 0.01; 12 months: 0.32 +/- 4.8 vs. -2.17 +/- 4.4%, P= 0.03); significant differences were noted at the intertrochanter, trochanter, and Ward's triangle. Differences did not reach significance at the femoral neck. Two CT patients (4.4%) and 4 PL patients (9.8%) developed a hypercalcemic episode during the first 3 months after RT. The effect of CT on BMD at 3 months was more prominent in recipients with the at-risk allele of the VDR gene (P= 0.03).\nCONCLUSION: Therapy with low-dose calcium supplements during 1 year, plus intermittent calcitriol for 3 months after RT, is safe, decreases PTH levels more rapidly, and prevents bone loss at the proximal femur; a more pronounced effect is seen in recipients with at least one at-risk allele of the VDR genotype.","container-title":"Kidney International","DOI":"10.1111/j.1523-1755.2004.00432.x","ISSN":"0085-2538","issue":"2","journalAbbreviation":"Kidney Int","language":"eng","note":"PMID: 14717945","page":"705-712","source":"PubMed","title":"Treatment with intermittent calcitriol and calcium reduces bone loss after renal transplantation","volume":"65","author":[{"family":"Torres","given":"Armando"},{"family":"García","given":"Sagrario"},{"family":"Gómez","given":"Angeles"},{"family":"González","given":"Antonieta"},{"family":"Barrios","given":"Ysamar"},{"family":"Concepción","given":"María Teresa"},{"family":"Hernández","given":"Domingo"},{"family":"García","given":"José J."},{"family":"Checa","given":"María Dolores"},{"family":"Lorenzo","given":"Victor"},{"family":"Salido","given":"Eduardo"}],"issued":{"date-parts":[["2004",2]]}}}],"schema":"https://github.com/citation-style-language/schema/raw/master/csl-citation.json"} </w:instrText>
      </w:r>
      <w:r>
        <w:fldChar w:fldCharType="separate"/>
      </w:r>
      <w:r w:rsidR="002D20B5" w:rsidRPr="002D20B5">
        <w:rPr>
          <w:rFonts w:ascii="Aptos" w:hAnsi="Aptos" w:cs="Times New Roman"/>
          <w:sz w:val="22"/>
          <w:vertAlign w:val="superscript"/>
        </w:rPr>
        <w:t>341,342</w:t>
      </w:r>
      <w:r>
        <w:fldChar w:fldCharType="end"/>
      </w:r>
      <w:r>
        <w:t>.</w:t>
      </w:r>
      <w:r w:rsidRPr="003701E2">
        <w:t xml:space="preserve"> Corticosteroids seem to be the principal determinant of bone turnover and bone volume so it seems logical to target interventions towards reduction or withdrawal of these drugs</w:t>
      </w:r>
      <w:r>
        <w:t xml:space="preserve"> </w:t>
      </w:r>
      <w:r>
        <w:fldChar w:fldCharType="begin"/>
      </w:r>
      <w:r w:rsidR="002D20B5">
        <w:instrText xml:space="preserve"> ADDIN ZOTERO_ITEM CSL_CITATION {"citationID":"N3ATZLLA","properties":{"formattedCitation":"\\super 343\\nosupersub{}","plainCitation":"343","noteIndex":0},"citationItems":[{"id":19080,"uris":["http://zotero.org/users/3444308/items/8ZM3LVTL","http://zotero.org/users/3444308/items/YY3JQINI"],"itemData":{"id":19080,"type":"article-journal","abstract":"Kidney transplantation corrects most of the metabolic abnormalities that cause renal osteodystrophy. However, many transplanted patients develop osteoporosis and other bone lesions that are related, at least in part, to their immunosuppressive regimen. The precise histologic patterns of bone disease after transplantation are not well defined. In a study designed to investigate this issue, 57 adult posttransplant patients agreed to undergo bone biopsies and blood drawings. There were 32 men and 25 women, mean age 45 +/- 2 yr, who had received a kidney transplantation 5.6 +/- 0.8 yr before biopsy. History of bone pain, fractures, and avascular necrosis was found in 22, 12, and 7 patients, respectively. Serum creatinine was 1.68 +/- 0.1 mg/dl, 21% of patients were hypercalcemic, 63.2% had elevated parathyroid hormone (PTH) (&gt;65 pg/ml), and 91.2% had normal calcitriol levels. Cancellous bone volume/tissue volume was below normal compared to age- and gender-matched control subjects in 56.1% of patients. Bone turnover (activation frequency) was low in 45.6%, normal in 28.1%, and elevated in 26.3% of patients. Bone formation rate/bone surface was low in 59.7%, normal in 35%, and elevated in 5. 3% of the patients. Erosion surface/bone surface was high in 21.1% of patients. Mineralization was prolonged in 87.5% of patients, including 9 patients with osteomalacia and 12 patients with focal osteomalacia. Cumulative and maintenance doses of prednisone and time elapsed since transplantation correlated negatively with bone volume and bone turnover (r = -0.32 to -0.59, P &lt; 0.05 to 0.01), whereas cumulative doses of cyclosporine or azathioprine, age, gender, or serum PTH levels did not. Regression analysis identified prednisone as the main factor responsible for low bone volume and bone turnover (r = 0.54 and r = 0.43, P &lt; 0.01). No factors were found to predict delayed mineralization. The present study shows that low bone volume, low bone turnover, and generalized or focal osteomalacia are frequent histologic features in transplanted patients. The effects of age, gender, PTH, and cyclosporine on bone volume and bone turnover are apparently overridden by the prominent effects of glucocorticoids. The prevalence of mineralization defect in the presence of normal serum levels of calcidiol and calcitriol suggests vitamin D resistance and deserves further study.","container-title":"Journal of the American Society of Nephrology: JASN","DOI":"10.1681/ASN.V1161093","ISSN":"1046-6673","issue":"6","journalAbbreviation":"J Am Soc Nephrol","language":"eng","note":"PMID: 10820173","page":"1093-1099","source":"PubMed","title":"High prevalence of low bone turnover and occurrence of osteomalacia after kidney transplantation","volume":"11","author":[{"family":"Monier-Faugere","given":"Marie-Claude"},{"family":"Mawad","given":"Hanna"},{"family":"Qi","given":"Quanle"},{"family":"Friedler","given":"Robert M."},{"family":"Malluche","given":"Hartmut H."}],"issued":{"date-parts":[["2000",6]]}}}],"schema":"https://github.com/citation-style-language/schema/raw/master/csl-citation.json"} </w:instrText>
      </w:r>
      <w:r>
        <w:fldChar w:fldCharType="separate"/>
      </w:r>
      <w:r w:rsidR="002D20B5" w:rsidRPr="002D20B5">
        <w:rPr>
          <w:rFonts w:ascii="Aptos" w:hAnsi="Aptos" w:cs="Times New Roman"/>
          <w:sz w:val="22"/>
          <w:vertAlign w:val="superscript"/>
        </w:rPr>
        <w:t>343</w:t>
      </w:r>
      <w:r>
        <w:fldChar w:fldCharType="end"/>
      </w:r>
      <w:r>
        <w:t xml:space="preserve">. </w:t>
      </w:r>
      <w:r w:rsidRPr="003701E2">
        <w:t>There are numerous guidelines and reviews for corticosteroid-induced osteoporosis including those of the American College of Rheumatology and it seems reasonable to follow them</w:t>
      </w:r>
      <w:r>
        <w:t xml:space="preserve"> </w:t>
      </w:r>
      <w:r>
        <w:fldChar w:fldCharType="begin"/>
      </w:r>
      <w:r w:rsidR="002D20B5">
        <w:instrText xml:space="preserve"> ADDIN ZOTERO_ITEM CSL_CITATION {"citationID":"gKLgwiz2","properties":{"formattedCitation":"\\super 344,345\\nosupersub{}","plainCitation":"344,345","noteIndex":0},"citationItems":[{"id":19112,"uris":["http://zotero.org/users/3444308/items/E8YVKMIG"],"itemData":{"id":19112,"type":"article-journal","abstract":"Among the adverse events of glucocorticoid treatment are bone loss and fractures. Despite available, effective preventive measures, many patients receiving or initiating glucocorticoid therapy are not appropriately evaluated and treated for bone health and fracture risk. Populations with, or at risk of, glucocorticoid-induced osteoporosis (GIOP) to target for these measures are defined on the basis of dose and duration of glucocorticoid therapy and bone mineral density. That patients with GIOP should be treated as early as possible is generally agreed upon; however, diversity remains in intervention thresholds and management guidelines. The FRAX(®) algorithm provides a 10-year probability of fracture that can be adjusted according to glucocorticoid dose. There is no evidence that GIOP and postmenopausal osteoporosis respond differently to treatments. Available anti-osteoporotic therapies such as anti-resorptives including bisphosphonates and the bone anabolic agent teriparatide are effective for the management of GIOP. Prevention with calcium and vitamin D supplementation is less effective than specific anti-osteoporotic treatment. Anti-osteoporotic treatment should be stopped at the time of glucocorticoid cessation, unless the patient remains at increased risk of fracture.","container-title":"Nature Reviews. Rheumatology","DOI":"10.1038/nrrheum.2014.188","ISSN":"1759-4804","issue":"2","journalAbbreviation":"Nat Rev Rheumatol","language":"eng","note":"PMID: 25385412","page":"98-109","source":"PubMed","title":"Glucocorticoid-induced osteoporosis: who to treat with what agent?","title-short":"Glucocorticoid-induced osteoporosis","volume":"11","author":[{"family":"Rizzoli","given":"René"},{"family":"Biver","given":"Emmanuel"}],"issued":{"date-parts":[["2015",2]]}}},{"id":19111,"uris":["http://zotero.org/users/3444308/items/R546WMQX"],"itemData":{"id":19111,"type":"article-journal","abstract":"OBJECTIVE: The objective is to update recommendations for prevention and treatment of glucocorticoid-induced osteoporosis (GIOP) for patients with rheumatic or nonrheumatic conditions receiving &gt;3 months treatment with glucocorticoids (GCs) ≥2.5 mg daily.\nMETHODS: An updated systematic literature review was performed for clinical questions on nonpharmacologic, pharmacologic treatments, discontinuation of medications, and sequential therapy. Grading of Recommendations Assessment, Development and Evaluation approach was used to rate the certainty of evidence. A Voting Panel achieved ≥70% consensus on the direction (for or against) and strength (strong or conditional) of recommendations.\nRESULTS: For adults beginning or continuing &gt;3 months of GC treatment, we strongly recommend as soon as possible after initiation of GCs, initial assessment of fracture risks with clinical fracture assessment, bone mineral density with vertebral fracture assessment or spinal x-ray, and Fracture Risk Assessment Tool if ≥40</w:instrText>
      </w:r>
      <w:r w:rsidR="002D20B5">
        <w:rPr>
          <w:rFonts w:ascii="Arial" w:hAnsi="Arial" w:cs="Arial"/>
        </w:rPr>
        <w:instrText> </w:instrText>
      </w:r>
      <w:r w:rsidR="002D20B5">
        <w:instrText xml:space="preserve">years old. For adults at medium, high, or very high fracture risk, we strongly recommend pharmacologic treatment. Choice of oral or intravenous bisphosphonates, denosumab, or parathyroid hormone analogs should be made by shared decision-making. Anabolic agents are conditionally recommended as initial therapy for those with high and very high fracture risk. Recommendations are made for special populations, including children, people with organ transplants, people who may become pregnant, and people receiving very high-dose GC treatment. New recommendations for both discontinuation of osteoporosis therapy and sequential therapies are included.\nCONCLUSION: This guideline provides direction for clinicians and patients making treatment decisions for management of GIOP. These recommendations should not be used to limit or deny access to therapies.","container-title":"Arthritis &amp; Rheumatology (Hoboken, N.J.)","DOI":"10.1002/art.42646","ISSN":"2326-5205","issue":"12","journalAbbreviation":"Arthritis Rheumatol","language":"eng","note":"PMID: 37845798","page":"2088-2102","source":"PubMed","title":"2022 American College of Rheumatology Guideline for the Prevention and Treatment of Glucocorticoid-Induced Osteoporosis","volume":"75","author":[{"family":"Humphrey","given":"Mary Beth"},{"family":"Russell","given":"Linda"},{"family":"Danila","given":"Maria I."},{"family":"Fink","given":"Howard A."},{"family":"Guyatt","given":"Gordon"},{"family":"Cannon","given":"Michael"},{"family":"Caplan","given":"Liron"},{"family":"Gore","given":"Sara"},{"family":"Grossman","given":"Jennifer"},{"family":"Hansen","given":"Karen E."},{"family":"Lane","given":"Nancy E."},{"family":"Ma","given":"Nina S."},{"family":"Magrey","given":"Marina"},{"family":"McAlindon","given":"Tim"},{"family":"Robinson","given":"Angela Byun"},{"family":"Saha","given":"Sumona"},{"family":"Womack","given":"Charles"},{"family":"Abdulhadi","given":"Basma"},{"family":"Charles","given":"Julia F."},{"family":"Cheah","given":"Jonathan T. L."},{"family":"Chou","given":"Sharon"},{"family":"Goyal","given":"Itivrita"},{"family":"Haseltine","given":"Katherine"},{"family":"Jackson","given":"Lesley"},{"family":"Mirza","given":"Reza"},{"family":"Moledina","given":"Iram"},{"family":"Punni","given":"Emma"},{"family":"Rinden","given":"Tim"},{"family":"Turgunbaev","given":"Marat"},{"family":"Wysham","given":"Katherine"},{"family":"Turner","given":"Amy S."},{"family":"Uhl","given":"Stacey"}],"issued":{"date-parts":[["2023",12]]}}}],"schema":"https://github.com/citation-style-language/schema/raw/master/csl-citation.json"} </w:instrText>
      </w:r>
      <w:r>
        <w:fldChar w:fldCharType="separate"/>
      </w:r>
      <w:r w:rsidR="002D20B5" w:rsidRPr="002D20B5">
        <w:rPr>
          <w:rFonts w:ascii="Aptos" w:hAnsi="Aptos" w:cs="Times New Roman"/>
          <w:sz w:val="22"/>
          <w:vertAlign w:val="superscript"/>
        </w:rPr>
        <w:t>344,345</w:t>
      </w:r>
      <w:r>
        <w:fldChar w:fldCharType="end"/>
      </w:r>
      <w:r w:rsidRPr="003701E2">
        <w:t xml:space="preserve">. </w:t>
      </w:r>
    </w:p>
    <w:p w14:paraId="7CD4A349" w14:textId="1FF4C681" w:rsidR="00426BCE" w:rsidRPr="003701E2" w:rsidRDefault="00426BCE" w:rsidP="00426BCE">
      <w:pPr>
        <w:jc w:val="both"/>
      </w:pPr>
      <w:r w:rsidRPr="003701E2">
        <w:t>Denosumab, a monoclonal antibody targeting the receptor activator of the NF-</w:t>
      </w:r>
      <w:proofErr w:type="spellStart"/>
      <w:r w:rsidRPr="003701E2">
        <w:t>κB</w:t>
      </w:r>
      <w:proofErr w:type="spellEnd"/>
      <w:r w:rsidRPr="003701E2">
        <w:t xml:space="preserve"> ligand, is a potent anti-resorptive agent and seems to be safe in renal impairment with the caveat that serum calcium needs to be closely monitored as the risk of hypocalcaemia is increased</w:t>
      </w:r>
      <w:r>
        <w:t xml:space="preserve"> </w:t>
      </w:r>
      <w:r>
        <w:fldChar w:fldCharType="begin"/>
      </w:r>
      <w:r w:rsidR="002D20B5">
        <w:instrText xml:space="preserve"> ADDIN ZOTERO_ITEM CSL_CITATION {"citationID":"NduOBbjI","properties":{"formattedCitation":"\\super 346\\nosupersub{}","plainCitation":"346","noteIndex":0},"citationItems":[{"id":19110,"uris":["http://zotero.org/users/3444308/items/8DFSEHF5"],"itemData":{"id":19110,"type":"article-journal","abstract":"This 16-week study evaluated pharmacokinetics and pharmacodynamics of denosumab in 55 subjects with renal function ranging from normal to dialysis-dependent kidney failure. Participants received a single 60-mg subcutaneous dose of denosumab. Kidney function groups were based on calculations using the Cockcroft-Gault equation and U.S. Food and Drug Administration (FDA) guidance in place when the study was designed. Renal function did not have a significant effect on denosumab pharmacokinetics or pharmacodynamics. These findings suggest denosumab dose adjustment based on glomerular filtration rate is not required. Rapid decreases in serum C-telopeptide in all groups were sustained throughout the study. The most common adverse events were hypocalcemia (15%), pain in extremity (15%), and nausea (11%). Most adverse events were mild to moderate in severity. Calcium and vitamin D supplementation was not initially required by the study protocol, but was added during the trial. No subject who received adequate calcium and vitamin D supplementation became hypocalcemic. Seven subjects had nadir serum calcium concentrations between 7.5 and &lt;8.0 mg/dL (1.9 and &lt;2.0 mmol/L), and 5 subjects (4 with advanced renal disease) had nadir serum calcium &lt;7.5 mg/dL (&lt;1.9 mmol/L). Two subjects (1 symptomatic, 1 asymptomatic) were hospitalized for intravenous calcium gluconate treatment. At the recommended dose, denosumab is a useful therapeutic option for patients with impaired renal function. Supplementation of calcium and vitamin D is strongly recommended when patients initiate denosumab therapy, particularly in patients with reduced renal function.","container-title":"Journal of Bone and Mineral Research: The Official Journal of the American Society for Bone and Mineral Research","DOI":"10.1002/jbmr.1613","ISSN":"1523-4681","issue":"7","journalAbbreviation":"J Bone Miner Res","language":"eng","note":"PMID: 22461041\nPMCID: PMC3505375","page":"1471-1479","source":"PubMed","title":"A single-dose study of denosumab in patients with various degrees of renal impairment","volume":"27","author":[{"family":"Block","given":"Geoffrey A."},{"family":"Bone","given":"Henry G."},{"family":"Fang","given":"Liang"},{"family":"Lee","given":"Edward"},{"family":"Padhi","given":"Desmond"}],"issued":{"date-parts":[["2012",7]]}}}],"schema":"https://github.com/citation-style-language/schema/raw/master/csl-citation.json"} </w:instrText>
      </w:r>
      <w:r>
        <w:fldChar w:fldCharType="separate"/>
      </w:r>
      <w:r w:rsidR="002D20B5" w:rsidRPr="002D20B5">
        <w:rPr>
          <w:rFonts w:ascii="Aptos" w:hAnsi="Aptos" w:cs="Times New Roman"/>
          <w:sz w:val="22"/>
          <w:vertAlign w:val="superscript"/>
        </w:rPr>
        <w:t>346</w:t>
      </w:r>
      <w:r>
        <w:fldChar w:fldCharType="end"/>
      </w:r>
      <w:r w:rsidRPr="003701E2">
        <w:t xml:space="preserve">.  One prospective clinical trial has been completed with denosumab in </w:t>
      </w:r>
      <w:r w:rsidRPr="003701E2">
        <w:rPr>
          <w:i/>
        </w:rPr>
        <w:t>de novo</w:t>
      </w:r>
      <w:r w:rsidRPr="003701E2">
        <w:t xml:space="preserve"> KTRs and showed a significant increase in 1-year lumbar spine and total hip BMD compared with placebo after two doses of denosumab (5% and 2% respectively, both </w:t>
      </w:r>
      <w:r w:rsidRPr="00B361D6">
        <w:rPr>
          <w:i/>
          <w:iCs/>
        </w:rPr>
        <w:t>p</w:t>
      </w:r>
      <w:r w:rsidR="00B361D6">
        <w:t xml:space="preserve"> </w:t>
      </w:r>
      <w:r w:rsidRPr="003701E2">
        <w:t xml:space="preserve">&lt;0.05) </w:t>
      </w:r>
      <w:r>
        <w:fldChar w:fldCharType="begin"/>
      </w:r>
      <w:r w:rsidR="002D20B5">
        <w:instrText xml:space="preserve"> ADDIN ZOTERO_ITEM CSL_CITATION {"citationID":"74PffU35","properties":{"formattedCitation":"\\super 347\\nosupersub{}","plainCitation":"347","noteIndex":0},"citationItems":[{"id":19109,"uris":["http://zotero.org/users/3444308/items/PC9IVXLA"],"itemData":{"id":19109,"type":"article-journal","abstract":"We conducted an open-label, prospective, randomized trial to assess the efficacy and safety of RANKL inhibition with denosumab to prevent the loss of bone mineral density (BMD) in the first year after kidney transplantation. Ninety kidney transplant recipients were randomized 1:1 2 weeks after surgery to receive denosumab (60 mg at baseline and 6 months) or no treatment. After 12 months, total lumbar spine areal BMD (aBMD) increased by 4.6% (95% confidence interval [CI] 3.3-5.9%) in 46 patients in the denosumab group and decreased by -0.5% (95% CI -1.8% to 0.9%) in 44 patients in the control group (between-group difference 5.1% [95% CI 3.1-7.0%], p &lt; 0.0001). Denosumab also increased aBMD at the total hip by 1.9% (95% CI, 0.1-3.7%; p = 0.035) over that in the control group at 12 months. High-resolution peripheral quantitative computed tomography in a subgroup of 24 patients showed that denosumab increased volumetric BMD at the distal tibia and radius (all p &lt; 0.05). Biomarkers of bone turnover (C-terminal telopeptide of type I collagen, procollagen type I N-terminal propeptide) markedly decreased with denosumab (all p &lt; 0.0001). Episodes of cystitis and asymptomatic hypocalcemia occurred more often with denosumab, whereas graft function, rate of rejections, and incidence of opportunistic infections were similar. In conclusion, denosumab increased BMD in the first year after kidney transplantation but was associated with more frequent episodes of urinary tract infection.","container-title":"American Journal of Transplantation: Official Journal of the American Society of Transplantation and the American Society of Transplant Surgeons","DOI":"10.1111/ajt.13692","ISSN":"1600-6143","issue":"6","journalAbbreviation":"Am J Transplant","language":"eng","note":"PMID: 26713403","page":"1882-1891","source":"PubMed","title":"Effect of Twice-Yearly Denosumab on Prevention of Bone Mineral Density Loss in De Novo Kidney Transplant Recipients: A Randomized Controlled Trial","title-short":"Effect of Twice-Yearly Denosumab on Prevention of Bone Mineral Density Loss in De Novo Kidney Transplant Recipients","volume":"16","author":[{"family":"Bonani","given":"M."},{"family":"Frey","given":"D."},{"family":"Brockmann","given":"J."},{"family":"Fehr","given":"T."},{"family":"Mueller","given":"T. F."},{"family":"Saleh","given":"L."},{"family":"Eckardstein","given":"A.","non-dropping-particle":"von"},{"family":"Graf","given":"N."},{"family":"Wüthrich","given":"R. P."}],"issued":{"date-parts":[["2016",6]]}}}],"schema":"https://github.com/citation-style-language/schema/raw/master/csl-citation.json"} </w:instrText>
      </w:r>
      <w:r>
        <w:fldChar w:fldCharType="separate"/>
      </w:r>
      <w:r w:rsidR="002D20B5" w:rsidRPr="002D20B5">
        <w:rPr>
          <w:rFonts w:ascii="Aptos" w:hAnsi="Aptos" w:cs="Times New Roman"/>
          <w:sz w:val="22"/>
          <w:vertAlign w:val="superscript"/>
        </w:rPr>
        <w:t>347</w:t>
      </w:r>
      <w:r>
        <w:fldChar w:fldCharType="end"/>
      </w:r>
      <w:r w:rsidRPr="003701E2">
        <w:t>. There was an increase in urinary tract infections and asymptomatic, transient hypocalcaemia in the denosumab group. Ensuring adequate vitamin D levels prior to denosumab helps alleviate the risk of hypocalcaemia.  Although randomised trial evidence beyond 1-year is lacking, a retrospective study of denosumab in prevalent KTRs demonstrated improvement in BMD</w:t>
      </w:r>
      <w:r>
        <w:t xml:space="preserve"> </w:t>
      </w:r>
      <w:r>
        <w:fldChar w:fldCharType="begin"/>
      </w:r>
      <w:r w:rsidR="002D20B5">
        <w:instrText xml:space="preserve"> ADDIN ZOTERO_ITEM CSL_CITATION {"citationID":"a48l0S6H","properties":{"formattedCitation":"\\super 348\\nosupersub{}","plainCitation":"348","noteIndex":0},"citationItems":[{"id":19108,"uris":["http://zotero.org/users/3444308/items/QQN8WAMT"],"itemData":{"id":19108,"type":"article-journal","abstract":"OBJECTIVE: Osteoporosis and fragility fractures represent serious complications for the solid organ transplant population. The recommended osteoporosis therapy for organ recipients involves supplementation with calcium and vitamin D and bisphosphonate administration. However, these options can prove limited for patients with impaired renal function. An alternative therapy option is offered by denosumab, a monoclonal antibody that targets receptor activator of nuclear factor kappa-B ligand.\nPATIENTS AND METHODS: We evaluated 63 patients with osteoporosis (23 males and 40 females, age 56.4</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13.1</w:instrText>
      </w:r>
      <w:r w:rsidR="002D20B5">
        <w:rPr>
          <w:rFonts w:ascii="Arial" w:hAnsi="Arial" w:cs="Arial"/>
        </w:rPr>
        <w:instrText> </w:instrText>
      </w:r>
      <w:r w:rsidR="002D20B5">
        <w:instrText>years) following solid organ transplantation (15 diabetic patients after simultaneous transplantation of the kidney and pancreas, 34 patients after kidney transplantation, and 14 patients with liver grafts). Osteoporosis was diagnosed according to standard DEXA examination using the Lunar Prodigy apparatus. Transplanted patients with impaired renal function were treated for osteoporosis of the lumbar spine (L-spine) and/or proximal femur with calcium and vitamin D supplementation and 60</w:instrText>
      </w:r>
      <w:r w:rsidR="002D20B5">
        <w:rPr>
          <w:rFonts w:ascii="Arial" w:hAnsi="Arial" w:cs="Arial"/>
        </w:rPr>
        <w:instrText> </w:instrText>
      </w:r>
      <w:r w:rsidR="002D20B5">
        <w:instrText>mg of denosumab every 6</w:instrText>
      </w:r>
      <w:r w:rsidR="002D20B5">
        <w:rPr>
          <w:rFonts w:ascii="Arial" w:hAnsi="Arial" w:cs="Arial"/>
        </w:rPr>
        <w:instrText> </w:instrText>
      </w:r>
      <w:r w:rsidR="002D20B5">
        <w:instrText>months between the years 2012 and 2017. The mean duration of the therapy was 1.65</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0.7</w:instrText>
      </w:r>
      <w:r w:rsidR="002D20B5">
        <w:rPr>
          <w:rFonts w:ascii="Arial" w:hAnsi="Arial" w:cs="Arial"/>
        </w:rPr>
        <w:instrText> </w:instrText>
      </w:r>
      <w:r w:rsidR="002D20B5">
        <w:instrText>years.\nRESULTS: After denosumab therapy, L-spine T-scores improved across the whole group, ranging from -2.7</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0.09 to -1.8</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1.0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T-score values for the proximal femur increased from -2.5</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0.8 to -2.0</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0.7 after the therapy (p</w:instrText>
      </w:r>
      <w:r w:rsidR="002D20B5">
        <w:rPr>
          <w:rFonts w:ascii="Arial" w:hAnsi="Arial" w:cs="Arial"/>
        </w:rPr>
        <w:instrText> </w:instrText>
      </w:r>
      <w:r w:rsidR="002D20B5">
        <w:instrText>&lt;</w:instrText>
      </w:r>
      <w:r w:rsidR="002D20B5">
        <w:rPr>
          <w:rFonts w:ascii="Arial" w:hAnsi="Arial" w:cs="Arial"/>
        </w:rPr>
        <w:instrText> </w:instrText>
      </w:r>
      <w:r w:rsidR="002D20B5">
        <w:instrText>0.01). We observed only a mild, statistically insignificant improvement in distal forearm T-scores. The mean increase in L-spine bone mineral density (BMD) was 11.5</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6.2% in subjects with osteoporosis at this site and 10.4</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6.1% in the case of all patients. BMD of the proximal femur increased by 10.4</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8.3% in patients with osteoporosis and by 7.5</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7.3% in all patients. Denosumab therapy decreased the prevalence of osteoporosis in the L-spine from 75 to 27%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and proximal femur osteoporosis from 54 to 36% (p</w:instrText>
      </w:r>
      <w:r w:rsidR="002D20B5">
        <w:rPr>
          <w:rFonts w:ascii="Arial" w:hAnsi="Arial" w:cs="Arial"/>
        </w:rPr>
        <w:instrText> </w:instrText>
      </w:r>
      <w:r w:rsidR="002D20B5">
        <w:instrText>&lt;</w:instrText>
      </w:r>
      <w:r w:rsidR="002D20B5">
        <w:rPr>
          <w:rFonts w:ascii="Arial" w:hAnsi="Arial" w:cs="Arial"/>
        </w:rPr>
        <w:instrText> </w:instrText>
      </w:r>
      <w:r w:rsidR="002D20B5">
        <w:instrText>0.05). Denosumab therapy reduced elevated levels of osteocalcin and beta-crosslaps (</w:instrText>
      </w:r>
      <w:r w:rsidR="002D20B5">
        <w:rPr>
          <w:rFonts w:ascii="Aptos" w:hAnsi="Aptos" w:cs="Aptos"/>
        </w:rPr>
        <w:instrText>β</w:instrText>
      </w:r>
      <w:r w:rsidR="002D20B5">
        <w:instrText>CTX) in comparison with baseline levels (p</w:instrText>
      </w:r>
      <w:r w:rsidR="002D20B5">
        <w:rPr>
          <w:rFonts w:ascii="Arial" w:hAnsi="Arial" w:cs="Arial"/>
        </w:rPr>
        <w:instrText> </w:instrText>
      </w:r>
      <w:r w:rsidR="002D20B5">
        <w:instrText>&lt;</w:instrText>
      </w:r>
      <w:r w:rsidR="002D20B5">
        <w:rPr>
          <w:rFonts w:ascii="Arial" w:hAnsi="Arial" w:cs="Arial"/>
        </w:rPr>
        <w:instrText> </w:instrText>
      </w:r>
      <w:r w:rsidR="002D20B5">
        <w:instrText xml:space="preserve">0.001) across the whole group of graft recipients.\nCONCLUSION: Denosumab therapy was well-tolerated and improved bone density in our group of solid organ transplant recipients. The indications are that denosumab could be a viable therapeutic option for transplanted patients with osteoporosis, especially in those with renal function impairment or bisphosphonate intolerance.","container-title":"Frontiers in Endocrinology","DOI":"10.3389/fendo.2018.00162","ISSN":"1664-2392","journalAbbreviation":"Front Endocrinol (Lausanne)","language":"eng","note":"PMID: 29720961\nPMCID: PMC5915642","page":"162","source":"PubMed","title":"Osteoporosis Therapy With Denosumab in Organ Transplant Recipients","volume":"9","author":[{"family":"Brunova","given":"Jana"},{"family":"Kratochvilova","given":"Simona"},{"family":"Stepankova","given":"Jitka"}],"issued":{"date-parts":[["2018"]]}}}],"schema":"https://github.com/citation-style-language/schema/raw/master/csl-citation.json"} </w:instrText>
      </w:r>
      <w:r>
        <w:fldChar w:fldCharType="separate"/>
      </w:r>
      <w:r w:rsidR="002D20B5" w:rsidRPr="002D20B5">
        <w:rPr>
          <w:rFonts w:ascii="Aptos" w:hAnsi="Aptos" w:cs="Times New Roman"/>
          <w:sz w:val="22"/>
          <w:vertAlign w:val="superscript"/>
        </w:rPr>
        <w:t>348</w:t>
      </w:r>
      <w:r>
        <w:fldChar w:fldCharType="end"/>
      </w:r>
      <w:r w:rsidRPr="003701E2">
        <w:t xml:space="preserve">. It should be noted that in patients (including KTRs) stopping denosumab </w:t>
      </w:r>
      <w:r>
        <w:fldChar w:fldCharType="begin"/>
      </w:r>
      <w:r w:rsidR="002D20B5">
        <w:instrText xml:space="preserve"> ADDIN ZOTERO_ITEM CSL_CITATION {"citationID":"aG7ckWhw","properties":{"formattedCitation":"\\super 349,350\\nosupersub{}","plainCitation":"349,350","noteIndex":0},"citationItems":[{"id":19106,"uris":["http://zotero.org/users/3444308/items/UCQ9M977"],"itemData":{"id":19106,"type":"article-journal","abstract":"We evaluate 38 elderly women who had received long-term denosumab treatment after stopping the drug. Taking into account the gain during treatment and the loss after stopping treatment, they lost 35.5% of the total gain in the spine, 44.6% of the total gain in the femoral neck, and 103.3% in the total hip.\nINTRODUCTION: Denosumab (DMAb) is a soluble inhibitor of the receptor activator of nuclear factor-kappaB ligand (RANKL) and, therefore, does not incorporate into the bone matrix. Consistently, DMAb discontinuation is associated with reversal of the effects attained with treatment.\nPURPOSE: The aim of this study is to assess changes in BMD after a year of discontinuation of DMAb in a group of postmenopausal women treated with DMAb for 7 or 10 years. Secondly, is to evaluate the occurrence of fragility fractures.\nMETHODS: Women who had participated in the FREEDOM study and its extension were invited to participate in this follow-up study. BMD at LS and hip and spine X-rays were obtained. Results were compared to the last value obtained while in treatment to assess changes after discontinuation.\nRESULTS: Thirty-eight women, mean age: 81 ± 3.4 years completed study procedures; none had received bisphosphonates after stopping DMAb. Mean gap time between DMAb last dose and the follow-up visit was 17 months (range 16-20 months). Bone mineral density (BMD) decreased significantly in all regions: - 8.1% in LS, - 6% in FN, and - 8.4% in TH. Five (5/38, 13.15%) patients had a fragility fracture, one suffered a wrist fracture, and four experienced vertebral fractures. Three patients suffered one vertebral fracture and one of them had two vertebral fractures. Laboratory results showed the following mean values: CTX = 996 ± 307 pg/ml (normal values 550 ± 226 pg/ml); osteocalcin = 55.2 ± 18.6 ng/ml (normal value 42 ng/ml); and 25 OH vitamin D = 23.7 ± 6.9 ng/ml.\nCONCLUSION: Our results describe the rapid bone loss occurring after cessation of denosumab treatment. Further studies are needed to assess if patients have a higher risk of fracture after stopping DMAb and if so, which patients have the highest risk, and assess the role of transitioning to bisphosphonates in the long term.","container-title":"Osteoporosis international: a journal established as result of cooperation between the European Foundation for Osteoporosis and the National Osteoporosis Foundation of the USA","DOI":"10.1007/s00198-017-4242-6","ISSN":"1433-2965","issue":"1","journalAbbreviation":"Osteoporos Int","language":"eng","note":"PMID: 28975362","page":"41-47","source":"PubMed","title":"Significant bone loss after stopping long-term denosumab treatment: a post FREEDOM study","title-short":"Significant bone loss after stopping long-term denosumab treatment","volume":"29","author":[{"family":"Zanchetta","given":"M. B."},{"family":"Boailchuk","given":"J."},{"family":"Massari","given":"F."},{"family":"Silveira","given":"F."},{"family":"Bogado","given":"C."},{"family":"Zanchetta","given":"J. R."}],"issued":{"date-parts":[["2018",1]]}}},{"id":19107,"uris":["http://zotero.org/users/3444308/items/XXRAFL6I"],"itemData":{"id":19107,"type":"article-journal","abstract":"BACKGROUND: Studies in women with post-menopausal osteoporosis have shown that discontinuation of treatment with denosumab leads to an increased risk of vertebral fractures because of rebound bone turnover and rapid loss of bone mineral density (BMD).\nMETHODS: In a post hoc analysis of the Prolia for Osteoporosis of Transplant Operated Patient study, we analyzed the effect of denosumab withdrawal on BMD changes. Twenty-five de novo kidney transplant recipients (KTR) who were treated for 1 year with 2 six-monthly doses of denosumab on top of standard treatment (daily calcium and vitamin D) were compared to a control group of 29 KTR who received standard treatment alone. BMD changes were analyzed by repeated dual-energy X-ray absorptiometry shortly after transplantation (baseline), after 6 and 12 months (active treatment phase) and after 2-6.5 years (follow-up phase).\nRESULTS: The average BMD at the lumbar spine declined markedly after discontinuation of treatment with denosumab but increased again thereafter. Thus, the average monthly change in lumbar spine BMD from month 12 onward was only 0.1 ± 2.8‰ in the denosumab group but 1.5 ± 1.9‰ in the control group (p = 0.021). The average monthly change in lumbar spine BMD from baseline to follow-up was similar in the control and denosumab group (1.1 ± 1.2‰ vs. 1.5 ± 2.4‰, p = 0.788). Similar results were seen at the total hip.\nCONCLUSIONS: In de novo KTR treated with 2 doses of denosumab, we detect a marked decrease in lumbar spine and hip BMD when denosumab is discontinued. Denosumab treatment should therefore not be discontinued without considering an alternative antiresorptive treatment.","container-title":"Kidney &amp; Blood Pressure Research","DOI":"10.1159/000503066","ISSN":"1423-0143","issue":"5","journalAbbreviation":"Kidney Blood Press Res","language":"eng","note":"PMID: 31614356","page":"1285-1293","source":"PubMed","title":"Follow-Up of Bone Mineral Density Changes in de novo Kidney Transplant Recipients Treated with Two Doses of the Receptor Activator of Nuclear Factor κB Ligand Inhibitor Denosumab","volume":"44","author":[{"family":"Kobel","given":"Claudia"},{"family":"Frey","given":"Diana"},{"family":"Graf","given":"Nicole"},{"family":"Wüthrich","given":"Rudolf P."},{"family":"Bonani","given":"Marco"}],"issued":{"date-parts":[["2019"]]}}}],"schema":"https://github.com/citation-style-language/schema/raw/master/csl-citation.json"} </w:instrText>
      </w:r>
      <w:r>
        <w:fldChar w:fldCharType="separate"/>
      </w:r>
      <w:r w:rsidR="002D20B5" w:rsidRPr="002D20B5">
        <w:rPr>
          <w:rFonts w:ascii="Aptos" w:hAnsi="Aptos" w:cs="Times New Roman"/>
          <w:sz w:val="22"/>
          <w:vertAlign w:val="superscript"/>
        </w:rPr>
        <w:t>349,350</w:t>
      </w:r>
      <w:r>
        <w:fldChar w:fldCharType="end"/>
      </w:r>
      <w:r w:rsidRPr="003701E2">
        <w:t xml:space="preserve"> there is an increase in bone loss and alternative anti-resorptive agents such as bisphosphonates should be considered prior to stopping</w:t>
      </w:r>
      <w:r>
        <w:t xml:space="preserve"> </w:t>
      </w:r>
      <w:r>
        <w:fldChar w:fldCharType="begin"/>
      </w:r>
      <w:r w:rsidR="002D20B5">
        <w:instrText xml:space="preserve"> ADDIN ZOTERO_ITEM CSL_CITATION {"citationID":"ZEE6lWbV","properties":{"formattedCitation":"\\super 345,351\\nosupersub{}","plainCitation":"345,351","noteIndex":0},"citationItems":[{"id":19105,"uris":["http://zotero.org/users/3444308/items/Q5KGTNPR"],"itemData":{"id":19105,"type":"article-journal","abstract":"INTRODUCTION: Rapid descent in bone mineral density (BMD) and ascent in bone turnover marker (BTM) occur within the short period following denosumab (Dmab) discontinuation. In addition, the incidence of vertebral fracture also rises within the short period. The purpose of this study is to investigate the effects of sequential therapy using zoledronic acid (ZOL) on any adverse events after Dmab discontinuation.\nMATERIALS AND METHODS: This study was a multicenter retrospective observational study, and the subjects were osteoporosis patients who visited our institutions between 2013 and 2018. We performed sequential therapy using ZOL for 30 patients who had difficulty continuing Dmab, due to physical or social reasons, and investigated the fracture incidence and BMD/BTM changes at 4 time points (at the start of Dmab, the start of ZOL, 6 months after ZOL and 12 months after ZOL).\nRESULTS: No new vertebral/nonvertebral fractures were observed at each time point after switching from Dmab to ZOL in any of the 30 patients. The BMD/BTM changes were evaluated in 18 of the 30 cases, since all data of lumbar/femoral neck BMDs and TRACP-5b at 4 time points was only available in 18 cases. BMDs significantly increased at each time point compared with that at the start of Dmab. Serum TRACP-5b significantly decreased at each time point compared with that at the start of Dmab.\nCONCLUSION: It was suggested that sequential therapy using ZOL could suppress the decrease of BMD, and increase of BTM, if the period of Dmab administration was less than 3 years.","container-title":"Journal of Bone and Mineral Metabolism","DOI":"10.1007/s00774-020-01126-w","ISSN":"1435-5604","issue":"6","journalAbbreviation":"J Bone Miner Metab","language":"eng","note":"PMID: 32656645\nPMCID: PMC7354744","page":"894-902","source":"PubMed","title":"Zoledronic acid sequential therapy could avoid disadvantages due to the discontinuation of less than 3-year denosumab treatment","volume":"38","author":[{"family":"Kondo","given":"Hideomi"},{"family":"Okimoto","given":"Nobukazu"},{"family":"Yoshioka","given":"Toru"},{"family":"Akahoshi","given":"Shojiro"},{"family":"Fuse","given":"Yoshifumi"},{"family":"Ogawa","given":"Takayuki"},{"family":"Okazaki","given":"Yuichi"},{"family":"Katae","given":"Yuji"},{"family":"Tsukamoto","given":"Manabu"},{"family":"Yamanaka","given":"Yoshiaki"},{"family":"Kawasaki","given":"Makoto"},{"family":"Sakai","given":"Akinori"}],"issued":{"date-parts":[["2020",11]]}}},{"id":19111,"uris":["http://zotero.org/users/3444308/items/R546WMQX"],"itemData":{"id":19111,"type":"article-journal","abstract":"OBJECTIVE: The objective is to update recommendations for prevention and treatment of glucocorticoid-induced osteoporosis (GIOP) for patients with rheumatic or nonrheumatic conditions receiving &gt;3 months treatment with glucocorticoids (GCs) ≥2.5 mg daily.\nMETHODS: An updated systematic literature review was performed for clinical questions on nonpharmacologic, pharmacologic treatments, discontinuation of medications, and sequential therapy. Grading of Recommendations Assessment, Development and Evaluation approach was used to rate the certainty of evidence. A Voting Panel achieved ≥70% consensus on the direction (for or against) and strength (strong or conditional) of recommendations.\nRESULTS: For adults beginning or continuing &gt;3 months of GC treatment, we strongly recommend as soon as possible after initiation of GCs, initial assessment of fracture risks with clinical fracture assessment, bone mineral density with vertebral fracture assessment or spinal x-ray, and Fracture Risk Assessment Tool if ≥40</w:instrText>
      </w:r>
      <w:r w:rsidR="002D20B5">
        <w:rPr>
          <w:rFonts w:ascii="Arial" w:hAnsi="Arial" w:cs="Arial"/>
        </w:rPr>
        <w:instrText> </w:instrText>
      </w:r>
      <w:r w:rsidR="002D20B5">
        <w:instrText xml:space="preserve">years old. For adults at medium, high, or very high fracture risk, we strongly recommend pharmacologic treatment. Choice of oral or intravenous bisphosphonates, denosumab, or parathyroid hormone analogs should be made by shared decision-making. Anabolic agents are conditionally recommended as initial therapy for those with high and very high fracture risk. Recommendations are made for special populations, including children, people with organ transplants, people who may become pregnant, and people receiving very high-dose GC treatment. New recommendations for both discontinuation of osteoporosis therapy and sequential therapies are included.\nCONCLUSION: This guideline provides direction for clinicians and patients making treatment decisions for management of GIOP. These recommendations should not be used to limit or deny access to therapies.","container-title":"Arthritis &amp; Rheumatology (Hoboken, N.J.)","DOI":"10.1002/art.42646","ISSN":"2326-5205","issue":"12","journalAbbreviation":"Arthritis Rheumatol","language":"eng","note":"PMID: 37845798","page":"2088-2102","source":"PubMed","title":"2022 American College of Rheumatology Guideline for the Prevention and Treatment of Glucocorticoid-Induced Osteoporosis","volume":"75","author":[{"family":"Humphrey","given":"Mary Beth"},{"family":"Russell","given":"Linda"},{"family":"Danila","given":"Maria I."},{"family":"Fink","given":"Howard A."},{"family":"Guyatt","given":"Gordon"},{"family":"Cannon","given":"Michael"},{"family":"Caplan","given":"Liron"},{"family":"Gore","given":"Sara"},{"family":"Grossman","given":"Jennifer"},{"family":"Hansen","given":"Karen E."},{"family":"Lane","given":"Nancy E."},{"family":"Ma","given":"Nina S."},{"family":"Magrey","given":"Marina"},{"family":"McAlindon","given":"Tim"},{"family":"Robinson","given":"Angela Byun"},{"family":"Saha","given":"Sumona"},{"family":"Womack","given":"Charles"},{"family":"Abdulhadi","given":"Basma"},{"family":"Charles","given":"Julia F."},{"family":"Cheah","given":"Jonathan T. L."},{"family":"Chou","given":"Sharon"},{"family":"Goyal","given":"Itivrita"},{"family":"Haseltine","given":"Katherine"},{"family":"Jackson","given":"Lesley"},{"family":"Mirza","given":"Reza"},{"family":"Moledina","given":"Iram"},{"family":"Punni","given":"Emma"},{"family":"Rinden","given":"Tim"},{"family":"Turgunbaev","given":"Marat"},{"family":"Wysham","given":"Katherine"},{"family":"Turner","given":"Amy S."},{"family":"Uhl","given":"Stacey"}],"issued":{"date-parts":[["2023",12]]}}}],"schema":"https://github.com/citation-style-language/schema/raw/master/csl-citation.json"} </w:instrText>
      </w:r>
      <w:r>
        <w:fldChar w:fldCharType="separate"/>
      </w:r>
      <w:r w:rsidR="002D20B5" w:rsidRPr="002D20B5">
        <w:rPr>
          <w:rFonts w:ascii="Aptos" w:hAnsi="Aptos" w:cs="Times New Roman"/>
          <w:sz w:val="22"/>
          <w:vertAlign w:val="superscript"/>
        </w:rPr>
        <w:t>345,351</w:t>
      </w:r>
      <w:r>
        <w:fldChar w:fldCharType="end"/>
      </w:r>
      <w:r w:rsidRPr="003701E2">
        <w:t>.</w:t>
      </w:r>
    </w:p>
    <w:p w14:paraId="33BCBB2D" w14:textId="77777777" w:rsidR="00426BCE" w:rsidRDefault="00426BCE" w:rsidP="00426BCE">
      <w:pPr>
        <w:rPr>
          <w:b/>
        </w:rPr>
      </w:pPr>
    </w:p>
    <w:p w14:paraId="6A657D42" w14:textId="2DA05E0E" w:rsidR="00426BCE" w:rsidRPr="00FF3619" w:rsidRDefault="00426BCE" w:rsidP="00516860">
      <w:pPr>
        <w:pStyle w:val="GuidelineHeadings"/>
      </w:pPr>
      <w:r w:rsidRPr="00FF3619">
        <w:lastRenderedPageBreak/>
        <w:t xml:space="preserve">Guideline </w:t>
      </w:r>
      <w:r w:rsidR="00B361D6">
        <w:t>8</w:t>
      </w:r>
      <w:r w:rsidRPr="00FF3619">
        <w:t>.2</w:t>
      </w:r>
      <w:r w:rsidR="00516860">
        <w:t xml:space="preserve"> </w:t>
      </w:r>
      <w:r w:rsidR="00516860" w:rsidRPr="00FF3619">
        <w:t>–</w:t>
      </w:r>
      <w:r w:rsidRPr="00FF3619">
        <w:t xml:space="preserve"> KTR: Tertiary hyperparathyroidism</w:t>
      </w:r>
    </w:p>
    <w:p w14:paraId="396055FC" w14:textId="36AE509F" w:rsidR="00426BCE" w:rsidRPr="00FF3619" w:rsidRDefault="00426BCE" w:rsidP="00516860">
      <w:r w:rsidRPr="00FF3619">
        <w:t>Hyperparathyroidism is extremely common pre-transplant and although parathyroid hormone (PTH) levels usually improve within the first few months after transplantation they only completely resolve in 30% and 57% of KTR within the first- and second-year post transplant respectively</w:t>
      </w:r>
      <w:r>
        <w:t xml:space="preserve"> </w:t>
      </w:r>
      <w:r>
        <w:fldChar w:fldCharType="begin"/>
      </w:r>
      <w:r w:rsidR="002D20B5">
        <w:instrText xml:space="preserve"> ADDIN ZOTERO_ITEM CSL_CITATION {"citationID":"4z6QUbG9","properties":{"formattedCitation":"\\super 352\\nosupersub{}","plainCitation":"352","noteIndex":0},"citationItems":[{"id":19104,"uris":["http://zotero.org/users/3444308/items/BRZDX3FL"],"itemData":{"id":19104,"type":"article-journal","abstract":"BACKGROUND: Most patients with end-stage renal disease will develop hyperparathyroidism (HPT). Transplantation reportedly resolves HPT in most cases. Currently, guidelines recommend a watchful waiting approach to HPT for the first 12 months after the transplantation to allow maximal allograft function. The purpose of our study is to examine the incidence and impact of HPT, defined as an elevated parathyroid hormone (PTH) level, after renal transplantation in a contemporary cohort.\nMETHODS: Primary kidney transplantation was performed on 1609 patients from January 1, 2004, to June 6, 2012. Patients were stratified by timing of achieving normal serum PTH levels, and a multivariate logistic regression was constructed to determine predictive variables. Kaplan-Meier analysis was then performed on overall graft survival based on PTH normalization.\nRESULTS: Four hundred eighty-eight (30.3%) patients achieved normal PTH within 1 year posttransplant. Four hundred twenty-seven (26.6%) attained normal PTH between 1 and 2 years, with the remaining 694 (43.1%) categorized as having HPT. Patients achieving normal PTH within 12 months of transplantation had a significantly longer median graft survival (7.33 years) compared with those patients who normalized between 12 and 24 months (4.92 years,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and those with HPT (5.13 years,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Comparing normalization of PTH by 2 years to HPT patients, obesity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months on dialysis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and delayed graft failure (P</w:instrText>
      </w:r>
      <w:r w:rsidR="002D20B5">
        <w:rPr>
          <w:rFonts w:ascii="Arial" w:hAnsi="Arial" w:cs="Arial"/>
        </w:rPr>
        <w:instrText> </w:instrText>
      </w:r>
      <w:r w:rsidR="002D20B5">
        <w:instrText>=</w:instrText>
      </w:r>
      <w:r w:rsidR="002D20B5">
        <w:rPr>
          <w:rFonts w:ascii="Arial" w:hAnsi="Arial" w:cs="Arial"/>
        </w:rPr>
        <w:instrText> </w:instrText>
      </w:r>
      <w:r w:rsidR="002D20B5">
        <w:instrText>0.006) were predictive of nonnormalization. Overall, allograft survival analysis revealed a survival advantage for patients who normalize PTH within 24 months of transplantation (P</w:instrText>
      </w:r>
      <w:r w:rsidR="002D20B5">
        <w:rPr>
          <w:rFonts w:ascii="Arial" w:hAnsi="Arial" w:cs="Arial"/>
        </w:rPr>
        <w:instrText> </w:instrText>
      </w:r>
      <w:r w:rsidR="002D20B5">
        <w:instrText>=</w:instrText>
      </w:r>
      <w:r w:rsidR="002D20B5">
        <w:rPr>
          <w:rFonts w:ascii="Arial" w:hAnsi="Arial" w:cs="Arial"/>
        </w:rPr>
        <w:instrText> </w:instrText>
      </w:r>
      <w:r w:rsidR="002D20B5">
        <w:instrText xml:space="preserve">0.038).\nCONCLUSIONS: Renal transplant resolves HPT in 56.9% of patients at 2 years. Resolution within the first year portends longer graft survival. Therefore, earlier intervention for HPT should be considered.","container-title":"Annals of Surgery","DOI":"10.1097/SLA.0000000000001431","ISSN":"1528-1140","issue":"4","journalAbbreviation":"Ann Surg","language":"eng","note":"PMID: 26366545\nPMCID: PMC4576689","page":"653-659","source":"PubMed","title":"How Well Does Renal Transplantation Cure Hyperparathyroidism?","volume":"262","author":[{"family":"Lou","given":"Irene"},{"family":"Foley","given":"David"},{"family":"Odorico","given":"Scott K."},{"family":"Leverson","given":"Glen"},{"family":"Schneider","given":"David F."},{"family":"Sippel","given":"Rebecca"},{"family":"Chen","given":"Herbert"}],"issued":{"date-parts":[["2015",10]]}}}],"schema":"https://github.com/citation-style-language/schema/raw/master/csl-citation.json"} </w:instrText>
      </w:r>
      <w:r>
        <w:fldChar w:fldCharType="separate"/>
      </w:r>
      <w:r w:rsidR="002D20B5" w:rsidRPr="002D20B5">
        <w:rPr>
          <w:rFonts w:ascii="Aptos" w:hAnsi="Aptos" w:cs="Times New Roman"/>
          <w:sz w:val="22"/>
          <w:vertAlign w:val="superscript"/>
        </w:rPr>
        <w:t>352</w:t>
      </w:r>
      <w:r>
        <w:fldChar w:fldCharType="end"/>
      </w:r>
      <w:r>
        <w:t xml:space="preserve">. </w:t>
      </w:r>
      <w:r w:rsidRPr="00FF3619">
        <w:t xml:space="preserve">Some reasons for this may be high PTH prior to transplant, low vitamin D levels and poor graft function </w:t>
      </w:r>
      <w:r>
        <w:fldChar w:fldCharType="begin"/>
      </w:r>
      <w:r w:rsidR="002D20B5">
        <w:instrText xml:space="preserve"> ADDIN ZOTERO_ITEM CSL_CITATION {"citationID":"oIgYTd9s","properties":{"formattedCitation":"\\super 353\\nosupersub{}","plainCitation":"353","noteIndex":0},"citationItems":[{"id":19085,"uris":["http://zotero.org/users/3444308/items/DPXGCYHT","http://zotero.org/users/3444308/items/MJDLDRIZ"],"itemData":{"id":19085,"type":"article-journal","abstract":"After kidney transplantation, mineral and bone disorders are associated with higher risk of fractures and consequent morbidity and mortality. Disorders of calcium and phosphorus, vitamin D deficiency, and hyperparathyroidism are also common. The epidemiology of bone disease has evolved over the past several decades due to changes in immunosuppressive regimens, mainly glucocorticoid minimization or avoidance. The assessment of bone disease in kidney transplant recipients relies on risk factor recognition and bone mineral density assessment. Several drugs have been trialed for the treatment of post-transplant mineral and bone disorders. This review will focus on the epidemiology, effect, and treatment of metabolic and skeletal derangements in the transplant recipient.","container-title":"Clinical journal of the American Society of Nephrology: CJASN","DOI":"10.2215/CJN.03410321","ISSN":"1555-905X","issue":"1","journalAbbreviation":"Clin J Am Soc Nephrol","language":"eng","note":"PMID: 34127484\nPMCID: PMC8763144","page":"121-130","source":"PubMed","title":"Bone and Mineral Disease in Kidney Transplant Recipients","volume":"17","author":[{"family":"Khairallah","given":"Pascale"},{"family":"Nickolas","given":"Thomas L."}],"issued":{"date-parts":[["2022",1]]}}}],"schema":"https://github.com/citation-style-language/schema/raw/master/csl-citation.json"} </w:instrText>
      </w:r>
      <w:r>
        <w:fldChar w:fldCharType="separate"/>
      </w:r>
      <w:r w:rsidR="002D20B5" w:rsidRPr="002D20B5">
        <w:rPr>
          <w:rFonts w:ascii="Aptos" w:hAnsi="Aptos" w:cs="Times New Roman"/>
          <w:sz w:val="22"/>
          <w:vertAlign w:val="superscript"/>
        </w:rPr>
        <w:t>353</w:t>
      </w:r>
      <w:r>
        <w:fldChar w:fldCharType="end"/>
      </w:r>
    </w:p>
    <w:p w14:paraId="3FCF7CAA" w14:textId="2C39C0A2" w:rsidR="00426BCE" w:rsidRPr="00FF3619" w:rsidRDefault="00426BCE" w:rsidP="00516860">
      <w:r w:rsidRPr="00FF3619">
        <w:t>Post-transplant hyperparathyroidism is a complex entity that may represent a true high bone turnover state but also low bone turnover and the only certain way to distinguish between the two types of mineral and bone disorder (MBD-CKD) is by bone biopsy</w:t>
      </w:r>
      <w:r>
        <w:t xml:space="preserve"> </w:t>
      </w:r>
      <w:r>
        <w:fldChar w:fldCharType="begin"/>
      </w:r>
      <w:r w:rsidR="002D20B5">
        <w:instrText xml:space="preserve"> ADDIN ZOTERO_ITEM CSL_CITATION {"citationID":"hfpTy4wH","properties":{"formattedCitation":"\\super 354\\nosupersub{}","plainCitation":"354","noteIndex":0},"citationItems":[{"id":19103,"uris":["http://zotero.org/users/3444308/items/U7DEJL4G"],"itemData":{"id":19103,"type":"article-journal","abstract":"Hypercalcemia in persistent secondary hyperparathyroidism after kidney transplantation is considered to result from increased bone resorption. Bone biopsies' studies, however, have never been performed in these patients. Bone biopsies after double tetracycline labeling were obtained from 17 patients with hypercalcemic hyperparathyroidism and an estimated glomerular filtration rate &gt; 30 mL/min/1.73 m2. Serologic bone markers, calcitriol, intact fibroblast growth factor-23 (iFGF-23), and serum and 24h urine concentration of calcium and phosphate were measured in all patients. Tubular maximum for phosphate corrected for GFR (TmP/GFR), and the fractional excretion of calcium (FeCa) were calculated. High-turnover renal osteodystrophy (ROD) was present in nine and low-turnover ROD in eight patients. The bone formation rate was significantly associated with bone alkaline phosphatase, c-telopeptide and osteocalcin. In patients with high turnover ROD, osteocalcin was also significantly higher than in patients with decreased bone formation. The FeCa was normal or below normal in 14/17 patients. TmP/GFR was below normal in all patients. Neither intact PTH nor iFGF-23 was associated with TmP/GFR, FeCa or any histomorphometric bone parameter. We conclude that hypercalcemia of posttransplant hyperparathyroidism can be associated with high or low turnover bone disease. Decreased calcium excretion suggests an additive tubular effect on hypercalcemia.","container-title":"American Journal of Transplantation: Official Journal of the American Society of Transplantation and the American Society of Transplant Surgeons","DOI":"10.1111/j.1600-6143.2007.01950.x","ISSN":"1600-6135","issue":"11","journalAbbreviation":"Am J Transplant","language":"eng","note":"PMID: 17725680","page":"2515-2521","source":"PubMed","title":"Low-turnover bone disease in hypercalcemic hyperparathyroidism after kidney transplantation","volume":"7","author":[{"family":"Borchhardt","given":"K."},{"family":"Sulzbacher","given":"I."},{"family":"Benesch","given":"T."},{"family":"Födinger","given":"M."},{"family":"Sunder-Plassmann","given":"G."},{"family":"Haas","given":"M."}],"issued":{"date-parts":[["2007",11]]}}}],"schema":"https://github.com/citation-style-language/schema/raw/master/csl-citation.json"} </w:instrText>
      </w:r>
      <w:r>
        <w:fldChar w:fldCharType="separate"/>
      </w:r>
      <w:r w:rsidR="002D20B5" w:rsidRPr="002D20B5">
        <w:rPr>
          <w:rFonts w:ascii="Aptos" w:hAnsi="Aptos" w:cs="Times New Roman"/>
          <w:sz w:val="22"/>
          <w:vertAlign w:val="superscript"/>
        </w:rPr>
        <w:t>354</w:t>
      </w:r>
      <w:r>
        <w:fldChar w:fldCharType="end"/>
      </w:r>
      <w:r w:rsidRPr="00FF3619">
        <w:t>. Dietary intake of phosphate, longstanding phosphate retention whilst on dialysis, as well as high fibroblast growth factor 23 (FGF-23) levels and profound urinary phosphate losses due to hyperparathyroidism in the early post-transplant period all contribute to the complexity of managing this condition</w:t>
      </w:r>
      <w:r>
        <w:t xml:space="preserve"> </w:t>
      </w:r>
      <w:r>
        <w:fldChar w:fldCharType="begin"/>
      </w:r>
      <w:r w:rsidR="002D20B5">
        <w:instrText xml:space="preserve"> ADDIN ZOTERO_ITEM CSL_CITATION {"citationID":"iRNjPos3","properties":{"formattedCitation":"\\super 353\\nosupersub{}","plainCitation":"353","noteIndex":0},"citationItems":[{"id":19085,"uris":["http://zotero.org/users/3444308/items/DPXGCYHT","http://zotero.org/users/3444308/items/MJDLDRIZ"],"itemData":{"id":19085,"type":"article-journal","abstract":"After kidney transplantation, mineral and bone disorders are associated with higher risk of fractures and consequent morbidity and mortality. Disorders of calcium and phosphorus, vitamin D deficiency, and hyperparathyroidism are also common. The epidemiology of bone disease has evolved over the past several decades due to changes in immunosuppressive regimens, mainly glucocorticoid minimization or avoidance. The assessment of bone disease in kidney transplant recipients relies on risk factor recognition and bone mineral density assessment. Several drugs have been trialed for the treatment of post-transplant mineral and bone disorders. This review will focus on the epidemiology, effect, and treatment of metabolic and skeletal derangements in the transplant recipient.","container-title":"Clinical journal of the American Society of Nephrology: CJASN","DOI":"10.2215/CJN.03410321","ISSN":"1555-905X","issue":"1","journalAbbreviation":"Clin J Am Soc Nephrol","language":"eng","note":"PMID: 34127484\nPMCID: PMC8763144","page":"121-130","source":"PubMed","title":"Bone and Mineral Disease in Kidney Transplant Recipients","volume":"17","author":[{"family":"Khairallah","given":"Pascale"},{"family":"Nickolas","given":"Thomas L."}],"issued":{"date-parts":[["2022",1]]}}}],"schema":"https://github.com/citation-style-language/schema/raw/master/csl-citation.json"} </w:instrText>
      </w:r>
      <w:r>
        <w:fldChar w:fldCharType="separate"/>
      </w:r>
      <w:r w:rsidR="002D20B5" w:rsidRPr="002D20B5">
        <w:rPr>
          <w:rFonts w:ascii="Aptos" w:hAnsi="Aptos" w:cs="Times New Roman"/>
          <w:sz w:val="22"/>
          <w:vertAlign w:val="superscript"/>
        </w:rPr>
        <w:t>353</w:t>
      </w:r>
      <w:r>
        <w:fldChar w:fldCharType="end"/>
      </w:r>
      <w:r w:rsidRPr="00FF3619">
        <w:t xml:space="preserve">. </w:t>
      </w:r>
    </w:p>
    <w:p w14:paraId="15EE509D" w14:textId="4D6647AE" w:rsidR="00426BCE" w:rsidRPr="00FF3619" w:rsidRDefault="00426BCE" w:rsidP="00516860">
      <w:r w:rsidRPr="00FF3619">
        <w:t xml:space="preserve">Hypercalcemia has been shown to affect up to 59%, 45%, and 21% KTR at 3 and 12 months and 5 years, respectively and peak at around 2 months </w:t>
      </w:r>
      <w:r>
        <w:fldChar w:fldCharType="begin"/>
      </w:r>
      <w:r w:rsidR="002D20B5">
        <w:instrText xml:space="preserve"> ADDIN ZOTERO_ITEM CSL_CITATION {"citationID":"KH3AEoGH","properties":{"formattedCitation":"\\super 343,355\\nosupersub{}","plainCitation":"343,355","noteIndex":0},"citationItems":[{"id":19080,"uris":["http://zotero.org/users/3444308/items/8ZM3LVTL","http://zotero.org/users/3444308/items/YY3JQINI"],"itemData":{"id":19080,"type":"article-journal","abstract":"Kidney transplantation corrects most of the metabolic abnormalities that cause renal osteodystrophy. However, many transplanted patients develop osteoporosis and other bone lesions that are related, at least in part, to their immunosuppressive regimen. The precise histologic patterns of bone disease after transplantation are not well defined. In a study designed to investigate this issue, 57 adult posttransplant patients agreed to undergo bone biopsies and blood drawings. There were 32 men and 25 women, mean age 45 +/- 2 yr, who had received a kidney transplantation 5.6 +/- 0.8 yr before biopsy. History of bone pain, fractures, and avascular necrosis was found in 22, 12, and 7 patients, respectively. Serum creatinine was 1.68 +/- 0.1 mg/dl, 21% of patients were hypercalcemic, 63.2% had elevated parathyroid hormone (PTH) (&gt;65 pg/ml), and 91.2% had normal calcitriol levels. Cancellous bone volume/tissue volume was below normal compared to age- and gender-matched control subjects in 56.1% of patients. Bone turnover (activation frequency) was low in 45.6%, normal in 28.1%, and elevated in 26.3% of patients. Bone formation rate/bone surface was low in 59.7%, normal in 35%, and elevated in 5. 3% of the patients. Erosion surface/bone surface was high in 21.1% of patients. Mineralization was prolonged in 87.5% of patients, including 9 patients with osteomalacia and 12 patients with focal osteomalacia. Cumulative and maintenance doses of prednisone and time elapsed since transplantation correlated negatively with bone volume and bone turnover (r = -0.32 to -0.59, P &lt; 0.05 to 0.01), whereas cumulative doses of cyclosporine or azathioprine, age, gender, or serum PTH levels did not. Regression analysis identified prednisone as the main factor responsible for low bone volume and bone turnover (r = 0.54 and r = 0.43, P &lt; 0.01). No factors were found to predict delayed mineralization. The present study shows that low bone volume, low bone turnover, and generalized or focal osteomalacia are frequent histologic features in transplanted patients. The effects of age, gender, PTH, and cyclosporine on bone volume and bone turnover are apparently overridden by the prominent effects of glucocorticoids. The prevalence of mineralization defect in the presence of normal serum levels of calcidiol and calcitriol suggests vitamin D resistance and deserves further study.","container-title":"Journal of the American Society of Nephrology: JASN","DOI":"10.1681/ASN.V1161093","ISSN":"1046-6673","issue":"6","journalAbbreviation":"J Am Soc Nephrol","language":"eng","note":"PMID: 10820173","page":"1093-1099","source":"PubMed","title":"High prevalence of low bone turnover and occurrence of osteomalacia after kidney transplantation","volume":"11","author":[{"family":"Monier-Faugere","given":"Marie-Claude"},{"family":"Mawad","given":"Hanna"},{"family":"Qi","given":"Quanle"},{"family":"Friedler","given":"Robert M."},{"family":"Malluche","given":"Hartmut H."}],"issued":{"date-parts":[["2000",6]]}}},{"id":19102,"uris":["http://zotero.org/users/3444308/items/SV629ECI"],"itemData":{"id":19102,"type":"article-journal","abstract":"BACKGROUND AND OBJECTIVES: Hypercalcemia is a common complication in renal transplant recipients and has been associated with nephrocalcinosis and poor graft outcome. The performance of total calcium (tCa) in the diagnosis of blood calcium disturbances in renal transplant recipients is unknown.\nDESIGN, SETTING, PARTICIPANTS, &amp; MEASUREMENTS: We compared the ability of total tCa concentration to identify low, normal, or high ionized calcium (iCa) concentration, i.e., the gold standard, in an unselected cohort of 268 renal transplant recipients. All patients were studied 3 and 12 months after successful engraftment.\nRESULTS: Hypercalcemia, defined as a iCa &gt;1.29 mmol/L, was present in 58.6 and 44.8% of the patients at months 3 and 12, respectively. tCa concentrations &gt;10.3 mg/dl, conversely, were observed in only 13.1% of the patients. Measuring tCa had a low sensitivity (20.3 and 24.2% at months 3 and 12, respectively) for the diagnosis of hypercalcemia. The agreement (κ coefficient [95% confidence interval]) between tCa concentrations and iCa was poor (month 3: 0.11 [0.05 to 0.17]; month 12: 0.20 [0.11 to 0.30]). The risk for underestimating iCa was increased by a low total bicarbonate concentration. Metabolic acidosis was observed in 48.1 and 37.3% of the patients at months 3 and 12, respectively.\nCONCLUSIONS: Total calcium greatly underestimates the diagnosis of hypercalcemia in incident renal transplant recipients. This is mainly explained by the high prevalence of metabolic acidosis in these patients.","container-title":"Clinical journal of the American Society of Nephrology: CJASN","DOI":"10.2215/CJN.02460310","ISSN":"1555-905X","issue":"11","journalAbbreviation":"Clin J Am Soc Nephrol","language":"eng","note":"PMID: 20829423\nPMCID: PMC3001770","page":"2085-2092","source":"PubMed","title":"Measuring total blood calcium displays a low sensitivity for the diagnosis of hypercalcemia in incident renal transplant recipients","volume":"5","author":[{"family":"Evenepoel","given":"Pieter"},{"family":"Bammens","given":"Bert"},{"family":"Claes","given":"Kathleen"},{"family":"Kuypers","given":"Dirk"},{"family":"Meijers","given":"Björn K. I."},{"family":"Vanrenterghem","given":"Yves"}],"issued":{"date-parts":[["2010",11]]}}}],"schema":"https://github.com/citation-style-language/schema/raw/master/csl-citation.json"} </w:instrText>
      </w:r>
      <w:r>
        <w:fldChar w:fldCharType="separate"/>
      </w:r>
      <w:r w:rsidR="002D20B5" w:rsidRPr="002D20B5">
        <w:rPr>
          <w:rFonts w:ascii="Aptos" w:hAnsi="Aptos" w:cs="Times New Roman"/>
          <w:sz w:val="22"/>
          <w:vertAlign w:val="superscript"/>
        </w:rPr>
        <w:t>343,355</w:t>
      </w:r>
      <w:r>
        <w:fldChar w:fldCharType="end"/>
      </w:r>
      <w:r w:rsidRPr="00FF3619">
        <w:t xml:space="preserve">. Hypercalcemia is related to a combination of increased urinary calcium absorption secondary to hyperparathyroidism in a well-functioning kidney, vitamin D repletion, and calcium release from the skeleton. Hypercalcaemia management in KTR is important as calcification of the graft may affect graft survival </w:t>
      </w:r>
      <w:r>
        <w:fldChar w:fldCharType="begin"/>
      </w:r>
      <w:r w:rsidR="002D20B5">
        <w:instrText xml:space="preserve"> ADDIN ZOTERO_ITEM CSL_CITATION {"citationID":"Xpdhc6iK","properties":{"formattedCitation":"\\super 353\\nosupersub{}","plainCitation":"353","noteIndex":0},"citationItems":[{"id":19085,"uris":["http://zotero.org/users/3444308/items/DPXGCYHT","http://zotero.org/users/3444308/items/MJDLDRIZ"],"itemData":{"id":19085,"type":"article-journal","abstract":"After kidney transplantation, mineral and bone disorders are associated with higher risk of fractures and consequent morbidity and mortality. Disorders of calcium and phosphorus, vitamin D deficiency, and hyperparathyroidism are also common. The epidemiology of bone disease has evolved over the past several decades due to changes in immunosuppressive regimens, mainly glucocorticoid minimization or avoidance. The assessment of bone disease in kidney transplant recipients relies on risk factor recognition and bone mineral density assessment. Several drugs have been trialed for the treatment of post-transplant mineral and bone disorders. This review will focus on the epidemiology, effect, and treatment of metabolic and skeletal derangements in the transplant recipient.","container-title":"Clinical journal of the American Society of Nephrology: CJASN","DOI":"10.2215/CJN.03410321","ISSN":"1555-905X","issue":"1","journalAbbreviation":"Clin J Am Soc Nephrol","language":"eng","note":"PMID: 34127484\nPMCID: PMC8763144","page":"121-130","source":"PubMed","title":"Bone and Mineral Disease in Kidney Transplant Recipients","volume":"17","author":[{"family":"Khairallah","given":"Pascale"},{"family":"Nickolas","given":"Thomas L."}],"issued":{"date-parts":[["2022",1]]}}}],"schema":"https://github.com/citation-style-language/schema/raw/master/csl-citation.json"} </w:instrText>
      </w:r>
      <w:r>
        <w:fldChar w:fldCharType="separate"/>
      </w:r>
      <w:r w:rsidR="002D20B5" w:rsidRPr="002D20B5">
        <w:rPr>
          <w:rFonts w:ascii="Aptos" w:hAnsi="Aptos" w:cs="Times New Roman"/>
          <w:sz w:val="22"/>
          <w:vertAlign w:val="superscript"/>
        </w:rPr>
        <w:t>353</w:t>
      </w:r>
      <w:r>
        <w:fldChar w:fldCharType="end"/>
      </w:r>
      <w:r>
        <w:t>.</w:t>
      </w:r>
    </w:p>
    <w:p w14:paraId="72975C1E" w14:textId="51FC3E34" w:rsidR="00426BCE" w:rsidRPr="00FF3619" w:rsidRDefault="00426BCE" w:rsidP="00516860">
      <w:r w:rsidRPr="00FF3619">
        <w:t>Treatment of KTR with hyperparathyroidism should be in conjunction with the KDIGO-MBD recommendations</w:t>
      </w:r>
      <w:r>
        <w:t xml:space="preserve"> </w:t>
      </w:r>
      <w:r>
        <w:fldChar w:fldCharType="begin"/>
      </w:r>
      <w:r w:rsidR="002D20B5">
        <w:instrText xml:space="preserve"> ADDIN ZOTERO_ITEM CSL_CITATION {"citationID":"spWWX8Wg","properties":{"formattedCitation":"\\super 337\\nosupersub{}","plainCitation":"337","noteIndex":0},"citationItems":[{"id":19084,"uris":["http://zotero.org/users/3444308/items/57HWUC23","http://zotero.org/users/3444308/items/YEE74S5Q"],"itemData":{"id":19084,"type":"article-journal","container-title":"Kidney International Supplements","DOI":"10.1016/j.kisu.2017.04.001","ISSN":"2157-1724","issue":"1","journalAbbreviation":"Kidney Int Suppl (2011)","language":"eng","note":"PMID: 30675420\nPMCID: PMC6340919","page":"1-59","source":"PubMed","title":"KDIGO 2017 Clinical Practice Guideline Update for the Diagnosis, Evaluation, Prevention, and Treatment of Chronic Kidney Disease-Mineral and Bone Disorder (CKD-MBD)","volume":"7","author":[{"literal":"Kidney Disease: Improving Global Outcomes (KDIGO) CKD-MBD Update Work Group"}],"issued":{"date-parts":[["2017",7]]}}}],"schema":"https://github.com/citation-style-language/schema/raw/master/csl-citation.json"} </w:instrText>
      </w:r>
      <w:r>
        <w:fldChar w:fldCharType="separate"/>
      </w:r>
      <w:r w:rsidR="002D20B5" w:rsidRPr="002D20B5">
        <w:rPr>
          <w:rFonts w:ascii="Aptos" w:hAnsi="Aptos" w:cs="Times New Roman"/>
          <w:sz w:val="22"/>
          <w:vertAlign w:val="superscript"/>
        </w:rPr>
        <w:t>337</w:t>
      </w:r>
      <w:r>
        <w:fldChar w:fldCharType="end"/>
      </w:r>
      <w:r w:rsidRPr="00FF3619">
        <w:t>.  Cinacalcet may be used in KTR.  It successfully corrects hypercalcaemia and elevated PTH level, may improve bone mineral density, and may also have an antihypertensive effect</w:t>
      </w:r>
      <w:r>
        <w:t xml:space="preserve"> </w:t>
      </w:r>
      <w:r>
        <w:fldChar w:fldCharType="begin"/>
      </w:r>
      <w:r w:rsidR="002D20B5">
        <w:instrText xml:space="preserve"> ADDIN ZOTERO_ITEM CSL_CITATION {"citationID":"FIwaIO69","properties":{"formattedCitation":"\\super 356\\uc0\\u8211{}359\\nosupersub{}","plainCitation":"356–359","noteIndex":0},"citationItems":[{"id":19100,"uris":["http://zotero.org/users/3444308/items/FRTJZG6X"],"itemData":{"id":19100,"type":"article-journal","abstract":"BACKGROUND: Persistent secondary hyperparathyroidism (SHP) is the most frequent cause of hypercalcemia observed in approximately 10% of renal transplanted (RT) patients 1 year after surgery. Persistent SHP with hypercalcemia is an important factor of bone loss after renal transplantation. This study prospectively evaluates the effects of cinacalcet therapy on serum calcium (SCa) and parathyroid hormone (PTH) blood levels, and basically on bone mineral density (BMD) in RT patients with persistent hyperparathyroidism.\nMETHODS: Nine RT patients (eight women, one man) with allograft function more than 6 months were included based on total SCa more than 10.5 mg/dL and intact parathyroid hormone (iPTH) concentration more than 65 pg/mL. After inclusion, patients started on a single daily oral dose of 30 mg of cinacalcet. At inclusion and every study visit blood levels of creatinine, Ca, P, alkaline phosphatase, iPTH 1,25- dihydroxyvitamin D3, and 25-hydroxyvitamin D3 were assessed. Baseline and at the end of study radial BMD were measured. Study follow-up was 12 months.\nRESULTS: During the study period, SCa decreased from 11.72+/-0.39 to 10.03+/-0.54 mg/dL (P&lt;0.001). iPTH decreased from 308.85+/-120.12 to 214.66+/-53.75 mg/dL (P&lt;0.05). The mean serum creatinine decreased from 1.58+/-0.34 to 1.25+/-0.27 mg/dL (P=0.03) and the mean radial BMD increased from 0.881+/-0.155 to 0.965+/-0.123 gr/cm2 (P&lt;0.05). There were no significant changes in the other parameters assessed. One patient was excluded for gastrointestinal intolerance.\nCONCLUSIONS: In RT patients with hypercalcemia secondary to persistent SHP, cinacalcet corrects hypercalcemia and PTH, simultaneously improving BMD.","container-title":"Transplantation","DOI":"10.1097/TP.0b013e31817c13e1","ISSN":"0041-1337","issue":"3","journalAbbreviation":"Transplantation","language":"eng","note":"PMID: 18698244","page":"413-417","source":"PubMed","title":"Effect of cinacalcet on hypercalcemia and bone mineral density in renal transplanted patients with secondary hyperparathyroidism","volume":"86","author":[{"family":"Bergua","given":"Carlos"},{"family":"Torregrosa","given":"José-Vicente"},{"family":"Fuster","given":"David"},{"family":"Gutierrez-Dalmau","given":"Alex"},{"family":"Oppenheimer","given":"Federico"},{"family":"Campistol","given":"José M."}],"issued":{"date-parts":[["2008",8,15]]}}},{"id":19098,"uris":["http://zotero.org/users/3444308/items/GJLGSKR5"],"itemData":{"id":19098,"type":"article-journal","abstract":"BACKGROUND: After successful kidney transplantation, hyperparathyroidism can persist in 10%-50% of patients and can harmfully affect bone metabolism. Calcimimetic cinacalcet is a new treatment option in the management of persistent hyperparathyroidism in these patients.\nMETHODS: This prospective, clinical study of 11 patients included those who had a serum intact parathyroid hormone (iPTH) concentration &gt;65 ng/L, a serum creatinine concentration was &lt;200 μmol/L, stable kidney graft function, and were &gt;1 year since transplantation. Patients were not treated with drugs other than calcitriol that could influence bone metabolism. During the 6-month observation period, in which the stability of measured parameters was determined, and in the 12-month treatment period (cinacalcet 30 mg/d), we followed serum concentrations of calcium, phosphate, iPTH, creatinine, vitamin 25OH D(3), bone-specific alkaline phosphatase (ALP), osteocalcin, collagen degradation fragments (CTX), urinary calcium excretion, and bone mineral density (BMD).\nRESULTS: During the treatment period, the serum calcium concentration decreased significantly (from 2.50 ± 0.12 to 2.32 ± 0.12 mmol/L; P &lt; .01). Serum iPTH concentration decreased significantly (from 247 [range, 199-362] at time 0 to 198 [range, 165-233] ng/L after 1 month of treatment; P &lt; .05), but increased slightly thereafter. After 6 months of treatment, the serum concentration of ALP and CTX increased significantly, but decreased thereafter. There were no significant changes in the other parameters assessed. Renal function remained stable during the treatment period. The BMD of the lumbar spine, hip, and forearm did not change during the 12 months of treatment.\nCONCLUSION: Cinacalcet was effective in treating posttransplant hyperparathyroidism, resulting in decreased calcemia and transient decreased iPTH. ALP and CTX transiently increased during therapy, but other markers of bone metabolism remained unchanged. Twelve months of cinacalcet treatment did not result in a change in BMD. Cinacalcet seems to be a safe drug with no negative effect on renal function.","container-title":"Transplantation Proceedings","DOI":"10.1016/j.transproceed.2010.09.059","ISSN":"1873-2623","issue":"10","journalAbbreviation":"Transplant Proc","language":"eng","note":"PMID: 21168632","page":"4078-4082","source":"PubMed","title":"Treatment of hyperparathyroidism with cinacalcet in kidney transplant recipients","volume":"42","author":[{"family":"Borstnar","given":"S."},{"family":"Erzen","given":"B."},{"family":"Gmeiner Stopar","given":"T."},{"family":"Kocjan","given":"T."},{"family":"Arnol","given":"M."},{"family":"Kandus","given":"A."},{"family":"Kovac","given":"D."}],"issued":{"date-parts":[["2010",12]]}}},{"id":19101,"uris":["http://zotero.org/users/3444308/items/XHTTJN2D"],"itemData":{"id":19101,"type":"article-journal","abstract":"Graft and patient survival in renal transplantation has increased with better immune suppression treatment, leading to the appearance of new complications such as posttransplant bone disease. After renal transplantation and the recovery of renal function, mineral metabolism disorders secondary to renal failure could be expected to normalize. However, both immediately after transplantation and later, and even with good renal graft function, we see bone disorders associated to renal osteodystrophy, a high incidence of osteopenia, persistent hyperparathyroidism, hypercalcemia, hypophosphoremia, and less commonly, aseptic bone necrosis. The causes potentially responsible for these disorders have basically been identified as different degrees of renal insufficiency in the graft, persistent posttransplant secondary hyperparathyroidism, and negative impact of immunosuppression treatment, particularly corticosteroids. The most important factor in the evolution of metabolic and bone disorders after renal transplantation, however, is pretransplant bone status. Special attention should be paid to other osteoarticular complications such as loss of bone mass and fractures, leading to significant morbidity. In the therapeutic approach to these patients, as well as encouraging physical exercise and advice about diet or other habits, the use of drugs such as calcium and vitamin D supplements, bisphosphonates, and more recently, calcimimetics have made significant improvements in the prevention and treatment of bone-mineral metabolism. It has been shown that calcimimetic agents can control the parathyroid hormone, reduce episodes of hypercalcemia, and improve hypophosphatemia. Their properties have to be assessed in broader studies to establish the basis for their widespread use among renal transplant recipients.","container-title":"Transplantation Reviews (Orlando, Fla.)","DOI":"10.1016/j.trre.2010.01.001","ISSN":"1557-9816","issue":"2","journalAbbreviation":"Transplant Rev (Orlando)","language":"eng","note":"PMID: 20303456","page":"79-88","source":"PubMed","title":"Treatment with calcimimetics in kidney transplantation","volume":"24","author":[{"family":"Morales","given":"Enrique"},{"family":"Gutierrez","given":"Eduardo"},{"family":"Andres","given":"Amado"}],"issued":{"date-parts":[["2010",4]]}}},{"id":19099,"uris":["http://zotero.org/users/3444308/items/Q73LU4M9"],"itemData":{"id":19099,"type":"article-journal","abstract":"BACKGROUND: The calcimimetic cinacalcet has recently been increasingly used for persistent hyperparathyroidism after renal transplantation. The present study investigated the short-term effects of cinacalcet on urinary electrolyte concentration and arterial blood pressure in kidney transplant patients with persistent hyperparathyroidism.\nMETHODS: In a prospective controlled single-center cross-over study, we examined 10 stable kidney transplant patients (mean estimated glomerular filtration rate 51±10 mL/min/1.73 m(2)) who received cinacalcet daily for persistent hyperparathyroidism. Urine specimens were collected at baseline and every 2 hr for a total study period of 6 hr after ingestion of 30 mg cinacalcet and without cinacalcet. Intact parathyroid hormone was determined at baseline and 2 hr later. Using ambulatory blood pressure measurement, arterial blood pressure was determined every 15 min.\nRESULTS: Intact parathyroid hormone was significantly reduced with cinacalcet as compared with controls (-37±27.7% vs. -9.6±10.3%, P=0.009). With cinacalcet, urinary calcium and magnesium concentration were increased (P=0.042 and P=0.007, respectively) and differed significantly as compared with the control phase without cinacalcet. After 4 hr, an increased urinary sodium concentration was also found compared with the control phase (P=0.039). Systolic blood pressure was reduced with cinacalcet (P&lt;0.001) and differed significantly from control phase (-13.7±9.9 mm Hg vs. -3.2±5.2 mm Hg after 2 hr, P=0.009; -18.1±10.8 mm Hg vs. -1.9±5.2 mm Hg after 4 hr, P=0.001).\nCONCLUSIONS: In the short term, cinacalcet increases the urinary concentration of calcium, magnesium, and sodium. The observed antihypertensive effect might be beneficial in patients with a high cardiovascular risk after kidney transplantation.","container-title":"Transplantation","DOI":"10.1097/TP.0b013e31822d87e8","ISSN":"1534-6080","issue":"8","journalAbbreviation":"Transplantation","language":"eng","note":"PMID: 21876476","page":"883-889","source":"PubMed","title":"Effect of cinacalcet on renal electrolyte handling and systemic arterial blood pressure in kidney transplant patients with persistent hyperparathyroidism","volume":"92","author":[{"family":"Zitt","given":"Emanuel"},{"family":"Woess","given":"Erich"},{"family":"Mayer","given":"Gert"},{"family":"Lhotta","given":"Karl"}],"issued":{"date-parts":[["2011",10,27]]}}}],"schema":"https://github.com/citation-style-language/schema/raw/master/csl-citation.json"} </w:instrText>
      </w:r>
      <w:r>
        <w:fldChar w:fldCharType="separate"/>
      </w:r>
      <w:r w:rsidR="002D20B5" w:rsidRPr="002D20B5">
        <w:rPr>
          <w:rFonts w:ascii="Aptos" w:hAnsi="Aptos" w:cs="Times New Roman"/>
          <w:sz w:val="22"/>
          <w:vertAlign w:val="superscript"/>
        </w:rPr>
        <w:t>356–359</w:t>
      </w:r>
      <w:r>
        <w:fldChar w:fldCharType="end"/>
      </w:r>
      <w:r w:rsidRPr="00FF3619">
        <w:t>.</w:t>
      </w:r>
    </w:p>
    <w:p w14:paraId="33B5D6DF" w14:textId="4290F839" w:rsidR="00426BCE" w:rsidRPr="00FF3619" w:rsidRDefault="00426BCE" w:rsidP="00516860">
      <w:r w:rsidRPr="00FF3619">
        <w:t>There is no determined ideal PTH levels for KTR as higher levels increase risk of CV disease and normal levels may result in adynamic bone disease</w:t>
      </w:r>
      <w:r>
        <w:t xml:space="preserve"> </w:t>
      </w:r>
      <w:r>
        <w:fldChar w:fldCharType="begin"/>
      </w:r>
      <w:r w:rsidR="002D20B5">
        <w:instrText xml:space="preserve"> ADDIN ZOTERO_ITEM CSL_CITATION {"citationID":"mCHNOZiD","properties":{"formattedCitation":"\\super 353\\nosupersub{}","plainCitation":"353","noteIndex":0},"citationItems":[{"id":19085,"uris":["http://zotero.org/users/3444308/items/DPXGCYHT","http://zotero.org/users/3444308/items/MJDLDRIZ"],"itemData":{"id":19085,"type":"article-journal","abstract":"After kidney transplantation, mineral and bone disorders are associated with higher risk of fractures and consequent morbidity and mortality. Disorders of calcium and phosphorus, vitamin D deficiency, and hyperparathyroidism are also common. The epidemiology of bone disease has evolved over the past several decades due to changes in immunosuppressive regimens, mainly glucocorticoid minimization or avoidance. The assessment of bone disease in kidney transplant recipients relies on risk factor recognition and bone mineral density assessment. Several drugs have been trialed for the treatment of post-transplant mineral and bone disorders. This review will focus on the epidemiology, effect, and treatment of metabolic and skeletal derangements in the transplant recipient.","container-title":"Clinical journal of the American Society of Nephrology: CJASN","DOI":"10.2215/CJN.03410321","ISSN":"1555-905X","issue":"1","journalAbbreviation":"Clin J Am Soc Nephrol","language":"eng","note":"PMID: 34127484\nPMCID: PMC8763144","page":"121-130","source":"PubMed","title":"Bone and Mineral Disease in Kidney Transplant Recipients","volume":"17","author":[{"family":"Khairallah","given":"Pascale"},{"family":"Nickolas","given":"Thomas L."}],"issued":{"date-parts":[["2022",1]]}}}],"schema":"https://github.com/citation-style-language/schema/raw/master/csl-citation.json"} </w:instrText>
      </w:r>
      <w:r>
        <w:fldChar w:fldCharType="separate"/>
      </w:r>
      <w:r w:rsidR="002D20B5" w:rsidRPr="002D20B5">
        <w:rPr>
          <w:rFonts w:ascii="Aptos" w:hAnsi="Aptos" w:cs="Times New Roman"/>
          <w:sz w:val="22"/>
          <w:vertAlign w:val="superscript"/>
        </w:rPr>
        <w:t>353</w:t>
      </w:r>
      <w:r>
        <w:fldChar w:fldCharType="end"/>
      </w:r>
      <w:r w:rsidRPr="00FF3619">
        <w:t>.</w:t>
      </w:r>
    </w:p>
    <w:p w14:paraId="6200F91C" w14:textId="1B1C53E1" w:rsidR="00426BCE" w:rsidRPr="00FF3619" w:rsidRDefault="00426BCE" w:rsidP="00516860">
      <w:r w:rsidRPr="00FF3619">
        <w:t xml:space="preserve">There is contradictory data on the effect of parathyroidectomy post transplantation with some small studies showing that PTH was corrected more quickly and effectively in patients with parathyroidectomy </w:t>
      </w:r>
      <w:r>
        <w:fldChar w:fldCharType="begin"/>
      </w:r>
      <w:r w:rsidR="002D20B5">
        <w:instrText xml:space="preserve"> ADDIN ZOTERO_ITEM CSL_CITATION {"citationID":"4fdiRld0","properties":{"formattedCitation":"\\super 360\\uc0\\u8211{}362\\nosupersub{}","plainCitation":"360–362","noteIndex":0},"citationItems":[{"id":18844,"uris":["http://zotero.org/users/3444308/items/GPUWCP3Y"],"itemData":{"id":18844,"type":"article-journal","abstract":"BACKGROUND: Persistent hyperparathyroidism (HPT) with hypercalcemia is prevalent after transplant and is considered a risk factor for progressive bone loss and fractures and vascular calcification, as well as the development of tubulointerstitial calcifications of renal allografts and graft dysfunction. The subtotal parathyroidectomy is the standard treatment, although currently it has been replaced by the calcimimetic cinacalcet.\nAIM: The hypothesis of this study is that subtotal parathyroidectomy is superior to cinacalcet for treatment of persistent secondary parathyroidectomy post renal transplant, with minimal morbidity and significantly it reduces the cost of treatment after transplantation.\nMETHODS: We report our long-term clinical experience with either cinacalcet or parathyroidectomy in 59 kidney transplant recipients with hyperparathyroidism. Group one included medical treatment with cinacalcet and had 45 patients while parathyroidectomy patients (group 2) were 16 patients with two of them excluded because of surgical failure.\nRESULTS: No difference was found between groups for any parameter. A greater short-term change of calcium and phosphorus homeostasis obtained by surgery than by cinacalcet, and in long term change, no significant difference between the two groups.\nCONCLUSIONS: The main findings of this study are that correction of severe hyperparathyroidism was similar in both surgical and cinacalcet groups with the absence of a difference of long-term serum iPTH 1-84 levels between the two groups.","container-title":"Romanian Journal of Internal Medicine = Revue Roumaine De Medecine Interne","DOI":"10.1515/rjim-2016-0027","ISSN":"1220-4749","issue":"3","journalAbbreviation":"Rom J Intern Med","language":"eng","note":"PMID: 27658167","page":"184-189","source":"PubMed","title":"Cinacalcet versus Parathyroidectomy in the Treatment of Secondary Hyperparathyroidism Post Renal Transplantation","volume":"54","author":[{"family":"Soliman","given":"Amin R."},{"family":"Maamoun","given":"Hoda A."},{"family":"Soliman","given":"Mahmoud A."},{"family":"Darwish","given":"Hatem"},{"family":"Elbanna","given":"Esam"}],"issued":{"date-parts":[["2016",9,1]]}}},{"id":18845,"uris":["http://zotero.org/users/3444308/items/EEBHSHCP"],"itemData":{"id":18845,"type":"article-journal","abstract":"BACKGROUND: Renal transplant allograft function in patients with tertiary hyperparathyroidism who are treated with cinacalcet versus parathyroidectomy remains unclear.\nMETHODS: This is a retrospective, single-center review of patients with tertiary hyperparathyroidism between 2000 and 2017. We compared clinical parameters and outcomes, including renal allograft failure in patients who had undergone parathyroidectomy versus treatment with cinacalcet therapy.\nRESULTS: A total of 133 patients were included (33 who received parathyroidectomy and 100 who received cinacalcet); median renal allograft survival was 5.9 years (interquartile range 4.0-9.0). There were no differences in age, sex, body mass index, comorbidities, duration of pretransplant dialysis, cadaveric donor utilization, or rates of delayed allograft function between cohorts. In the parathyroidectomy cohort, normalization of parathyroid hormone occurred more frequently (67% vs 15%, P &lt; .001) and renal allograft failure rates were less (9% vs 33%, P = .007), with similar median posttransplant follow-up (7.0 years [interquartile range 4.5-10.0]). On multivariable analysis, parathyroidectomy was inversely associated with allograft failure (odds ratio 0.20, 95%-confidence interval 0.06-0.71, P = .013); there were no other associated factors. A greater median parathyroid hormone (pg/mL) 1 year posttransplant (348 [interquartile range 204-493] vs 195 [interquartile range 147-297], P = .025) was associated with allograft failure in the cinacalcet cohort.\nCONCLUSION: Parathyroidectomy for tertiary hyperparathyroidism is associated with lesser rates of renal allograft failure compared with cinacalcet management. Patients with inadequate parathyroid hormone control on cinacalcet at 1 year posttransplant should be considered for parathyroidectomy to prevent potential allograft failure.","container-title":"Surgery","DOI":"10.1016/j.surg.2018.04.090","ISSN":"1532-7361","issue":"1","journalAbbreviation":"Surgery","language":"eng","note":"PMID: 30415867","page":"129-134","source":"PubMed","title":"Parathyroidectomy versus Cinacalcet in the Management of Tertiary Hyperparathyroidism: Surgery Improves Renal Transplant Allograft Survival","title-short":"Parathyroidectomy versus Cinacalcet in the Management of Tertiary Hyperparathyroidism","volume":"165","author":[{"family":"Finnerty","given":"Brendan M."},{"family":"Chan","given":"Tyler W."},{"family":"Jones","given":"Gregory"},{"family":"Khader","given":"Tarek"},{"family":"Moore","given":"Maureen"},{"family":"Gray","given":"Katherine D."},{"family":"Beninato","given":"Toni"},{"family":"Watkins","given":"Anthony C."},{"family":"Zarnegar","given":"Rasa"},{"family":"Fahey","given":"Thomas J."}],"issued":{"date-parts":[["2019",1]]}}},{"id":18847,"uris":["http://zotero.org/users/3444308/items/V29SZK6I"],"itemData":{"id":18847,"type":"article-journal","abstract":"BACKGROUND: Persistent hyperparathyroidism post-transplant is associated with increases in the incidence of cardiovascular events, fractures, and deaths. The aim of this study was to compare both therapeutic options available: parathyroidectomy (PTX) and the calcimimetic agent cinacalcet.\nMETHODS: A single center retrospective study including adult renal transplant recipients who developed hypercalcemia due to persistent hyperparathyroidism. Inclusion criteria: PTH &gt; 65 pg/mL with serum calcium &gt; 11.5 mg/dL at any time after transplant or serum calcium persistently higher than 10.2 mg/dL one year after transplant. Patients treated with cinacalcet (n=46) were compared to patients treated with parathyroidectomy (n=30). Follow-up period was one year. Clinical and laboratory data were analyzed to compare efficacy and safety of both therapeutic modalities.\nRESULTS: PTX controlled calcemia faster (month 1 x month 6) and reached significantly lower levels at month 12 (9.1±1.2 vs 9.7±0.8 mg/dL, p &lt; 0.05); PTX patients showed significantly higher levels of serum phosphate (3.8±1.0 vs 2.9±0.5 mg/dL, p &lt; 0.05) and returned PTH to normal levels (45±51 pg/mL). Cinacalcet, despite controlling calcium and phosphate in the long term, decreased but did not correct PTH (197±97 pg/mL). The proportion of patients that remained with PTH above normal range was 95% in the cinacalcet group and 22% in the PTX group. Patients treated with cinacalcet had better renal function (creatinine 1.2±0.3 vs 1.7±0.7 mg/dL, p &lt; 0.05).\nCONCLUSIONS: Surgical treatment was superior to cinacalcet to correct the metabolic disorders of hyperparathyroidism despite being associated with worse renal function in the long term. Cinacalcet proved to be a safe and well tolerated drug.","container-title":"Jornal Brasileiro De Nefrologia","DOI":"10.1590/2175-8239-JBN-2019-0207","ISSN":"2175-8239","issue":"3","journalAbbreviation":"J Bras Nefrol","language":"eng, por","note":"PMID: 32720971\nPMCID: PMC7657049","page":"315-322","source":"PubMed","title":"Therapy for persistent hypercalcemic hyperparathyroidism post-renal transplant: cinacalcet versus parathyroidectomy","title-short":"Therapy for persistent hypercalcemic hyperparathyroidism post-renal transplant","volume":"42","author":[{"family":"Rivelli","given":"Gabriel Giollo"},{"family":"Lima","given":"Marcelo Lopes","dropping-particle":"de"},{"family":"Mazzali","given":"Marilda"}],"issued":{"date-parts":[["2020"]]}}}],"schema":"https://github.com/citation-style-language/schema/raw/master/csl-citation.json"} </w:instrText>
      </w:r>
      <w:r>
        <w:fldChar w:fldCharType="separate"/>
      </w:r>
      <w:r w:rsidR="002D20B5" w:rsidRPr="002D20B5">
        <w:rPr>
          <w:rFonts w:ascii="Aptos" w:hAnsi="Aptos" w:cs="Times New Roman"/>
          <w:sz w:val="22"/>
          <w:vertAlign w:val="superscript"/>
        </w:rPr>
        <w:t>360–362</w:t>
      </w:r>
      <w:r>
        <w:fldChar w:fldCharType="end"/>
      </w:r>
      <w:r w:rsidRPr="00FF3619">
        <w:t>. A meta-analysis which included 7 studies assessing change in graft function 6 and/or 12 months post parathyroidectomy and 13 in KTR treated with cinacalcet, concluded that parathyroidectomy and cinacalcet treatment in KTR does not significantly affect serum creatinine or eGFR</w:t>
      </w:r>
      <w:r>
        <w:t xml:space="preserve"> </w:t>
      </w:r>
      <w:r>
        <w:fldChar w:fldCharType="begin"/>
      </w:r>
      <w:r w:rsidR="002D20B5">
        <w:instrText xml:space="preserve"> ADDIN ZOTERO_ITEM CSL_CITATION {"citationID":"1J5EzPtv","properties":{"formattedCitation":"\\super 363\\nosupersub{}","plainCitation":"363","noteIndex":0},"citationItems":[{"id":18843,"uris":["http://zotero.org/users/3444308/items/S6MI3DDZ"],"itemData":{"id":18843,"type":"article-journal","abstract":"BACKGROUND: Tertiary hyperparathyroidism occurs in 25% to 50% of kidney-transplanted patients. Indication of parathyroidectomy is now discussed, since the calcimimetic agent, cinacalcet, is an alternate option. The effects of either of these treatments on graft function remain controversial, studied only in small cohorts showing either decrease or absence of modification. We performed a meta-analysis to evaluate the evolution of graft function after surgical or medical treatment.\nMETHODS: Studies assessing graft function in tertiary hyperparathyroidism after parathyroidectomy or cinacalcet introduction were enrolled into quantitative analysis using Pubmed, Embase, and Cochrane databases following the Preferred Reporting Items for Systematic Reviews and Meta-Analysis reporting guidelines. Among 68 screened studies, 18 had no missing data and were included for statistical analyses. We performed random effect meta-analysis to determine changes in serum creatinine and estimated glomerular filtration rate.\nRESULTS: Seven studies assessing the evolution of graft function 6 and/or 12 months after parathyroidectomy and 13 after administration of cinacalcet were included. Meta-analysis found no significant variations after parathyroidectomy in serum creatinine (6 studies, 314 patients) and estimated glomerular filtration rate (2 studies, 105 patients). No significant variation was found after administration of cinacalcet in serum creatinine (10 studies, 404 patients) and estimated glomerular filtration rate (6 studies, 149 patients). A significant heterogeneity between the studies (P &lt; .01, Cochran's Q) was found.\nCONCLUSION: Meta-analysis shows that parathyroidectomy and cinacalcet do not significantly impair graft function in patients with tertiary hyperparathyroidism. However, the significant heterogeneity between selected studies, partially explained by the lack of consensual definition of tertiary hyperparathyroidism, limits the conclusions of all previously published series.","container-title":"Surgery","DOI":"10.1016/j.surg.2021.02.048","ISSN":"1532-7361","issue":"3","journalAbbreviation":"Surgery","language":"eng","note":"PMID: 33810851","page":"727-735","source":"PubMed","title":"Parathyroidectomy or cinacalcet: Do we still not know the best option for graft function in kidney-transplanted patients? A meta-analysis","title-short":"Parathyroidectomy or cinacalcet","volume":"170","author":[{"family":"Frey","given":"Samuel"},{"family":"Goronflot","given":"Thomas"},{"family":"Kerleau","given":"Clarisse"},{"family":"Gourraud","given":"Pierre-Antoine"},{"family":"Caillard","given":"Cécile"},{"family":"Hourmant","given":"Maryvonne"},{"family":"Mirallié","given":"Éric"},{"family":"Figueres","given":"Lucile"}],"issued":{"date-parts":[["2021",9]]}}}],"schema":"https://github.com/citation-style-language/schema/raw/master/csl-citation.json"} </w:instrText>
      </w:r>
      <w:r>
        <w:fldChar w:fldCharType="separate"/>
      </w:r>
      <w:r w:rsidR="002D20B5" w:rsidRPr="002D20B5">
        <w:rPr>
          <w:rFonts w:ascii="Aptos" w:hAnsi="Aptos" w:cs="Times New Roman"/>
          <w:sz w:val="22"/>
          <w:vertAlign w:val="superscript"/>
        </w:rPr>
        <w:t>363</w:t>
      </w:r>
      <w:r>
        <w:fldChar w:fldCharType="end"/>
      </w:r>
      <w:r>
        <w:t>.</w:t>
      </w:r>
    </w:p>
    <w:p w14:paraId="5A6187AE" w14:textId="77777777" w:rsidR="00426BCE" w:rsidRPr="00FF3619" w:rsidRDefault="00426BCE" w:rsidP="00516860">
      <w:r w:rsidRPr="00FF3619">
        <w:t xml:space="preserve">There is no </w:t>
      </w:r>
      <w:proofErr w:type="gramStart"/>
      <w:r w:rsidRPr="00FF3619">
        <w:t>evidence</w:t>
      </w:r>
      <w:proofErr w:type="gramEnd"/>
      <w:r w:rsidRPr="00FF3619">
        <w:t xml:space="preserve"> but it seems sensible to treat severe hyperparathyroidism prior to transplantation.</w:t>
      </w:r>
    </w:p>
    <w:p w14:paraId="4054B2A8" w14:textId="7ECC30F1" w:rsidR="00426BCE" w:rsidRPr="00FF3619" w:rsidRDefault="00426BCE" w:rsidP="00516860">
      <w:pPr>
        <w:pStyle w:val="GuidelineHeadings"/>
      </w:pPr>
      <w:r w:rsidRPr="00FF3619">
        <w:t xml:space="preserve">Guideline </w:t>
      </w:r>
      <w:r w:rsidR="00B361D6">
        <w:t>8</w:t>
      </w:r>
      <w:r w:rsidRPr="00FF3619">
        <w:t>.3 – KTR: Treatment and management of gout</w:t>
      </w:r>
    </w:p>
    <w:p w14:paraId="0174465B" w14:textId="20E928C9" w:rsidR="00426BCE" w:rsidRPr="00FF3619" w:rsidRDefault="00426BCE" w:rsidP="00516860">
      <w:r w:rsidRPr="00FF3619">
        <w:t xml:space="preserve">Gout is common after transplantation and may cause significant cardiovascular morbidity and mortality and decreases quality of life. Hyperuricaemia increases the risk of gout and may also </w:t>
      </w:r>
      <w:r w:rsidRPr="00FF3619">
        <w:lastRenderedPageBreak/>
        <w:t>be linked with increased rates of cardiovascular disease</w:t>
      </w:r>
      <w:r>
        <w:t xml:space="preserve"> </w:t>
      </w:r>
      <w:r>
        <w:fldChar w:fldCharType="begin"/>
      </w:r>
      <w:r w:rsidR="002D20B5">
        <w:instrText xml:space="preserve"> ADDIN ZOTERO_ITEM CSL_CITATION {"citationID":"gnKGqB5T","properties":{"formattedCitation":"\\super 364\\nosupersub{}","plainCitation":"364","noteIndex":0},"citationItems":[{"id":18842,"uris":["http://zotero.org/users/3444308/items/WV4S8KQA"],"itemData":{"id":18842,"type":"article-journal","abstract":"BACKGROUND: Although cyclosporine use has been associated with an increased risk of new-onset gout after renal transplantation, the incidence and risk factors for new-onset gout have not been reported in the era of modern immunosuppression.\nMETHODS: We conducted a retrospective cohort study of Medicare primary renal transplant patients reported in the United States Renal Data System (USRDS), using Medicare claims data to determine the incidence of new-onset gout. Cox regression analysis was used to calculate adjusted hazard ratios (AHR) for cyclosporine (including separate analysis of Neoral) compared directly with tacrolimus, for the risk of new-onset gout, adjusted for baseline demographic factors and posttransplant renal function.\nRESULTS: The cumulative incidence of new-onset gout was 7.6% at 3 years posttransplant. The following factors were independently associated with an increased risk of new-onset gout: use of Neoral (vs. tacrolimus, AHR 1.25, 95% CI 1.07-1.47) at discharge, recipient male sex (AHR 1.44, 95% CI 1.25-1.67), older age, higher body mass index, and more recent year of transplant. No other immunosuppressive medications were associated with new-onset gout. Diabetes was associated with a significantly lower risk of new-onset gout. The development of new-onset gout was independently associated with decreased patient survival (AHR 1.26, 95% CI 1.08-1.47) as well as death-censored graft survival.\nCONCLUSIONS: Cyclosporine is an independent risk factor for new-onset gout after transplantation. The incidence of new-onset gout appears to be increasing even while the use of cyclosporine is decreasing, and the development of new-onset gout was an independent predictor for death and graft loss in this population.","container-title":"Transplantation","DOI":"10.1097/01.tp.0000188722.84775.af","ISSN":"0041-1337","issue":"10","journalAbbreviation":"Transplantation","language":"eng","note":"PMID: 16340779","page":"1383-1391","source":"PubMed","title":"New-onset gout after kidney transplantation: incidence, risk factors and implications","title-short":"New-onset gout after kidney transplantation","volume":"80","author":[{"family":"Abbott","given":"Kevin C."},{"family":"Kimmel","given":"Paul L."},{"family":"Dharnidharka","given":"Vikas"},{"family":"Oglesby","given":"Robert J."},{"family":"Agodoa","given":"Lawrence Y."},{"family":"Caillard","given":"Sophie"}],"issued":{"date-parts":[["2005",11,27]]}}}],"schema":"https://github.com/citation-style-language/schema/raw/master/csl-citation.json"} </w:instrText>
      </w:r>
      <w:r>
        <w:fldChar w:fldCharType="separate"/>
      </w:r>
      <w:r w:rsidR="002D20B5" w:rsidRPr="002D20B5">
        <w:rPr>
          <w:rFonts w:ascii="Aptos" w:hAnsi="Aptos" w:cs="Times New Roman"/>
          <w:sz w:val="22"/>
          <w:vertAlign w:val="superscript"/>
        </w:rPr>
        <w:t>364</w:t>
      </w:r>
      <w:r>
        <w:fldChar w:fldCharType="end"/>
      </w:r>
      <w:r w:rsidRPr="00FF3619">
        <w:t>. KTR have increased risk factors for gout which include impaired renal function, hypertension, diuretic use, calcineurin inhibitors use especially ciclosporin, and APKD</w:t>
      </w:r>
      <w:r>
        <w:t xml:space="preserve"> </w:t>
      </w:r>
      <w:r>
        <w:fldChar w:fldCharType="begin"/>
      </w:r>
      <w:r w:rsidR="002D20B5">
        <w:instrText xml:space="preserve"> ADDIN ZOTERO_ITEM CSL_CITATION {"citationID":"fOhBOicp","properties":{"formattedCitation":"\\super 365,366\\nosupersub{}","plainCitation":"365,366","noteIndex":0},"citationItems":[{"id":18841,"uris":["http://zotero.org/users/3444308/items/VCFKA4M4"],"itemData":{"id":18841,"type":"article-journal","container-title":"Rheumatology (Oxford, England)","DOI":"10.1093/rheumatology/kex156","ISSN":"1462-0332","issue":"7","journalAbbreviation":"Rheumatology (Oxford)","language":"eng","note":"PMID: 28549177","page":"e1-e20","source":"PubMed","title":"The British Society for Rheumatology Guideline for the Management of Gout","volume":"56","author":[{"family":"Hui","given":"Michelle"},{"family":"Carr","given":"Alison"},{"family":"Cameron","given":"Stewart"},{"family":"Davenport","given":"Graham"},{"family":"Doherty","given":"Michael"},{"family":"Forrester","given":"Harry"},{"family":"Jenkins","given":"Wendy"},{"family":"Jordan","given":"Kelsey M."},{"family":"Mallen","given":"Christian D."},{"family":"McDonald","given":"Thomas M."},{"family":"Nuki","given":"George"},{"family":"Pywell","given":"Anthony"},{"family":"Zhang","given":"Weiya"},{"family":"Roddy","given":"Edward"},{"literal":"British Society for Rheumatology Standards, Audit and                    Guidelines Working Group"}],"issued":{"date-parts":[["2017",7,1]]}}},{"id":18840,"uris":["http://zotero.org/users/3444308/items/G8YRIWDK"],"itemData":{"id":18840,"type":"article-journal","abstract":"The impact of elevated serum uric acid levels i.e., hyperuricemia, on native and transplant chronic kidney disease progression has been debated. This literature review presents an analysis of multiple studies exploring the relationship between serum uric acid levels and kidney transplant outcomes. The review includes a summary of the pathophysiology of hyperuricemia and gout, a review of urate-lowering therapies, and an appraisal of multiple studies examining the association or lack thereof between serum uric acid level and kidney transplant outcomes. Based on these studies, elevated serum uric acid levels may contribute to CKD progression in kidney transplant recipients. In this review, we also summarize current literature to highlight risk factors associated with hyperuricemia as well as the need for further investigation to monitor and manage hyperuricemia in kidney transplant recipients.","container-title":"Transplantation Reviews (Orlando, Fla.)","DOI":"10.1016/j.trre.2023.100775","ISSN":"1557-9816","issue":"3","journalAbbreviation":"Transplant Rev (Orlando)","language":"eng","note":"PMID: 37437509","page":"100775","source":"PubMed","title":"Serum uric acid levels in kidney transplant recipients: A cause for concern? A review of recent literature","title-short":"Serum uric acid levels in kidney transplant recipients","volume":"37","author":[{"family":"Imasuen","given":"Uyi Jefferson"},{"family":"Swanson","given":"Kurtis J."},{"family":"Parajuli","given":"Sandesh"}],"issued":{"date-parts":[["2023",7]]}}}],"schema":"https://github.com/citation-style-language/schema/raw/master/csl-citation.json"} </w:instrText>
      </w:r>
      <w:r>
        <w:fldChar w:fldCharType="separate"/>
      </w:r>
      <w:r w:rsidR="002D20B5" w:rsidRPr="002D20B5">
        <w:rPr>
          <w:rFonts w:ascii="Aptos" w:hAnsi="Aptos" w:cs="Times New Roman"/>
          <w:sz w:val="22"/>
          <w:vertAlign w:val="superscript"/>
        </w:rPr>
        <w:t>365,366</w:t>
      </w:r>
      <w:r>
        <w:fldChar w:fldCharType="end"/>
      </w:r>
      <w:r>
        <w:t>.</w:t>
      </w:r>
    </w:p>
    <w:p w14:paraId="141EBA0C" w14:textId="47CCABF5" w:rsidR="00426BCE" w:rsidRPr="00FF3619" w:rsidRDefault="00426BCE" w:rsidP="00516860">
      <w:r w:rsidRPr="00FF3619">
        <w:t xml:space="preserve">For acute flares NSAIDS should be avoided due to the risk of nephrotoxicity and AKI.  Tacrolimus and more significantly ciclosporin can both increase plasma concentrations of colchicine so colchicine should be used with caution in these patients due to its narrow therapeutic window and toxicity at high levels </w:t>
      </w:r>
      <w:r>
        <w:fldChar w:fldCharType="begin"/>
      </w:r>
      <w:r w:rsidR="002D20B5">
        <w:instrText xml:space="preserve"> ADDIN ZOTERO_ITEM CSL_CITATION {"citationID":"QcxIGHqn","properties":{"formattedCitation":"\\super 367\\nosupersub{}","plainCitation":"367","noteIndex":0},"citationItems":[{"id":18839,"uris":["http://zotero.org/users/3444308/items/AICMSKAB"],"itemData":{"id":18839,"type":"article-journal","container-title":"Clinical Transplantation","DOI":"10.1111/ctr.13405","ISSN":"1399-0012","issue":"11","journalAbbreviation":"Clin Transplant","language":"eng","note":"PMID: 30298530","page":"e13405","source":"PubMed","title":"Differential pharmacokinetic interaction of cyclosporine and tacrolimus with colchicine in renal allograft recipients","volume":"32","author":[{"family":"Beaudreuil","given":"Severine"},{"family":"Schermann","given":"Jean Michel"},{"family":"Verstuyft","given":"Céline"},{"family":"Barrail-Tran","given":"Aurelie"},{"family":"Smirnova","given":"Maria"},{"family":"Durrbach","given":"Antoine"},{"family":"Becquemont","given":"Laurent"}],"issued":{"date-parts":[["2018",11]]}}}],"schema":"https://github.com/citation-style-language/schema/raw/master/csl-citation.json"} </w:instrText>
      </w:r>
      <w:r>
        <w:fldChar w:fldCharType="separate"/>
      </w:r>
      <w:r w:rsidR="002D20B5" w:rsidRPr="002D20B5">
        <w:rPr>
          <w:rFonts w:ascii="Aptos" w:hAnsi="Aptos" w:cs="Times New Roman"/>
          <w:sz w:val="22"/>
          <w:vertAlign w:val="superscript"/>
        </w:rPr>
        <w:t>367</w:t>
      </w:r>
      <w:r>
        <w:fldChar w:fldCharType="end"/>
      </w:r>
      <w:r w:rsidRPr="00FF3619">
        <w:t xml:space="preserve">. Dose should be adjusted to renal function and stopped at the first signs of toxicity i.e. diarrhoea.  Selective IL-1 inhibitors can be used to treat acute gout flares under specialist supervision but there is a lack of data in KTR to recommend their use and there has been reports of increased risks of infections </w:t>
      </w:r>
      <w:r>
        <w:fldChar w:fldCharType="begin"/>
      </w:r>
      <w:r w:rsidR="002D20B5">
        <w:instrText xml:space="preserve"> ADDIN ZOTERO_ITEM CSL_CITATION {"citationID":"DPKMumwP","properties":{"formattedCitation":"\\super 368\\nosupersub{}","plainCitation":"368","noteIndex":0},"citationItems":[{"id":18838,"uris":["http://zotero.org/users/3444308/items/UZNCCXH8"],"itemData":{"id":18838,"type":"article-journal","abstract":"Gout, a common form of inflammatory arthritis, is characterized by deposition of monosodium urate crystals in articular and periarticular tissues. Repeated flares of gout cause joint damage as well as significant health care utilization and decreased quality of life. Patients with CKD have a higher prevalence of gout. Treating Patients with CKD and gout is challenging because of the lack of quality data to guide management in this specific population. This often leads to suboptimal treatment of patients with gout and impaired renal function because concerns regarding the efficacy and safety of available gout therapies in this population often result in significant interphysician variability in treatment regimens and dosages. Acute gout flares are treated with various agents, including nonsteroidal anti-inflammatory drugs, colchicine, glucocorticoids, and-more recently-IL-1 inhibitors. These medications can also be used as prophylaxis if urate-lowering therapy (ULT) is initiated. While these drugs can be used in patients with gout and CKD, there are often factors that complicate treatment, such as the numerous medication interactions involving colchicine and the effect of glucocorticoids on common comorbidities, such as diabetes and hypertension. ULT is recommended to treat recurrent flares, tophaceous deposits, and patients with moderate-to-severe CKD with a serum urate goal of &lt;6 mg/dl recommended to prevent flares. While many misconceptions exist around the risks of using urate-lowering agents in patients with CKD, there is some evidence that these medications can be used safely in Patients with renal impairment. Additional questions exist as to whether gout treatment is indicated for Patients on RRT. Furthermore, there are conflicting data on whether ULT can affect renal function and cardiovascular disease in patients. All of these factors contribute to the unique challenges physicians face when treating patients with gout and CKD.","container-title":"Kidney360","DOI":"10.34067/KID.0000000000000221","ISSN":"2641-7650","issue":"9","journalAbbreviation":"Kidney360","language":"eng","note":"PMID: 37526648\nPMCID: PMC10550007","page":"e1332-e1340","source":"PubMed","title":"Management of Patients with Gout and Kidney Disease: A Review of Available Therapies and Common Missteps","title-short":"Management of Patients with Gout and Kidney Disease","volume":"4","author":[{"family":"Kannuthurai","given":"Vijay"},{"family":"Gaffo","given":"Angelo"}],"issued":{"date-parts":[["2023",9,1]]}}}],"schema":"https://github.com/citation-style-language/schema/raw/master/csl-citation.json"} </w:instrText>
      </w:r>
      <w:r>
        <w:fldChar w:fldCharType="separate"/>
      </w:r>
      <w:r w:rsidR="002D20B5" w:rsidRPr="002D20B5">
        <w:rPr>
          <w:rFonts w:ascii="Aptos" w:hAnsi="Aptos" w:cs="Times New Roman"/>
          <w:sz w:val="22"/>
          <w:vertAlign w:val="superscript"/>
        </w:rPr>
        <w:t>368</w:t>
      </w:r>
      <w:r>
        <w:fldChar w:fldCharType="end"/>
      </w:r>
      <w:r w:rsidRPr="00FF3619">
        <w:t>.</w:t>
      </w:r>
    </w:p>
    <w:p w14:paraId="79D41880" w14:textId="26C62466" w:rsidR="00426BCE" w:rsidRPr="00FF3619" w:rsidRDefault="00426BCE" w:rsidP="00516860">
      <w:r w:rsidRPr="00FF3619">
        <w:t xml:space="preserve">Many patients may benefit from urate lowering therapy to reduce their serum urate level to below 360 </w:t>
      </w:r>
      <w:proofErr w:type="spellStart"/>
      <w:r w:rsidRPr="00FF3619">
        <w:t>micromol</w:t>
      </w:r>
      <w:proofErr w:type="spellEnd"/>
      <w:r w:rsidRPr="00FF3619">
        <w:t xml:space="preserve">/L to prevent flares and long-term complications. Although there is little trial data allopurinol has been widely used in KTR. The dose must be adjusted to renal function to prevent toxicity which may limit the efficacy. In a small study of 46 KTR serum levels of uric acid were significantly decreased in the febuxostat group (470.82 </w:t>
      </w:r>
      <w:r w:rsidR="00DF478C">
        <w:t>±</w:t>
      </w:r>
      <w:r w:rsidRPr="00FF3619">
        <w:t xml:space="preserve"> 34.37 to 378.77 </w:t>
      </w:r>
      <w:r w:rsidR="00DF478C">
        <w:t>±</w:t>
      </w:r>
      <w:r w:rsidRPr="00FF3619">
        <w:t xml:space="preserve"> 51.97 </w:t>
      </w:r>
      <w:proofErr w:type="spellStart"/>
      <w:r w:rsidRPr="00FF3619">
        <w:t>micromol</w:t>
      </w:r>
      <w:proofErr w:type="spellEnd"/>
      <w:r w:rsidRPr="00FF3619">
        <w:t xml:space="preserve">/L) and decreased in the allopurinol group (469.46 </w:t>
      </w:r>
      <w:r w:rsidR="00DF478C">
        <w:t>±</w:t>
      </w:r>
      <w:r w:rsidRPr="00FF3619">
        <w:t xml:space="preserve"> 33.47 to 428.21 </w:t>
      </w:r>
      <w:r w:rsidR="00DF478C">
        <w:t>±</w:t>
      </w:r>
      <w:r w:rsidRPr="00FF3619">
        <w:t xml:space="preserve"> 23.37 </w:t>
      </w:r>
      <w:proofErr w:type="spellStart"/>
      <w:r w:rsidRPr="00FF3619">
        <w:t>micromol</w:t>
      </w:r>
      <w:proofErr w:type="spellEnd"/>
      <w:r w:rsidRPr="00FF3619">
        <w:t>/L)</w:t>
      </w:r>
      <w:r>
        <w:t xml:space="preserve"> </w:t>
      </w:r>
      <w:r>
        <w:fldChar w:fldCharType="begin"/>
      </w:r>
      <w:r w:rsidR="002D20B5">
        <w:instrText xml:space="preserve"> ADDIN ZOTERO_ITEM CSL_CITATION {"citationID":"KjA82rfH","properties":{"formattedCitation":"\\super 369\\nosupersub{}","plainCitation":"369","noteIndex":0},"citationItems":[{"id":18837,"uris":["http://zotero.org/users/3444308/items/AA4CD6IA"],"itemData":{"id":18837,"type":"article-journal","abstract":"The aim of this study was to evaluate the efficacy and tolerability of febuxostat in renal transplant recipients who were previously treated with allopurinol (the daily oral dose is 100</w:instrText>
      </w:r>
      <w:r w:rsidR="002D20B5">
        <w:rPr>
          <w:rFonts w:ascii="Arial" w:hAnsi="Arial" w:cs="Arial"/>
        </w:rPr>
        <w:instrText> </w:instrText>
      </w:r>
      <w:r w:rsidR="002D20B5">
        <w:instrText>mg). A 6-month cohort study was conducted with 46 renal transplant recipients who had hyperuricemia. In 22 patients, treatment was changed from allopurinol to febuxostat (febuxostat was given at an oral dose of 20</w:instrText>
      </w:r>
      <w:r w:rsidR="002D20B5">
        <w:rPr>
          <w:rFonts w:ascii="Arial" w:hAnsi="Arial" w:cs="Arial"/>
        </w:rPr>
        <w:instrText> </w:instrText>
      </w:r>
      <w:r w:rsidR="002D20B5">
        <w:instrText>mg once a day), and the other 24 patients continued the allopurinol treatment (the daily oral dose is 100</w:instrText>
      </w:r>
      <w:r w:rsidR="002D20B5">
        <w:rPr>
          <w:rFonts w:ascii="Arial" w:hAnsi="Arial" w:cs="Arial"/>
        </w:rPr>
        <w:instrText> </w:instrText>
      </w:r>
      <w:r w:rsidR="002D20B5">
        <w:instrText>mg). The serum levels of uric acid (UA), creatinine, other biochemical parameters, estimated glomerular filtration rate (eGFR), and adverse events were measured at baseline as well as at 1, 3, and 6</w:instrText>
      </w:r>
      <w:r w:rsidR="002D20B5">
        <w:rPr>
          <w:rFonts w:ascii="Arial" w:hAnsi="Arial" w:cs="Arial"/>
        </w:rPr>
        <w:instrText> </w:instrText>
      </w:r>
      <w:r w:rsidR="002D20B5">
        <w:instrText>months after the switch to febuxostat. Serum UA levels significantly decreased from 470.82</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34.37 to 378.77</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51.97</w:instrText>
      </w:r>
      <w:r w:rsidR="002D20B5">
        <w:rPr>
          <w:rFonts w:ascii="Arial" w:hAnsi="Arial" w:cs="Arial"/>
        </w:rPr>
        <w:instrText> </w:instrText>
      </w:r>
      <w:r w:rsidR="002D20B5">
        <w:rPr>
          <w:rFonts w:ascii="Aptos" w:hAnsi="Aptos" w:cs="Aptos"/>
        </w:rPr>
        <w:instrText>μ</w:instrText>
      </w:r>
      <w:r w:rsidR="002D20B5">
        <w:instrText>mol/L in the febuxostat group, and decreased from 469.46</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33.47 to 428.21</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23.37</w:instrText>
      </w:r>
      <w:r w:rsidR="002D20B5">
        <w:rPr>
          <w:rFonts w:ascii="Arial" w:hAnsi="Arial" w:cs="Arial"/>
        </w:rPr>
        <w:instrText> </w:instrText>
      </w:r>
      <w:r w:rsidR="002D20B5">
        <w:rPr>
          <w:rFonts w:ascii="Aptos" w:hAnsi="Aptos" w:cs="Aptos"/>
        </w:rPr>
        <w:instrText>μ</w:instrText>
      </w:r>
      <w:r w:rsidR="002D20B5">
        <w:instrText>mol/L in the allopurinol group. The eGFR increased from 75.55 to 85.23</w:instrText>
      </w:r>
      <w:r w:rsidR="002D20B5">
        <w:rPr>
          <w:rFonts w:ascii="Arial" w:hAnsi="Arial" w:cs="Arial"/>
        </w:rPr>
        <w:instrText> </w:instrText>
      </w:r>
      <w:r w:rsidR="002D20B5">
        <w:instrText>mL/min in the febuxostat group, and decreased from 78.79 to 70.31</w:instrText>
      </w:r>
      <w:r w:rsidR="002D20B5">
        <w:rPr>
          <w:rFonts w:ascii="Arial" w:hAnsi="Arial" w:cs="Arial"/>
        </w:rPr>
        <w:instrText> </w:instrText>
      </w:r>
      <w:r w:rsidR="002D20B5">
        <w:instrText xml:space="preserve">mL/min in the allopurinol group. In renal transplant recipients, febuxostat reduced the serum UA levels resulting in minor short-term improvement of renal function with no changes in the other biochemical parameters.","container-title":"Renal Failure","DOI":"10.1080/0886022X.2019.1632717","ISSN":"1525-6049","issue":"1","journalAbbreviation":"Ren Fail","language":"eng","note":"PMID: 31267805\nPMCID: PMC6610515","page":"595-599","source":"PubMed","title":"Switching from allopurinol to febuxostat: efficacy and safety in the treatment of hyperuricemia in renal transplant recipients","title-short":"Switching from allopurinol to febuxostat","volume":"41","author":[{"family":"Li","given":"Yanchun"},{"family":"Liu","given":"Min"},{"family":"Zhang","given":"Xuelei"},{"family":"Lu","given":"Yuewu"},{"family":"Meng","given":"Juan"}],"issued":{"date-parts":[["2019",11]]}}}],"schema":"https://github.com/citation-style-language/schema/raw/master/csl-citation.json"} </w:instrText>
      </w:r>
      <w:r>
        <w:fldChar w:fldCharType="separate"/>
      </w:r>
      <w:r w:rsidR="002D20B5" w:rsidRPr="002D20B5">
        <w:rPr>
          <w:rFonts w:ascii="Aptos" w:hAnsi="Aptos" w:cs="Times New Roman"/>
          <w:sz w:val="22"/>
          <w:vertAlign w:val="superscript"/>
        </w:rPr>
        <w:t>369</w:t>
      </w:r>
      <w:r>
        <w:fldChar w:fldCharType="end"/>
      </w:r>
      <w:r w:rsidRPr="00FF3619">
        <w:t xml:space="preserve">. A meta-analysis carried out in 2019 found 7 observational trials with 367 KTR who were treated with allopurinol or febuxostat for asymptomatic hyperuricaemia. Compared with allopurinol, the febuxostat group demonstrated a </w:t>
      </w:r>
      <w:proofErr w:type="gramStart"/>
      <w:r w:rsidRPr="00FF3619">
        <w:t>higher odds</w:t>
      </w:r>
      <w:proofErr w:type="gramEnd"/>
      <w:r w:rsidRPr="00FF3619">
        <w:t xml:space="preserve"> of achieving target uric acid levels lower than 6 mg/dL within 12 months (OR = 2.9, </w:t>
      </w:r>
      <w:r w:rsidR="00922DFE">
        <w:rPr>
          <w:i/>
          <w:iCs/>
        </w:rPr>
        <w:t>p</w:t>
      </w:r>
      <w:r w:rsidRPr="00FF3619">
        <w:t> = .004). However, there was no statistical difference in change of uric acid (WMD = −1.0 mg/dL/y, </w:t>
      </w:r>
      <w:r w:rsidR="00922DFE">
        <w:rPr>
          <w:i/>
          <w:iCs/>
        </w:rPr>
        <w:t>p</w:t>
      </w:r>
      <w:r w:rsidRPr="00FF3619">
        <w:t> = .32) There were no statistical differences in eGFR, Hb, WBC, liver enzymes (AST, ALT), and trough level of tacrolimus between baseline and at the study end</w:t>
      </w:r>
      <w:r>
        <w:t xml:space="preserve"> </w:t>
      </w:r>
      <w:r>
        <w:fldChar w:fldCharType="begin"/>
      </w:r>
      <w:r w:rsidR="002D20B5">
        <w:instrText xml:space="preserve"> ADDIN ZOTERO_ITEM CSL_CITATION {"citationID":"wzki821N","properties":{"formattedCitation":"\\super 370\\nosupersub{}","plainCitation":"370","noteIndex":0},"citationItems":[{"id":18836,"uris":["http://zotero.org/users/3444308/items/BWWTJNSS"],"itemData":{"id":18836,"type":"article-journal","abstract":"BACKGROUND: The objective of this meta-analysis of observational studies was to evaluate the efficacy and safety profiles of febuxostat in treating hyperuricemia among kidney transplant patients.\nMETHODS: We conducted electronic searches in PubMed, Embase, and Cochrane Central Register of Controlled Trials from January 1960 to July 2019 to identify studies that investigated the effects of febuxostat in kidney transplant patients on uric acid as well as safety profiles including estimated glomerular filtration rate (eGFR), hemoglobin level (Hb), white blood cell counts (WBC), liver enzymes, and trough level of tacrolimus.\nRESULTS: Seven observational studies with 367 participants were included in this meta-analysis. Compared with allopurinol, the febuxostat group demonstrated a higher odds of achieving target uric acid levels lower than 6 mg/dL within 12 months (OR = 2.9, P = .004). However, there was no statistical difference in change of uric acid (WMD = -1.0 mg/dL/y, P = .32) and change in allograft eGFR within a year (WMD = 0.01 mL/min/1.73 m2 /y, P = .98) between febuxostat and allopurinol. Regarding safety profiles, there were no statistical differences in eGFR, Hb, WBC, liver enzymes (AST, ALT), and trough level of tacrolimus between baseline and at the study end. Only one study reported suspected graft loss among febuxostat group.\nCONCLUSION: Among kidney transplant patients, treating hyperuricemia with febuxostat showed a higher odds of reaching the target of serum uric acid &lt; 6 mg/dL compared with allopurinol without causing significant side effects including change in tacrolimus level, liver function, decline in renal graft function, and bone marrow function.","container-title":"Clinical Transplantation","DOI":"10.1111/ctr.13820","ISSN":"1399-0012","issue":"4","journalAbbreviation":"Clin Transplant","language":"eng","note":"PMID: 32034944","page":"e13820","source":"PubMed","title":"Efficacy and safety of febuxostat for treatment of asymptomatic hyperuricemia among kidney transplant patients: A meta-analysis of observational studies","title-short":"Efficacy and safety of febuxostat for treatment of asymptomatic hyperuricemia among kidney transplant patients","volume":"34","author":[{"family":"Chewcharat","given":"Api"},{"family":"Chang","given":"Yuan-Ting"},{"family":"Thongprayoon","given":"Charat"},{"family":"Crisafio","given":"Anthony"},{"family":"Bathini","given":"Tarun"},{"family":"Mao","given":"Michael A."},{"family":"Cheungpasitporn","given":"Wisit"}],"issued":{"date-parts":[["2020",4]]}}}],"schema":"https://github.com/citation-style-language/schema/raw/master/csl-citation.json"} </w:instrText>
      </w:r>
      <w:r>
        <w:fldChar w:fldCharType="separate"/>
      </w:r>
      <w:r w:rsidR="002D20B5" w:rsidRPr="002D20B5">
        <w:rPr>
          <w:rFonts w:ascii="Aptos" w:hAnsi="Aptos" w:cs="Times New Roman"/>
          <w:sz w:val="22"/>
          <w:vertAlign w:val="superscript"/>
        </w:rPr>
        <w:t>370</w:t>
      </w:r>
      <w:r>
        <w:fldChar w:fldCharType="end"/>
      </w:r>
      <w:r>
        <w:t xml:space="preserve">. </w:t>
      </w:r>
      <w:r w:rsidRPr="00FF3619">
        <w:t>Febuxostat should be used with caution in patients who have pre-existing CV disease as the CARES study found an increased risk of CV death and all-cause mortality in the febuxostat group compared to allopurinol although this was not seen in the FAST trial</w:t>
      </w:r>
      <w:r>
        <w:t xml:space="preserve"> </w:t>
      </w:r>
      <w:r>
        <w:fldChar w:fldCharType="begin"/>
      </w:r>
      <w:r w:rsidR="002D20B5">
        <w:instrText xml:space="preserve"> ADDIN ZOTERO_ITEM CSL_CITATION {"citationID":"NZ4NuoEP","properties":{"formattedCitation":"\\super 371,372\\nosupersub{}","plainCitation":"371,372","noteIndex":0},"citationItems":[{"id":18835,"uris":["http://zotero.org/users/3444308/items/E9FBQG44"],"itemData":{"id":18835,"type":"article-journal","abstract":"BACKGROUND: Febuxostat and allopurinol are urate-lowering therapies used to treat patients with gout. Following concerns about the cardiovascular safety of febuxostat, the European Medicines Agency recommended a post-licensing study assessing the cardiovascular safety of febuxostat compared with allopurinol.\nMETHODS: We did a prospective, randomised, open-label, blinded-endpoint, non-inferiority trial of febuxostat versus allopurinol in patients with gout in the UK, Denmark, and Sweden. Eligible patients were 60 years or older, already receiving allopurinol, and had at least one additional cardiovascular risk factor. Those who had myocardial infarction or stroke in the previous 6 months or who had severe congestive heart failure or severe renal impairment were excluded. After a lead-in phase in which allopurinol dose was optimised towards achieving a serum urate concentration of less than 0·357 mmol/L (&lt;6 mg/dL), patients were randomly assigned (1:1, with stratification according to previous cardiovascular events) to continue allopurinol (at the optimised dose) or start febuxostat at 80 mg/day, increasing to 120 mg/day if necessary to achieve the target serum urate concentration. The primary outcome was a composite of hospitalisation for non-fatal myocardial infarction or biomarker-positive acute coronary syndrome; non-fatal stroke; or cardiovascular death. The hazard ratio (HR) for febuxostat versus allopurinol in a Cox proportional hazards model (adjusted for the stratification variable and country) was assessed for non-inferiority (HR limit 1·3) in an on-treatment analysis. This study is registered with the EU Clinical Trials Register (EudraCT 2011-001883-23) and ISRCTN (ISRCTN72443728) and is now closed.\nFINDINGS: From Dec 20, 2011, to Jan 26, 2018, 6128 patients (mean age 71·0 years [SD 6·4], 5225 [85·3%] men, 903 [14·7%] women, 2046 [33·4%] with previous cardiovascular disease) were enrolled and randomly allocated to receive allopurinol (n=3065) or febuxostat (n=3063). By the study end date (Dec 31, 2019), 189 (6·2%) patients in the febuxostat group and 169 (5·5%) in the allopurinol group withdrew from all follow-up. Median follow-up time was 1467 days (IQR 1029-2052) and median on-treatment follow-up was 1324 days (IQR 870-1919). For incidence of the primary endpoint, on-treatment, febuxostat (172 patients [1·72 events per 100 patient-years]) was non-inferior to allopurinol (241 patients [2·05 events per 100 patient-years]; adjusted HR 0·85 [95% CI 0·70-1·03], p&lt;0·0001). In the febuxostat group, 222 (7·2%) of 3063 patients died and 1720 (57·3%) of 3001 in the safety analysis set had at least one serious adverse event (with 23 events in 19 [0·6%] patients related to treatment). In the allopurinol group, 263 (8·6%) of 3065 patients died and 1812 (59·4%) of 3050 had one or more serious adverse events (with five events in five [0·2%] patients related to treatment). Randomised therapy was discontinued in 973 (32·4%) patients in the febuxostat group and 503 (16·5%) patients in the allopurinol group.\nINTERPRETATION: Febuxostat is non-inferior to allopurinol therapy with respect to the primary cardiovascular endpoint, and its long-term use is not associated with an increased risk of death or serious adverse events compared with allopurinol.\nFUNDING: Menarini, Ipsen, and Teijin Pharma Ltd.","container-title":"Lancet (London, England)","DOI":"10.1016/S0140-6736(20)32234-0","ISSN":"1474-547X","issue":"10264","journalAbbreviation":"Lancet","language":"eng","note":"PMID: 33181081","page":"1745-1757","source":"PubMed","title":"Long-term cardiovascular safety of febuxostat compared with allopurinol in patients with gout (FAST): a multicentre, prospective, randomised, open-label, non-inferiority trial","title-short":"Long-term cardiovascular safety of febuxostat compared with allopurinol in patients with gout (FAST)","volume":"396","author":[{"family":"Mackenzie","given":"Isla S."},{"family":"Ford","given":"Ian"},{"family":"Nuki","given":"George"},{"family":"Hallas","given":"Jesper"},{"family":"Hawkey","given":"Christopher J."},{"family":"Webster","given":"John"},{"family":"Ralston","given":"Stuart H."},{"family":"Walters","given":"Matthew"},{"family":"Robertson","given":"Michele"},{"family":"De Caterina","given":"Raffaele"},{"family":"Findlay","given":"Evelyn"},{"family":"Perez-Ruiz","given":"Fernando"},{"family":"McMurray","given":"John J. V."},{"family":"MacDonald","given":"Thomas M."},{"literal":"FAST Study Group"}],"issued":{"date-parts":[["2020",11,28]]}}},{"id":18834,"uris":["http://zotero.org/users/3444308/items/MQGDDVKT"],"itemData":{"id":18834,"type":"report","abstract":"Caution is required if prescribing febuxostat in patients with pre-existing major cardiovascular disease, particularly, in those with evidence of high urate crystal and tophi burden or those initiating urate-lowering therapy.","language":"en","title":"Febuxostat: updated advice for the treatment of patients with a history of major cardiovascular disease","title-short":"Febuxostat","URL":"https://www.gov.uk/drug-safety-update/febuxostat-updated-advice-for-the-treatment-of-patients-with-a-history-of-major-cardiovascular-disease","author":[{"literal":"Medicines and Healthcare products Regulatory Agency"}],"accessed":{"date-parts":[["2025",10,25]]},"issued":{"date-parts":[["2023",5,25]]}}}],"schema":"https://github.com/citation-style-language/schema/raw/master/csl-citation.json"} </w:instrText>
      </w:r>
      <w:r>
        <w:fldChar w:fldCharType="separate"/>
      </w:r>
      <w:r w:rsidR="002D20B5" w:rsidRPr="002D20B5">
        <w:rPr>
          <w:rFonts w:ascii="Aptos" w:hAnsi="Aptos" w:cs="Times New Roman"/>
          <w:sz w:val="22"/>
          <w:vertAlign w:val="superscript"/>
        </w:rPr>
        <w:t>371,372</w:t>
      </w:r>
      <w:r>
        <w:fldChar w:fldCharType="end"/>
      </w:r>
      <w:r>
        <w:t>.</w:t>
      </w:r>
    </w:p>
    <w:p w14:paraId="58BCE4E7" w14:textId="64572A93" w:rsidR="00426BCE" w:rsidRPr="00FF3619" w:rsidRDefault="00426BCE" w:rsidP="00516860">
      <w:r>
        <w:t xml:space="preserve">It is important that KTR receive appropriate lifestyle advice to reduce their risk of gout flares such as weight reduction in over weight KTR, avoiding excessive alcohol intake and avoiding high purine foods </w:t>
      </w:r>
      <w:r>
        <w:fldChar w:fldCharType="begin"/>
      </w:r>
      <w:r w:rsidR="002D20B5">
        <w:instrText xml:space="preserve"> ADDIN ZOTERO_ITEM CSL_CITATION {"citationID":"J1gpxinz","properties":{"formattedCitation":"\\super 365\\nosupersub{}","plainCitation":"365","noteIndex":0},"citationItems":[{"id":18841,"uris":["http://zotero.org/users/3444308/items/VCFKA4M4"],"itemData":{"id":18841,"type":"article-journal","container-title":"Rheumatology (Oxford, England)","DOI":"10.1093/rheumatology/kex156","ISSN":"1462-0332","issue":"7","journalAbbreviation":"Rheumatology (Oxford)","language":"eng","note":"PMID: 28549177","page":"e1-e20","source":"PubMed","title":"The British Society for Rheumatology Guideline for the Management of Gout","volume":"56","author":[{"family":"Hui","given":"Michelle"},{"family":"Carr","given":"Alison"},{"family":"Cameron","given":"Stewart"},{"family":"Davenport","given":"Graham"},{"family":"Doherty","given":"Michael"},{"family":"Forrester","given":"Harry"},{"family":"Jenkins","given":"Wendy"},{"family":"Jordan","given":"Kelsey M."},{"family":"Mallen","given":"Christian D."},{"family":"McDonald","given":"Thomas M."},{"family":"Nuki","given":"George"},{"family":"Pywell","given":"Anthony"},{"family":"Zhang","given":"Weiya"},{"family":"Roddy","given":"Edward"},{"literal":"British Society for Rheumatology Standards, Audit and                    Guidelines Working Group"}],"issued":{"date-parts":[["2017",7,1]]}}}],"schema":"https://github.com/citation-style-language/schema/raw/master/csl-citation.json"} </w:instrText>
      </w:r>
      <w:r>
        <w:fldChar w:fldCharType="separate"/>
      </w:r>
      <w:r w:rsidR="002D20B5" w:rsidRPr="002D20B5">
        <w:rPr>
          <w:rFonts w:ascii="Aptos" w:hAnsi="Aptos" w:cs="Times New Roman"/>
          <w:sz w:val="22"/>
          <w:vertAlign w:val="superscript"/>
        </w:rPr>
        <w:t>365</w:t>
      </w:r>
      <w:r>
        <w:fldChar w:fldCharType="end"/>
      </w:r>
      <w:r>
        <w:t xml:space="preserve">.  Tailored advice from a renal </w:t>
      </w:r>
      <w:r w:rsidR="4DCB8C7B">
        <w:t>dietitian</w:t>
      </w:r>
      <w:r>
        <w:t xml:space="preserve"> would be beneficial.</w:t>
      </w:r>
    </w:p>
    <w:p w14:paraId="61A65C3D" w14:textId="023BA2ED" w:rsidR="00516860" w:rsidRDefault="00426BCE" w:rsidP="00516860">
      <w:r w:rsidRPr="00FF3619">
        <w:t>Allopurinol and febuxostat should be avoided in patients taking azathioprine due to a serious drug interaction. This causes bone marrow suppression resulting in severe leucopoenia and anaemia due to an increase in myelosuppressive metabolites</w:t>
      </w:r>
      <w:r>
        <w:t xml:space="preserve"> </w:t>
      </w:r>
      <w:r>
        <w:fldChar w:fldCharType="begin"/>
      </w:r>
      <w:r w:rsidR="002D20B5">
        <w:instrText xml:space="preserve"> ADDIN ZOTERO_ITEM CSL_CITATION {"citationID":"eWueymEj","properties":{"formattedCitation":"\\super 373\\nosupersub{}","plainCitation":"373","noteIndex":0},"citationItems":[{"id":18833,"uris":["http://zotero.org/users/3444308/items/WIMCRPSJ"],"itemData":{"id":18833,"type":"article-journal","abstract":"We report the association of leucopenia and anaemia in five patients given a combination of azathioprine and allopurinol. Three subjects were renal transplant recipients with mild to moderate impairment of graft function. The complication appeared between 4 and 6 weeks following initiation of the combination therapy. Discontinuation of one of the two drugs resulted in full recovery within 4-8 weeks.","container-title":"Journal of Internal Medicine","DOI":"10.1111/j.1365-2796.1990.tb00195.x","ISSN":"0954-6820","issue":"1","journalAbbreviation":"J Intern Med","language":"eng","note":"PMID: 2384739","page":"69-71","source":"PubMed","title":"Azathioprine and allopurinol: a potentially dangerous combination","title-short":"Azathioprine and allopurinol","volume":"228","author":[{"family":"Venkat Raman","given":"G."},{"family":"Sharman","given":"V. L."},{"family":"Lee","given":"H. A."}],"issued":{"date-parts":[["1990",7]]}}}],"schema":"https://github.com/citation-style-language/schema/raw/master/csl-citation.json"} </w:instrText>
      </w:r>
      <w:r>
        <w:fldChar w:fldCharType="separate"/>
      </w:r>
      <w:r w:rsidR="002D20B5" w:rsidRPr="002D20B5">
        <w:rPr>
          <w:rFonts w:ascii="Aptos" w:hAnsi="Aptos" w:cs="Times New Roman"/>
          <w:sz w:val="22"/>
          <w:vertAlign w:val="superscript"/>
        </w:rPr>
        <w:t>373</w:t>
      </w:r>
      <w:r>
        <w:fldChar w:fldCharType="end"/>
      </w:r>
      <w:r w:rsidRPr="00FF3619">
        <w:t>. Azathioprine and allopurinol or febuxostat have rarely been used together in cases of disabling gout in those KTR in whom other immunosuppression options are unsuitable.  This should only be carried out by clinicians experienced with this interaction and close patient monitoring is essential.</w:t>
      </w:r>
    </w:p>
    <w:p w14:paraId="512BFB03" w14:textId="77777777" w:rsidR="00516860" w:rsidRDefault="00516860">
      <w:r>
        <w:br w:type="page"/>
      </w:r>
    </w:p>
    <w:p w14:paraId="7EFF9695" w14:textId="59D2C6D6" w:rsidR="00426BCE" w:rsidRPr="00FF3619" w:rsidRDefault="009B0CA8" w:rsidP="00516860">
      <w:pPr>
        <w:pStyle w:val="GuidelineUpperHeadings"/>
      </w:pPr>
      <w:bookmarkStart w:id="32" w:name="_Toc213749042"/>
      <w:r>
        <w:lastRenderedPageBreak/>
        <w:t>9</w:t>
      </w:r>
      <w:r w:rsidR="00516860">
        <w:t xml:space="preserve">. </w:t>
      </w:r>
      <w:r w:rsidRPr="00306FF4">
        <w:t xml:space="preserve">Kidney Transplant Recipient (KTR): </w:t>
      </w:r>
      <w:r w:rsidR="00426BCE" w:rsidRPr="00FF3619">
        <w:t xml:space="preserve"> Haematological complications</w:t>
      </w:r>
      <w:bookmarkEnd w:id="32"/>
    </w:p>
    <w:p w14:paraId="53ED5289" w14:textId="7F8FE28B" w:rsidR="00426BCE" w:rsidRPr="00FF3619" w:rsidRDefault="00516860" w:rsidP="00516860">
      <w:pPr>
        <w:pStyle w:val="GuidelineHeadings"/>
      </w:pPr>
      <w:r>
        <w:t xml:space="preserve">Guideline </w:t>
      </w:r>
      <w:r w:rsidR="00B361D6">
        <w:t>9</w:t>
      </w:r>
      <w:r>
        <w:t xml:space="preserve">.1 </w:t>
      </w:r>
      <w:r w:rsidRPr="00516860">
        <w:t>–</w:t>
      </w:r>
      <w:r>
        <w:t xml:space="preserve"> </w:t>
      </w:r>
      <w:r w:rsidR="00426BCE" w:rsidRPr="00FF3619">
        <w:t>Post-Transplant Erythrocytosis</w:t>
      </w:r>
    </w:p>
    <w:p w14:paraId="5257E9C0" w14:textId="0D673AAF" w:rsidR="00426BCE" w:rsidRPr="00FF3619" w:rsidRDefault="00426BCE" w:rsidP="00516860">
      <w:r w:rsidRPr="00FF3619">
        <w:t>Post-transplant erythrocytosis (PTE), also known as post-transplant polycythaemia, occurs in about 5-22% of patients who receive a kidney transplant</w:t>
      </w:r>
      <w:r>
        <w:t xml:space="preserve"> </w:t>
      </w:r>
      <w:r>
        <w:fldChar w:fldCharType="begin"/>
      </w:r>
      <w:r w:rsidR="002D20B5">
        <w:instrText xml:space="preserve"> ADDIN ZOTERO_ITEM CSL_CITATION {"citationID":"m8NIE7cu","properties":{"formattedCitation":"\\super 374\\uc0\\u8211{}376\\nosupersub{}","plainCitation":"374–376","noteIndex":0},"citationItems":[{"id":18830,"uris":["http://zotero.org/users/3444308/items/7EWBDPMX"],"itemData":{"id":18830,"type":"article-journal","abstract":"A retrospective study was conducted on 143 consecutive renal transplant recipients who had a functioning graft for three months or longer, to evaluate the prevalence of post-transplant erythrocytosis (PTE) and its potential risk factors. True PTE was defined as hematocrit (Ht) above 52% and hemoglobin (Hb) above 18 g/dl in males, and Ht above 50% and Hb above 17 g /dl in females. A total of 31 patients (21.6%) developed PTE; none had any evidence of polycythemia vera (PV), or secondary polycythemia due to reduced arterial oxygen, kidney or hepatic tumors, or relative erythrocytosis due to a decrease in plasma volume by overuse of diuretics. Thirty-one non-polycythemic patients (Hb 12.9 +-1.6 g/dl) matched for sex, age and renal function were used as case controls. PTE was more common in males (p= 0.043). The majority of our patients developed PTE within the first year post-transplantation and all had excellent renal function at the time of diagnosis. Also, PTE was found to be related to duration on dialysis prior to transplantation (p= 0.0013) and acute rejection (p= 0.0031).","container-title":"Saudi Journal of Kidney Diseases and Transplantation: An Official Publication of the Saudi Center for Organ Transplantation, Saudi Arabia","ISSN":"1319-2442","issue":"3","journalAbbreviation":"Saudi J Kidney Dis Transpl","language":"eng","note":"PMID: 18445895","page":"371-377","source":"PubMed","title":"Factors predisposing to post-renal transplant erythrocytosis: a retrospective study","title-short":"Factors predisposing to post-renal transplant erythrocytosis","volume":"19","author":[{"family":"Charfeddine","given":"K."},{"family":"Zaghdane","given":"S."},{"family":"Yaich","given":"S."},{"family":"Hakim","given":"A."},{"family":"Hachicha","given":"J."}],"issued":{"date-parts":[["2008",5]]}}},{"id":18832,"uris":["http://zotero.org/users/3444308/items/YXDMBA28"],"itemData":{"id":18832,"type":"article-journal","abstract":"BACKGROUND: Erythrocytosis is relatively common post-kidney transplantation and may have adverse consequences. This study examined whether the incidence of erythrocytosis has remained stable over time and explored the impact of this condition on patient outcomes.\nMETHODS: This was a retrospective single center review of an incidence cohort (transplanted between 1993 and 2005). Predictors of erythrocytosis and hemoglobin levels and subsequent patient and allograft survival were examined.\nRESULTS: Erythrocytosis (hemoglobin &gt;170 g/L for &gt;1 month) was observed in 59 of 511 recipients. Erythrocytosis developed in only 8.1% of those transplanted from 1997 to 2005, compared with 18.7% in those transplanted from 1993 to 1996 (p = 0.0005). Independent predictive factors were use of angiotensin converting enzyme inhibitors/angiotensin receptor blockers (ACEi/ARBs) (HR 0.176, 95% CI 0.040-0.71, p = 0.016), male gender (HR 3.72, 95% CI 1.54-9.0, p = 0.003), and mycophenolic acid agents (HR 0.49, 95% CI 0.237-0.99, p = 0.049). Patients with erythrocytosis had superior overall survival (HR for death 0.105, 95% CI 0.014-0.760, p = 0.026) but a trend for worse death censored graft loss (univariate HR 2.06, 95% CI 0.91-4.65, p = 0.084).\nCONCLUSIONS: The incidence of erythrocytosis is falling and is likely related to greater ACEi/ARB use and possibly more antiproliferative immunosuppression. Patient survival is excellent in those with erythrocytosis, but long-term graft survival may be compromised.","container-title":"Clinical Transplantation","DOI":"10.1111/j.1399-0012.2008.00947.x","ISSN":"1399-0012","issue":"6","journalAbbreviation":"Clin Transplant","language":"eng","note":"PMID: 19191802","page":"800-806","source":"PubMed","title":"Post-transplant erythrocytosis: a disappearing phenomenon?","title-short":"Post-transplant erythrocytosis","volume":"23","author":[{"family":"Kiberd","given":"Bryce A."}],"issued":{"date-parts":[["2009"]]}}},{"id":18831,"uris":["http://zotero.org/users/3444308/items/UH4AWCYL"],"itemData":{"id":18831,"type":"article-journal","abstract":"The incidence, risk factors, and outcomes of kidney transplant recipients (KTRs) with post-transplant erythrocytosis (PTE) in the modern era of strong, protocolized immunosuppressive management are unknown. In this study, we aim to identify the incidence and risk factors of PTE and outcomes associated with PTE. This study examined adult KTRs transplanted at our hospital between 01/2001 and 12/2016. Controls were KTRs without PTE and selected in a 1:5 ratio using incident density sampling. Patient survival, graft survival, and vascular thromboembolism (VTE) incidence were outcomes of interest. Of 4,317 kidney transplants during the study period, 214 (5%) had PTE and were compared with controls. In the multivariate analysis, recipients with older age (HR: 0.97, 95% CI 0.96-0.99, p = .001) were less likely to develop PTE, while male gender (HR: 3.2; 95% CI: 1.92-5.3, p &lt; .001) and non-preemptive transplant (HR: 3.86, 95% CI 1.56-9.56, p = .003) were associated with increased risk of PTE. After adjustment for confounding factors, PTE was not associated with patient mortality (HR: 0.99, 95% CI 0.69-1.42, p = .97), graft failure (HR: 1.11, 95% CI 0.68-1.80, p = .69), or VTE (HR: 1.07, 95% CI 0.59-1.96, p = .81). The incidence of PTE is still substantial in this era, but with proper management PTE does not impact patient or graft survival.","container-title":"Clinical Transplantation","DOI":"10.1111/ctr.14166","ISSN":"1399-0012","issue":"2","journalAbbreviation":"Clin Transplant","language":"eng","note":"PMID: 33231331","page":"e14166","source":"PubMed","title":"Incidence, risk factors, and outcomes of post-transplant erythrocytosis after kidney transplantation","volume":"35","author":[{"family":"Alzoubi","given":"Beyann"},{"family":"Kharel","given":"Abish"},{"family":"Osman","given":"Fauzia"},{"family":"Aziz","given":"Fahad"},{"family":"Garg","given":"Neetika"},{"family":"Mohamed","given":"Maha"},{"family":"Djamali","given":"Arjang"},{"family":"Mandelbrot","given":"Didier A."},{"family":"Parajuli","given":"Sandesh"}],"issued":{"date-parts":[["2021",2]]}}}],"schema":"https://github.com/citation-style-language/schema/raw/master/csl-citation.json"} </w:instrText>
      </w:r>
      <w:r>
        <w:fldChar w:fldCharType="separate"/>
      </w:r>
      <w:r w:rsidR="002D20B5" w:rsidRPr="002D20B5">
        <w:rPr>
          <w:rFonts w:ascii="Aptos" w:hAnsi="Aptos" w:cs="Times New Roman"/>
          <w:sz w:val="22"/>
          <w:vertAlign w:val="superscript"/>
        </w:rPr>
        <w:t>374–376</w:t>
      </w:r>
      <w:r>
        <w:fldChar w:fldCharType="end"/>
      </w:r>
      <w:r w:rsidRPr="00FF3619">
        <w:t>. The incidence has declined over the past years due to increasing use of Angiotensin converting enzyme inhibitors (ACE-I) and angiotensin receptor blockers (ARBs) as well as more intensive immunosuppression (mycophenolic acid analogues)</w:t>
      </w:r>
      <w:r>
        <w:t xml:space="preserve"> </w:t>
      </w:r>
      <w:r>
        <w:fldChar w:fldCharType="begin"/>
      </w:r>
      <w:r w:rsidR="002D20B5">
        <w:instrText xml:space="preserve"> ADDIN ZOTERO_ITEM CSL_CITATION {"citationID":"rjroh5TI","properties":{"formattedCitation":"\\super 375,377,378\\nosupersub{}","plainCitation":"375,377,378","noteIndex":0},"citationItems":[{"id":18828,"uris":["http://zotero.org/users/3444308/items/YFI6YWNB"],"itemData":{"id":18828,"type":"article-journal","abstract":"ACE-inhibitors and angiotensin receptor blockers (ARB) slow the progression of renal disease in non-transplant patients. A systematic review of randomized trials (n = 21 trials with 1549 patients) was conducted to determine the effect of ACE-inhibitor or ARB use following kidney transplantation. With a median follow-up of 27 months, ACE-inhibitor or ARB use was associated with a significant decrease in glomerular filtration rate (-5.8 mL/min; 95% CI -10.6 to -0.99). ACE-inhibitor or ARB use resulted in a lower hematocrit (-3.5%; 95% CI -6.1 to -0.95), reduction in proteinuria (-0.47 gm/d; 95% CI -0.86 to -0.08) but no change in the serum potassium (0.18 mmol/L; 95% CI -0.03 to 0.40). ACE-inhibitor or ARB use results in clinically important reductions in proteinuria, hematocrit and glomerular filtration rate in renal transplant recipients, but there are insufficient data to determine the effect on patient or graft survival. Randomized trials of sufficient power and duration that examine these hard outcomes should be conducted. Until such trials are completed, this study provides quantitative estimates of the risks and benefits of ACE-inhibitor or ARB use that can be used by clinicians considering prescribing these medications to kidney transplant recipients or to researchers designing future trials.","container-title":"American Journal of Transplantation: Official Journal of the American Society of Transplantation and the American Society of Transplant Surgeons","DOI":"10.1111/j.1600-6143.2007.01928.x","ISSN":"1600-6135","issue":"10","journalAbbreviation":"Am J Transplant","language":"eng","note":"PMID: 17845569","page":"2350-2360","source":"PubMed","title":"Renin angiotensin system blockade in kidney transplantation: a systematic review of the evidence","title-short":"Renin angiotensin system blockade in kidney transplantation","volume":"7","author":[{"family":"Hiremath","given":"S."},{"family":"Fergusson","given":"D."},{"family":"Doucette","given":"S."},{"family":"Mulay","given":"A. V."},{"family":"Knoll","given":"G. A."}],"issued":{"date-parts":[["2007",10]]}}},{"id":18832,"uris":["http://zotero.org/users/3444308/items/YXDMBA28"],"itemData":{"id":18832,"type":"article-journal","abstract":"BACKGROUND: Erythrocytosis is relatively common post-kidney transplantation and may have adverse consequences. This study examined whether the incidence of erythrocytosis has remained stable over time and explored the impact of this condition on patient outcomes.\nMETHODS: This was a retrospective single center review of an incidence cohort (transplanted between 1993 and 2005). Predictors of erythrocytosis and hemoglobin levels and subsequent patient and allograft survival were examined.\nRESULTS: Erythrocytosis (hemoglobin &gt;170 g/L for &gt;1 month) was observed in 59 of 511 recipients. Erythrocytosis developed in only 8.1% of those transplanted from 1997 to 2005, compared with 18.7% in those transplanted from 1993 to 1996 (p = 0.0005). Independent predictive factors were use of angiotensin converting enzyme inhibitors/angiotensin receptor blockers (ACEi/ARBs) (HR 0.176, 95% CI 0.040-0.71, p = 0.016), male gender (HR 3.72, 95% CI 1.54-9.0, p = 0.003), and mycophenolic acid agents (HR 0.49, 95% CI 0.237-0.99, p = 0.049). Patients with erythrocytosis had superior overall survival (HR for death 0.105, 95% CI 0.014-0.760, p = 0.026) but a trend for worse death censored graft loss (univariate HR 2.06, 95% CI 0.91-4.65, p = 0.084).\nCONCLUSIONS: The incidence of erythrocytosis is falling and is likely related to greater ACEi/ARB use and possibly more antiproliferative immunosuppression. Patient survival is excellent in those with erythrocytosis, but long-term graft survival may be compromised.","container-title":"Clinical Transplantation","DOI":"10.1111/j.1399-0012.2008.00947.x","ISSN":"1399-0012","issue":"6","journalAbbreviation":"Clin Transplant","language":"eng","note":"PMID: 19191802","page":"800-806","source":"PubMed","title":"Post-transplant erythrocytosis: a disappearing phenomenon?","title-short":"Post-transplant erythrocytosis","volume":"23","author":[{"family":"Kiberd","given":"Bryce A."}],"issued":{"date-parts":[["2009"]]}}},{"id":18829,"uris":["http://zotero.org/users/3444308/items/QDLD5H33"],"itemData":{"id":18829,"type":"article-journal","abstract":"Post-transplant erythrocytosis (PTE) is defined as persistently elevated hemoglobin &gt; 17 g/dL or hematocrit levels &gt; 51% following kidney transplantation, independent of duration. It is a relatively common complication within 8 months to 24 months post-transplantation, occurring in 8%-15% of kidney transplant recipients. Established PTE risk factors include male gender, normal hemoglobin/hematocrit pre-transplant (suggestive of robust native kidney erythropoietin production), renal artery stenosis, patients with a well-functioning graft, and dialysis before transplantation. Many factors play a role in the development of PTE, however, underlying endogenous erythropoietin secretion pre-and post-transplant is significant. Other contributory factors include the renin-angiotensin- aldosterone system, insulin-like growth factors, endogenous androgens, and local renal hypoxia. Most patients with PTE experience mild symptoms like malaise, headache, fatigue, and dizziness. While prior investigations showed an increased risk of thromboembolic events, more recent evidence tells a different story-that PTE perhaps has lessened risk of thromboembolic events or negative graft outcomes than previously thought. In the evaluation of PTE, it is important to exclude other causes of erythrocytosis including malignancy before treatment. Angiotensin converting enzyme inhibitors (ACE-I) and angiotensin receptor blockers (ARBs) are the mainstays of treatment. Increased ACE-I/ARB use has likely contributed to the falling incidence of erythrocytosis. In this review article, we summarize the current literature in the field of post-transplant erythrocytosis after kidney transplantation.","container-title":"World Journal of Transplantation","DOI":"10.5500/wjt.v11.i6.220","ISSN":"2220-3230","issue":"6","journalAbbreviation":"World J Transplant","language":"eng","note":"PMID: 34164297\nPMCID: PMC8218346","page":"220-230","source":"PubMed","title":"Post-transplant erythrocytosis after kidney transplantation: A review","title-short":"Post-transplant erythrocytosis after kidney transplantation","volume":"11","author":[{"family":"Alzoubi","given":"Beyann"},{"family":"Kharel","given":"Abish"},{"family":"Machhi","given":"Rushad"},{"family":"Aziz","given":"Fahad"},{"family":"Swanson","given":"Kurtis J."},{"family":"Parajuli","given":"Sandesh"}],"issued":{"date-parts":[["2021",6,18]]}}}],"schema":"https://github.com/citation-style-language/schema/raw/master/csl-citation.json"} </w:instrText>
      </w:r>
      <w:r>
        <w:fldChar w:fldCharType="separate"/>
      </w:r>
      <w:r w:rsidR="002D20B5" w:rsidRPr="002D20B5">
        <w:rPr>
          <w:rFonts w:ascii="Aptos" w:hAnsi="Aptos" w:cs="Times New Roman"/>
          <w:sz w:val="22"/>
          <w:vertAlign w:val="superscript"/>
        </w:rPr>
        <w:t>375,377,378</w:t>
      </w:r>
      <w:r>
        <w:fldChar w:fldCharType="end"/>
      </w:r>
      <w:r w:rsidRPr="00FF3619">
        <w:t xml:space="preserve">. </w:t>
      </w:r>
    </w:p>
    <w:p w14:paraId="0CAD7D9B" w14:textId="559486FA" w:rsidR="00426BCE" w:rsidRPr="00FF3619" w:rsidRDefault="00426BCE" w:rsidP="00516860">
      <w:r w:rsidRPr="00FF3619">
        <w:t xml:space="preserve">The most used definition of PTE refers to a raised haemoglobin </w:t>
      </w:r>
      <w:r w:rsidR="00EB3BA8">
        <w:t xml:space="preserve">(Hgb) </w:t>
      </w:r>
      <w:r w:rsidRPr="00FF3619">
        <w:t>over 170g/L or a haematocrit exceeding &gt;51%. However, different groups have used different cut-off values for haematocrit, while certain bodies also distinguish between genders. Various investigators have also specified variable durations (</w:t>
      </w:r>
      <w:proofErr w:type="spellStart"/>
      <w:r w:rsidRPr="00FF3619">
        <w:t>eg</w:t>
      </w:r>
      <w:proofErr w:type="spellEnd"/>
      <w:r w:rsidRPr="00FF3619">
        <w:t xml:space="preserve"> &gt;1 month, &gt;3 months, &gt;6 months)</w:t>
      </w:r>
      <w:r>
        <w:t xml:space="preserve"> </w:t>
      </w:r>
      <w:r>
        <w:fldChar w:fldCharType="begin"/>
      </w:r>
      <w:r w:rsidR="002D20B5">
        <w:instrText xml:space="preserve"> ADDIN ZOTERO_ITEM CSL_CITATION {"citationID":"OQ0xU6AY","properties":{"formattedCitation":"\\super 379\\nosupersub{}","plainCitation":"379","noteIndex":0},"citationItems":[{"id":18763,"uris":["http://zotero.org/users/3444308/items/KXQ2HPAA"],"itemData":{"id":18763,"type":"article-journal","abstract":"Posttransplant erythrocytosis (PTE) is defined as a persistently elevated hematocrit to a level greater than 51% after renal transplantation. It occurs in 10% to 15% of graft recipients and usually develops 8 to 24 months after engraftment. Spontaneous remission of established PTE is observed in one fourth of the patients within 2 years from onset, whereas in the remaining three fourths it persists for several years, only to remit after loss of renal function from rejection. Predisposing factors include male gender, retention of native kidneys, smoking, transplant renal artery stenosis, adequate erythropoiesis prior to transplantation, and rejection-free course with well-functioning renal graft. Just as in other forms of erythrocytosis, a substantial number (approximately 60%) of patients with PTE experience malaise, headache, plethora, lethargy, and dizziness. Thromboembolic events occur in 10% to 30% of the cases; 1% to 2% eventually die of associated complications. Posttransplant erythrocytosis results from the combined trophic effect of multiple and interrelated erythropoietic factors. Among them, endogenous erythropoietin appears to play the central role. Persistent erythropoietin secretion from the diseased and chronically ischemic native kidneys does not conform to the normal feedback regulation, thereby establishing a form of \"tertiary hypererythropoietinemia.\" However, erythropoietin levels in most PTE patients still remain within the \"normal range,\" indicating that erythrocytosis finally ensues by the contributory action of additional growth factors on erythroid progenitors, such as angiotensin II, androgens, and insulin-like growth factor 1 (IGF-1). Inactivation of the renin-angiotensin system (RAS) by an angiotensin-converting enzyme (ACE) inhibitor, or an angiotensin II type 1 AT1 receptor blocker represents the most effective, safe, and well-tolerated therapeutic modality.","container-title":"Kidney International","DOI":"10.1046/j.1523-1755.2003.00850.x","ISSN":"0085-2538","issue":"4","journalAbbreviation":"Kidney Int","language":"eng","note":"PMID: 12631334","page":"1187-1194","source":"PubMed","title":"Posttransplant erythrocytosis","volume":"63","author":[{"family":"Vlahakos","given":"Demetrios V."},{"family":"Marathias","given":"Katerina P."},{"family":"Agroyannis","given":"Basil"},{"family":"Madias","given":"Nicolaos E."}],"issued":{"date-parts":[["2003",4]]}}}],"schema":"https://github.com/citation-style-language/schema/raw/master/csl-citation.json"} </w:instrText>
      </w:r>
      <w:r>
        <w:fldChar w:fldCharType="separate"/>
      </w:r>
      <w:r w:rsidR="002D20B5" w:rsidRPr="002D20B5">
        <w:rPr>
          <w:rFonts w:ascii="Aptos" w:hAnsi="Aptos" w:cs="Times New Roman"/>
          <w:sz w:val="22"/>
          <w:vertAlign w:val="superscript"/>
        </w:rPr>
        <w:t>379</w:t>
      </w:r>
      <w:r>
        <w:fldChar w:fldCharType="end"/>
      </w:r>
      <w:r w:rsidRPr="00FF3619">
        <w:t>.</w:t>
      </w:r>
    </w:p>
    <w:p w14:paraId="1C36288B" w14:textId="195215E9" w:rsidR="00426BCE" w:rsidRPr="00FF3619" w:rsidRDefault="00426BCE" w:rsidP="00516860">
      <w:r w:rsidRPr="00FF3619">
        <w:t>In 2009, the Kidney Disease Improving Global Outcomes (KDIGO) group defined PTE as a haemoglobin above 170 g/L or a haematocrit above 51% independent of gender and duration</w:t>
      </w:r>
      <w:r>
        <w:t xml:space="preserve"> </w:t>
      </w:r>
      <w:r>
        <w:fldChar w:fldCharType="begin"/>
      </w:r>
      <w:r w:rsidR="006528EA">
        <w:instrText xml:space="preserve"> ADDIN ZOTERO_ITEM CSL_CITATION {"citationID":"LfEfM4Bp","properties":{"formattedCitation":"\\super 36\\nosupersub{}","plainCitation":"36","noteIndex":0},"citationItems":[{"id":18762,"uris":["http://zotero.org/users/3444308/items/XZCK9LB5","http://zotero.org/users/3444308/items/695WFW9B"],"itemData":{"id":18762,"type":"article-journal","abstract":"The 2009 Kidney Disease: Improving Global Outcomes (KDIGO) clinical practice guideline on the monitoring, management, and treatment of kidney transplant recipients is intended to assist the practitioner caring for adults and children after kidney transplantation. The guideline development process followed an evidence-based approach, and management recommendations are based on systematic reviews of relevant treatment trials. Critical appraisal of the quality of the evidence and the strength of recommendations followed the Grades of Recommendation Assessment, Development, and Evaluation (GRADE) approach. The guideline makes recommendations for immunosuppression, graft monitoring, as well as prevention and treatment of infection, cardiovascular disease, malignancy, and other complications that are common in kidney transplant recipients, including hematological and bone disorders. Limitations of the evidence, especially on the lack of definitive clinical outcome trials, are discussed and suggestions are provided for future research.","container-title":"American Journal of Transplantation: Official Journal of the American Society of Transplantation and the American Society of Transplant Surgeons","DOI":"10.1111/j.1600-6143.2009.02834.x","ISSN":"1600-6143","journalAbbreviation":"Am J Transplant","language":"eng","note":"PMID: 19845597","page":"S1-155","source":"PubMed","title":"KDIGO clinical practice guideline for the care of kidney transplant recipients","volume":"9 Suppl 3","author":[{"literal":"Kidney Disease: Improving Global Outcomes (KDIGO) Transplant Work Group"}],"issued":{"date-parts":[["2009",11]]}}}],"schema":"https://github.com/citation-style-language/schema/raw/master/csl-citation.json"} </w:instrText>
      </w:r>
      <w:r>
        <w:fldChar w:fldCharType="separate"/>
      </w:r>
      <w:r w:rsidR="001019BA" w:rsidRPr="001019BA">
        <w:rPr>
          <w:rFonts w:ascii="Aptos" w:hAnsi="Aptos" w:cs="Times New Roman"/>
          <w:sz w:val="22"/>
          <w:vertAlign w:val="superscript"/>
        </w:rPr>
        <w:t>36</w:t>
      </w:r>
      <w:r>
        <w:fldChar w:fldCharType="end"/>
      </w:r>
      <w:r w:rsidRPr="00FF3619">
        <w:t>.</w:t>
      </w:r>
      <w:r>
        <w:t xml:space="preserve"> </w:t>
      </w:r>
      <w:r w:rsidRPr="00FF3619">
        <w:t>In 2017, the British Transplantation Society (BTS) recommended that treatment should be given beyond gender-specific thresholds, when haematocrit exceeds 52% in men and 49% in women</w:t>
      </w:r>
      <w:r>
        <w:t xml:space="preserve"> </w:t>
      </w:r>
      <w:r>
        <w:fldChar w:fldCharType="begin"/>
      </w:r>
      <w:r w:rsidR="002D20B5">
        <w:instrText xml:space="preserve"> ADDIN ZOTERO_ITEM CSL_CITATION {"citationID":"MqpiWs2c","properties":{"formattedCitation":"\\super 258\\nosupersub{}","plainCitation":"258","noteIndex":0},"citationItems":[{"id":19047,"uris":["http://zotero.org/users/3444308/items/KDIFZ8MM"],"itemData":{"id":19047,"type":"article-journal","abstract":"These guidelines cover the care of patients from the period following kidney transplantation until the transplant is no longer working or the patient dies. During the early phase prevention of acute rejection and infection are the priority. After around 3–6 months, the priorities change to preservation of transplant function and avoiding the long-term complications of immunosuppressive medication (the medication used to suppress the immune system to prevent rejection). The topics discussed include organization of outpatient follow up, immunosuppressive medication, treatment of acute and chronic rejection, and prevention of complications. The potential complications discussed include heart disease, infection, cancer, bone disease and blood disorders. There is also a section on contraception and reproductive issues. Immediately after the introduction there is a statement of all the recommendations. These recommendations are written in a language that we think should be understandable by many patients, relatives, carers and other interested people. Consequently we have not reworded or restated them in this lay summary. They are graded 1 or 2 depending on the strength of the recommendation by the authors, and AD depending on the quality of the evidence that the recommendation is based on.","container-title":"BMC Nephrology","DOI":"10.1186/s12882-017-0553-2","ISSN":"1471-2369","issue":"1","journalAbbreviation":"BMC Nephrol","language":"en","license":"2017 The Author(s).","note":"publisher: BioMed Central","page":"1-41","source":"bmcnephrol.biomedcentral.com","title":"Renal association clinical practice guideline in post-operative care in the kidney transplant recipient","volume":"18","author":[{"family":"Baker","given":"Richard J."},{"family":"Mark","given":"Patrick B."},{"family":"Patel","given":"Rajan K."},{"family":"Stevens","given":"Kate K."},{"family":"Palmer","given":"Nicholas"}],"issued":{"date-parts":[["2017",12]]}}}],"schema":"https://github.com/citation-style-language/schema/raw/master/csl-citation.json"} </w:instrText>
      </w:r>
      <w:r>
        <w:fldChar w:fldCharType="separate"/>
      </w:r>
      <w:r w:rsidR="002D20B5" w:rsidRPr="002D20B5">
        <w:rPr>
          <w:rFonts w:ascii="Aptos" w:hAnsi="Aptos" w:cs="Times New Roman"/>
          <w:sz w:val="22"/>
          <w:vertAlign w:val="superscript"/>
        </w:rPr>
        <w:t>258</w:t>
      </w:r>
      <w:r>
        <w:fldChar w:fldCharType="end"/>
      </w:r>
      <w:r w:rsidRPr="00FF3619">
        <w:t xml:space="preserve">. However, this guideline does not offer a definition of PTE </w:t>
      </w:r>
      <w:r w:rsidRPr="00FF3619">
        <w:rPr>
          <w:i/>
          <w:iCs/>
        </w:rPr>
        <w:t>per se</w:t>
      </w:r>
      <w:r w:rsidRPr="00FF3619">
        <w:t>. The British Society for Haematology (BSH) guidelines recommend treatment if there is hypertension as well as a rising haematocrit for over one month without specifying a threshold for haematocrit</w:t>
      </w:r>
      <w:r w:rsidR="00DE73E1">
        <w:t xml:space="preserve"> </w:t>
      </w:r>
      <w:r w:rsidR="00DE73E1">
        <w:fldChar w:fldCharType="begin"/>
      </w:r>
      <w:r w:rsidR="002D20B5">
        <w:instrText xml:space="preserve"> ADDIN ZOTERO_ITEM CSL_CITATION {"citationID":"7HLyMKA8","properties":{"formattedCitation":"\\super 380\\nosupersub{}","plainCitation":"380","noteIndex":0},"citationItems":[{"id":19990,"uris":["http://zotero.org/users/3444308/items/CIIW6S28"],"itemData":{"id":19990,"type":"article-journal","container-title":"British Journal of Haematology","DOI":"10.1111/bjh.15647","ISSN":"0007-1048, 1365-2141","issue":"2","journalAbbreviation":"Br J Haematol","language":"en","page":"161-175","source":"DOI.org (Crossref)","title":"A guideline for the management of specific situations in polycythaemia vera and secondary erythrocytosis: A British Society for Haematology Guideline","title-short":"A guideline for the management of specific situations in polycythaemia vera and secondary erythrocytosis","volume":"184","author":[{"family":"McMullin","given":"Mary F. F."},{"family":"Mead","given":"Adam J."},{"family":"Ali","given":"Sahra"},{"family":"Cargo","given":"Catherine"},{"family":"Chen","given":"Frederick"},{"family":"Ewing","given":"Joanne"},{"family":"Garg","given":"Mamta"},{"family":"Godfrey","given":"Anna"},{"family":"Knapper","given":"Steven"},{"family":"McLornan","given":"Donal P."},{"family":"Nangalia","given":"Jyoti"},{"family":"Sekhar","given":"Mallika"},{"family":"Wadelin","given":"Frances"},{"family":"Harrison","given":"Claire N."},{"literal":"the British Society for Haematology Guideline"}],"issued":{"date-parts":[["2019",1]]}}}],"schema":"https://github.com/citation-style-language/schema/raw/master/csl-citation.json"} </w:instrText>
      </w:r>
      <w:r w:rsidR="00DE73E1">
        <w:fldChar w:fldCharType="separate"/>
      </w:r>
      <w:r w:rsidR="002D20B5" w:rsidRPr="002D20B5">
        <w:rPr>
          <w:rFonts w:ascii="Aptos" w:hAnsi="Aptos" w:cs="Times New Roman"/>
          <w:vertAlign w:val="superscript"/>
        </w:rPr>
        <w:t>380</w:t>
      </w:r>
      <w:r w:rsidR="00DE73E1">
        <w:fldChar w:fldCharType="end"/>
      </w:r>
      <w:r w:rsidRPr="00FF3619">
        <w:t>. As most studies have used the KDIGO definition, and the fact that most recent evidence has shown that PTE is not associated with inferior graft outcomes or increased mortality in the modern era</w:t>
      </w:r>
      <w:r>
        <w:t xml:space="preserve"> </w:t>
      </w:r>
      <w:r>
        <w:fldChar w:fldCharType="begin"/>
      </w:r>
      <w:r w:rsidR="002D20B5">
        <w:instrText xml:space="preserve"> ADDIN ZOTERO_ITEM CSL_CITATION {"citationID":"iAekAlAd","properties":{"formattedCitation":"\\super 376\\nosupersub{}","plainCitation":"376","noteIndex":0},"citationItems":[{"id":18831,"uris":["http://zotero.org/users/3444308/items/UH4AWCYL"],"itemData":{"id":18831,"type":"article-journal","abstract":"The incidence, risk factors, and outcomes of kidney transplant recipients (KTRs) with post-transplant erythrocytosis (PTE) in the modern era of strong, protocolized immunosuppressive management are unknown. In this study, we aim to identify the incidence and risk factors of PTE and outcomes associated with PTE. This study examined adult KTRs transplanted at our hospital between 01/2001 and 12/2016. Controls were KTRs without PTE and selected in a 1:5 ratio using incident density sampling. Patient survival, graft survival, and vascular thromboembolism (VTE) incidence were outcomes of interest. Of 4,317 kidney transplants during the study period, 214 (5%) had PTE and were compared with controls. In the multivariate analysis, recipients with older age (HR: 0.97, 95% CI 0.96-0.99, p = .001) were less likely to develop PTE, while male gender (HR: 3.2; 95% CI: 1.92-5.3, p &lt; .001) and non-preemptive transplant (HR: 3.86, 95% CI 1.56-9.56, p = .003) were associated with increased risk of PTE. After adjustment for confounding factors, PTE was not associated with patient mortality (HR: 0.99, 95% CI 0.69-1.42, p = .97), graft failure (HR: 1.11, 95% CI 0.68-1.80, p = .69), or VTE (HR: 1.07, 95% CI 0.59-1.96, p = .81). The incidence of PTE is still substantial in this era, but with proper management PTE does not impact patient or graft survival.","container-title":"Clinical Transplantation","DOI":"10.1111/ctr.14166","ISSN":"1399-0012","issue":"2","journalAbbreviation":"Clin Transplant","language":"eng","note":"PMID: 33231331","page":"e14166","source":"PubMed","title":"Incidence, risk factors, and outcomes of post-transplant erythrocytosis after kidney transplantation","volume":"35","author":[{"family":"Alzoubi","given":"Beyann"},{"family":"Kharel","given":"Abish"},{"family":"Osman","given":"Fauzia"},{"family":"Aziz","given":"Fahad"},{"family":"Garg","given":"Neetika"},{"family":"Mohamed","given":"Maha"},{"family":"Djamali","given":"Arjang"},{"family":"Mandelbrot","given":"Didier A."},{"family":"Parajuli","given":"Sandesh"}],"issued":{"date-parts":[["2021",2]]}}}],"schema":"https://github.com/citation-style-language/schema/raw/master/csl-citation.json"} </w:instrText>
      </w:r>
      <w:r>
        <w:fldChar w:fldCharType="separate"/>
      </w:r>
      <w:r w:rsidR="002D20B5" w:rsidRPr="002D20B5">
        <w:rPr>
          <w:rFonts w:ascii="Aptos" w:hAnsi="Aptos" w:cs="Times New Roman"/>
          <w:sz w:val="22"/>
          <w:vertAlign w:val="superscript"/>
        </w:rPr>
        <w:t>376</w:t>
      </w:r>
      <w:r>
        <w:fldChar w:fldCharType="end"/>
      </w:r>
      <w:r w:rsidRPr="00FF3619">
        <w:t>, we have adopted this same definition to dictate treatment thresholds.</w:t>
      </w:r>
    </w:p>
    <w:p w14:paraId="6C324136" w14:textId="4024D049" w:rsidR="00426BCE" w:rsidRPr="00FF3619" w:rsidRDefault="00426BCE" w:rsidP="00516860">
      <w:r w:rsidRPr="00FF3619">
        <w:t>Risk factors for PTE are well established and include male gender, a well-functioning graft, longer duration on dialysis prior to transplantation, smoking, presence of native kidneys and adequate erythropoiesis prior to transplantation</w:t>
      </w:r>
      <w:r>
        <w:t xml:space="preserve"> </w:t>
      </w:r>
      <w:r>
        <w:fldChar w:fldCharType="begin"/>
      </w:r>
      <w:r w:rsidR="002D20B5">
        <w:instrText xml:space="preserve"> ADDIN ZOTERO_ITEM CSL_CITATION {"citationID":"lurCJ3b4","properties":{"formattedCitation":"\\super 374\\uc0\\u8211{}376\\nosupersub{}","plainCitation":"374–376","noteIndex":0},"citationItems":[{"id":18830,"uris":["http://zotero.org/users/3444308/items/7EWBDPMX"],"itemData":{"id":18830,"type":"article-journal","abstract":"A retrospective study was conducted on 143 consecutive renal transplant recipients who had a functioning graft for three months or longer, to evaluate the prevalence of post-transplant erythrocytosis (PTE) and its potential risk factors. True PTE was defined as hematocrit (Ht) above 52% and hemoglobin (Hb) above 18 g/dl in males, and Ht above 50% and Hb above 17 g /dl in females. A total of 31 patients (21.6%) developed PTE; none had any evidence of polycythemia vera (PV), or secondary polycythemia due to reduced arterial oxygen, kidney or hepatic tumors, or relative erythrocytosis due to a decrease in plasma volume by overuse of diuretics. Thirty-one non-polycythemic patients (Hb 12.9 +-1.6 g/dl) matched for sex, age and renal function were used as case controls. PTE was more common in males (p= 0.043). The majority of our patients developed PTE within the first year post-transplantation and all had excellent renal function at the time of diagnosis. Also, PTE was found to be related to duration on dialysis prior to transplantation (p= 0.0013) and acute rejection (p= 0.0031).","container-title":"Saudi Journal of Kidney Diseases and Transplantation: An Official Publication of the Saudi Center for Organ Transplantation, Saudi Arabia","ISSN":"1319-2442","issue":"3","journalAbbreviation":"Saudi J Kidney Dis Transpl","language":"eng","note":"PMID: 18445895","page":"371-377","source":"PubMed","title":"Factors predisposing to post-renal transplant erythrocytosis: a retrospective study","title-short":"Factors predisposing to post-renal transplant erythrocytosis","volume":"19","author":[{"family":"Charfeddine","given":"K."},{"family":"Zaghdane","given":"S."},{"family":"Yaich","given":"S."},{"family":"Hakim","given":"A."},{"family":"Hachicha","given":"J."}],"issued":{"date-parts":[["2008",5]]}}},{"id":18832,"uris":["http://zotero.org/users/3444308/items/YXDMBA28"],"itemData":{"id":18832,"type":"article-journal","abstract":"BACKGROUND: Erythrocytosis is relatively common post-kidney transplantation and may have adverse consequences. This study examined whether the incidence of erythrocytosis has remained stable over time and explored the impact of this condition on patient outcomes.\nMETHODS: This was a retrospective single center review of an incidence cohort (transplanted between 1993 and 2005). Predictors of erythrocytosis and hemoglobin levels and subsequent patient and allograft survival were examined.\nRESULTS: Erythrocytosis (hemoglobin &gt;170 g/L for &gt;1 month) was observed in 59 of 511 recipients. Erythrocytosis developed in only 8.1% of those transplanted from 1997 to 2005, compared with 18.7% in those transplanted from 1993 to 1996 (p = 0.0005). Independent predictive factors were use of angiotensin converting enzyme inhibitors/angiotensin receptor blockers (ACEi/ARBs) (HR 0.176, 95% CI 0.040-0.71, p = 0.016), male gender (HR 3.72, 95% CI 1.54-9.0, p = 0.003), and mycophenolic acid agents (HR 0.49, 95% CI 0.237-0.99, p = 0.049). Patients with erythrocytosis had superior overall survival (HR for death 0.105, 95% CI 0.014-0.760, p = 0.026) but a trend for worse death censored graft loss (univariate HR 2.06, 95% CI 0.91-4.65, p = 0.084).\nCONCLUSIONS: The incidence of erythrocytosis is falling and is likely related to greater ACEi/ARB use and possibly more antiproliferative immunosuppression. Patient survival is excellent in those with erythrocytosis, but long-term graft survival may be compromised.","container-title":"Clinical Transplantation","DOI":"10.1111/j.1399-0012.2008.00947.x","ISSN":"1399-0012","issue":"6","journalAbbreviation":"Clin Transplant","language":"eng","note":"PMID: 19191802","page":"800-806","source":"PubMed","title":"Post-transplant erythrocytosis: a disappearing phenomenon?","title-short":"Post-transplant erythrocytosis","volume":"23","author":[{"family":"Kiberd","given":"Bryce A."}],"issued":{"date-parts":[["2009"]]}}},{"id":18831,"uris":["http://zotero.org/users/3444308/items/UH4AWCYL"],"itemData":{"id":18831,"type":"article-journal","abstract":"The incidence, risk factors, and outcomes of kidney transplant recipients (KTRs) with post-transplant erythrocytosis (PTE) in the modern era of strong, protocolized immunosuppressive management are unknown. In this study, we aim to identify the incidence and risk factors of PTE and outcomes associated with PTE. This study examined adult KTRs transplanted at our hospital between 01/2001 and 12/2016. Controls were KTRs without PTE and selected in a 1:5 ratio using incident density sampling. Patient survival, graft survival, and vascular thromboembolism (VTE) incidence were outcomes of interest. Of 4,317 kidney transplants during the study period, 214 (5%) had PTE and were compared with controls. In the multivariate analysis, recipients with older age (HR: 0.97, 95% CI 0.96-0.99, p = .001) were less likely to develop PTE, while male gender (HR: 3.2; 95% CI: 1.92-5.3, p &lt; .001) and non-preemptive transplant (HR: 3.86, 95% CI 1.56-9.56, p = .003) were associated with increased risk of PTE. After adjustment for confounding factors, PTE was not associated with patient mortality (HR: 0.99, 95% CI 0.69-1.42, p = .97), graft failure (HR: 1.11, 95% CI 0.68-1.80, p = .69), or VTE (HR: 1.07, 95% CI 0.59-1.96, p = .81). The incidence of PTE is still substantial in this era, but with proper management PTE does not impact patient or graft survival.","container-title":"Clinical Transplantation","DOI":"10.1111/ctr.14166","ISSN":"1399-0012","issue":"2","journalAbbreviation":"Clin Transplant","language":"eng","note":"PMID: 33231331","page":"e14166","source":"PubMed","title":"Incidence, risk factors, and outcomes of post-transplant erythrocytosis after kidney transplantation","volume":"35","author":[{"family":"Alzoubi","given":"Beyann"},{"family":"Kharel","given":"Abish"},{"family":"Osman","given":"Fauzia"},{"family":"Aziz","given":"Fahad"},{"family":"Garg","given":"Neetika"},{"family":"Mohamed","given":"Maha"},{"family":"Djamali","given":"Arjang"},{"family":"Mandelbrot","given":"Didier A."},{"family":"Parajuli","given":"Sandesh"}],"issued":{"date-parts":[["2021",2]]}}}],"schema":"https://github.com/citation-style-language/schema/raw/master/csl-citation.json"} </w:instrText>
      </w:r>
      <w:r>
        <w:fldChar w:fldCharType="separate"/>
      </w:r>
      <w:r w:rsidR="002D20B5" w:rsidRPr="002D20B5">
        <w:rPr>
          <w:rFonts w:ascii="Aptos" w:hAnsi="Aptos" w:cs="Times New Roman"/>
          <w:sz w:val="22"/>
          <w:vertAlign w:val="superscript"/>
        </w:rPr>
        <w:t>374–376</w:t>
      </w:r>
      <w:r>
        <w:fldChar w:fldCharType="end"/>
      </w:r>
      <w:r w:rsidRPr="00FF3619">
        <w:t xml:space="preserve">. The pathophysiology is not fully understood, however it is thought to be associated with persistent high secretion of erythropoietin from the native kidneys despite rising haemoglobin levels post-transplant, and involves </w:t>
      </w:r>
      <w:r w:rsidR="00AC2FBE">
        <w:t>r</w:t>
      </w:r>
      <w:r w:rsidRPr="00FF3619">
        <w:t>enin-aldosterone-angiotensin system (RAAS), Insulin-like growth factor 1 (IGF-1) and endogenous androgens</w:t>
      </w:r>
      <w:r>
        <w:t xml:space="preserve"> </w:t>
      </w:r>
      <w:r>
        <w:fldChar w:fldCharType="begin"/>
      </w:r>
      <w:r w:rsidR="002D20B5">
        <w:instrText xml:space="preserve"> ADDIN ZOTERO_ITEM CSL_CITATION {"citationID":"FkbMJwuY","properties":{"formattedCitation":"\\super 378\\nosupersub{}","plainCitation":"378","noteIndex":0},"citationItems":[{"id":18829,"uris":["http://zotero.org/users/3444308/items/QDLD5H33"],"itemData":{"id":18829,"type":"article-journal","abstract":"Post-transplant erythrocytosis (PTE) is defined as persistently elevated hemoglobin &gt; 17 g/dL or hematocrit levels &gt; 51% following kidney transplantation, independent of duration. It is a relatively common complication within 8 months to 24 months post-transplantation, occurring in 8%-15% of kidney transplant recipients. Established PTE risk factors include male gender, normal hemoglobin/hematocrit pre-transplant (suggestive of robust native kidney erythropoietin production), renal artery stenosis, patients with a well-functioning graft, and dialysis before transplantation. Many factors play a role in the development of PTE, however, underlying endogenous erythropoietin secretion pre-and post-transplant is significant. Other contributory factors include the renin-angiotensin- aldosterone system, insulin-like growth factors, endogenous androgens, and local renal hypoxia. Most patients with PTE experience mild symptoms like malaise, headache, fatigue, and dizziness. While prior investigations showed an increased risk of thromboembolic events, more recent evidence tells a different story-that PTE perhaps has lessened risk of thromboembolic events or negative graft outcomes than previously thought. In the evaluation of PTE, it is important to exclude other causes of erythrocytosis including malignancy before treatment. Angiotensin converting enzyme inhibitors (ACE-I) and angiotensin receptor blockers (ARBs) are the mainstays of treatment. Increased ACE-I/ARB use has likely contributed to the falling incidence of erythrocytosis. In this review article, we summarize the current literature in the field of post-transplant erythrocytosis after kidney transplantation.","container-title":"World Journal of Transplantation","DOI":"10.5500/wjt.v11.i6.220","ISSN":"2220-3230","issue":"6","journalAbbreviation":"World J Transplant","language":"eng","note":"PMID: 34164297\nPMCID: PMC8218346","page":"220-230","source":"PubMed","title":"Post-transplant erythrocytosis after kidney transplantation: A review","title-short":"Post-transplant erythrocytosis after kidney transplantation","volume":"11","author":[{"family":"Alzoubi","given":"Beyann"},{"family":"Kharel","given":"Abish"},{"family":"Machhi","given":"Rushad"},{"family":"Aziz","given":"Fahad"},{"family":"Swanson","given":"Kurtis J."},{"family":"Parajuli","given":"Sandesh"}],"issued":{"date-parts":[["2021",6,18]]}}}],"schema":"https://github.com/citation-style-language/schema/raw/master/csl-citation.json"} </w:instrText>
      </w:r>
      <w:r>
        <w:fldChar w:fldCharType="separate"/>
      </w:r>
      <w:r w:rsidR="002D20B5" w:rsidRPr="002D20B5">
        <w:rPr>
          <w:rFonts w:ascii="Aptos" w:hAnsi="Aptos" w:cs="Times New Roman"/>
          <w:sz w:val="22"/>
          <w:vertAlign w:val="superscript"/>
        </w:rPr>
        <w:t>378</w:t>
      </w:r>
      <w:r>
        <w:fldChar w:fldCharType="end"/>
      </w:r>
      <w:r w:rsidRPr="00FF3619">
        <w:t>.</w:t>
      </w:r>
      <w:r>
        <w:t xml:space="preserve"> </w:t>
      </w:r>
      <w:r w:rsidRPr="00FF3619">
        <w:t>PTE usually occurs between 8 months and 2 years post transplantation and may remit spontaneously within 2 years from onset in around a quarter of patients</w:t>
      </w:r>
      <w:r>
        <w:t xml:space="preserve"> </w:t>
      </w:r>
      <w:r>
        <w:fldChar w:fldCharType="begin"/>
      </w:r>
      <w:r w:rsidR="002D20B5">
        <w:instrText xml:space="preserve"> ADDIN ZOTERO_ITEM CSL_CITATION {"citationID":"7jsu2zyC","properties":{"formattedCitation":"\\super 379\\nosupersub{}","plainCitation":"379","noteIndex":0},"citationItems":[{"id":18763,"uris":["http://zotero.org/users/3444308/items/KXQ2HPAA"],"itemData":{"id":18763,"type":"article-journal","abstract":"Posttransplant erythrocytosis (PTE) is defined as a persistently elevated hematocrit to a level greater than 51% after renal transplantation. It occurs in 10% to 15% of graft recipients and usually develops 8 to 24 months after engraftment. Spontaneous remission of established PTE is observed in one fourth of the patients within 2 years from onset, whereas in the remaining three fourths it persists for several years, only to remit after loss of renal function from rejection. Predisposing factors include male gender, retention of native kidneys, smoking, transplant renal artery stenosis, adequate erythropoiesis prior to transplantation, and rejection-free course with well-functioning renal graft. Just as in other forms of erythrocytosis, a substantial number (approximately 60%) of patients with PTE experience malaise, headache, plethora, lethargy, and dizziness. Thromboembolic events occur in 10% to 30% of the cases; 1% to 2% eventually die of associated complications. Posttransplant erythrocytosis results from the combined trophic effect of multiple and interrelated erythropoietic factors. Among them, endogenous erythropoietin appears to play the central role. Persistent erythropoietin secretion from the diseased and chronically ischemic native kidneys does not conform to the normal feedback regulation, thereby establishing a form of \"tertiary hypererythropoietinemia.\" However, erythropoietin levels in most PTE patients still remain within the \"normal range,\" indicating that erythrocytosis finally ensues by the contributory action of additional growth factors on erythroid progenitors, such as angiotensin II, androgens, and insulin-like growth factor 1 (IGF-1). Inactivation of the renin-angiotensin system (RAS) by an angiotensin-converting enzyme (ACE) inhibitor, or an angiotensin II type 1 AT1 receptor blocker represents the most effective, safe, and well-tolerated therapeutic modality.","container-title":"Kidney International","DOI":"10.1046/j.1523-1755.2003.00850.x","ISSN":"0085-2538","issue":"4","journalAbbreviation":"Kidney Int","language":"eng","note":"PMID: 12631334","page":"1187-1194","source":"PubMed","title":"Posttransplant erythrocytosis","volume":"63","author":[{"family":"Vlahakos","given":"Demetrios V."},{"family":"Marathias","given":"Katerina P."},{"family":"Agroyannis","given":"Basil"},{"family":"Madias","given":"Nicolaos E."}],"issued":{"date-parts":[["2003",4]]}}}],"schema":"https://github.com/citation-style-language/schema/raw/master/csl-citation.json"} </w:instrText>
      </w:r>
      <w:r>
        <w:fldChar w:fldCharType="separate"/>
      </w:r>
      <w:r w:rsidR="002D20B5" w:rsidRPr="002D20B5">
        <w:rPr>
          <w:rFonts w:ascii="Aptos" w:hAnsi="Aptos" w:cs="Times New Roman"/>
          <w:sz w:val="22"/>
          <w:vertAlign w:val="superscript"/>
        </w:rPr>
        <w:t>379</w:t>
      </w:r>
      <w:r>
        <w:fldChar w:fldCharType="end"/>
      </w:r>
      <w:r w:rsidRPr="00FF3619">
        <w:t>. PTE can cause mild symptoms (malaise, fatigue, plethora and dizziness) and has been associated with thromboembolic events</w:t>
      </w:r>
      <w:r>
        <w:t xml:space="preserve"> </w:t>
      </w:r>
      <w:r>
        <w:fldChar w:fldCharType="begin"/>
      </w:r>
      <w:r w:rsidR="002D20B5">
        <w:instrText xml:space="preserve"> ADDIN ZOTERO_ITEM CSL_CITATION {"citationID":"JKTCvDCI","properties":{"formattedCitation":"\\super 378,379\\nosupersub{}","plainCitation":"378,379","noteIndex":0},"citationItems":[{"id":18763,"uris":["http://zotero.org/users/3444308/items/KXQ2HPAA"],"itemData":{"id":18763,"type":"article-journal","abstract":"Posttransplant erythrocytosis (PTE) is defined as a persistently elevated hematocrit to a level greater than 51% after renal transplantation. It occurs in 10% to 15% of graft recipients and usually develops 8 to 24 months after engraftment. Spontaneous remission of established PTE is observed in one fourth of the patients within 2 years from onset, whereas in the remaining three fourths it persists for several years, only to remit after loss of renal function from rejection. Predisposing factors include male gender, retention of native kidneys, smoking, transplant renal artery stenosis, adequate erythropoiesis prior to transplantation, and rejection-free course with well-functioning renal graft. Just as in other forms of erythrocytosis, a substantial number (approximately 60%) of patients with PTE experience malaise, headache, plethora, lethargy, and dizziness. Thromboembolic events occur in 10% to 30% of the cases; 1% to 2% eventually die of associated complications. Posttransplant erythrocytosis results from the combined trophic effect of multiple and interrelated erythropoietic factors. Among them, endogenous erythropoietin appears to play the central role. Persistent erythropoietin secretion from the diseased and chronically ischemic native kidneys does not conform to the normal feedback regulation, thereby establishing a form of \"tertiary hypererythropoietinemia.\" However, erythropoietin levels in most PTE patients still remain within the \"normal range,\" indicating that erythrocytosis finally ensues by the contributory action of additional growth factors on erythroid progenitors, such as angiotensin II, androgens, and insulin-like growth factor 1 (IGF-1). Inactivation of the renin-angiotensin system (RAS) by an angiotensin-converting enzyme (ACE) inhibitor, or an angiotensin II type 1 AT1 receptor blocker represents the most effective, safe, and well-tolerated therapeutic modality.","container-title":"Kidney International","DOI":"10.1046/j.1523-1755.2003.00850.x","ISSN":"0085-2538","issue":"4","journalAbbreviation":"Kidney Int","language":"eng","note":"PMID: 12631334","page":"1187-1194","source":"PubMed","title":"Posttransplant erythrocytosis","volume":"63","author":[{"family":"Vlahakos","given":"Demetrios V."},{"family":"Marathias","given":"Katerina P."},{"family":"Agroyannis","given":"Basil"},{"family":"Madias","given":"Nicolaos E."}],"issued":{"date-parts":[["2003",4]]}}},{"id":18829,"uris":["http://zotero.org/users/3444308/items/QDLD5H33"],"itemData":{"id":18829,"type":"article-journal","abstract":"Post-transplant erythrocytosis (PTE) is defined as persistently elevated hemoglobin &gt; 17 g/dL or hematocrit levels &gt; 51% following kidney transplantation, independent of duration. It is a relatively common complication within 8 months to 24 months post-transplantation, occurring in 8%-15% of kidney transplant recipients. Established PTE risk factors include male gender, normal hemoglobin/hematocrit pre-transplant (suggestive of robust native kidney erythropoietin production), renal artery stenosis, patients with a well-functioning graft, and dialysis before transplantation. Many factors play a role in the development of PTE, however, underlying endogenous erythropoietin secretion pre-and post-transplant is significant. Other contributory factors include the renin-angiotensin- aldosterone system, insulin-like growth factors, endogenous androgens, and local renal hypoxia. Most patients with PTE experience mild symptoms like malaise, headache, fatigue, and dizziness. While prior investigations showed an increased risk of thromboembolic events, more recent evidence tells a different story-that PTE perhaps has lessened risk of thromboembolic events or negative graft outcomes than previously thought. In the evaluation of PTE, it is important to exclude other causes of erythrocytosis including malignancy before treatment. Angiotensin converting enzyme inhibitors (ACE-I) and angiotensin receptor blockers (ARBs) are the mainstays of treatment. Increased ACE-I/ARB use has likely contributed to the falling incidence of erythrocytosis. In this review article, we summarize the current literature in the field of post-transplant erythrocytosis after kidney transplantation.","container-title":"World Journal of Transplantation","DOI":"10.5500/wjt.v11.i6.220","ISSN":"2220-3230","issue":"6","journalAbbreviation":"World J Transplant","language":"eng","note":"PMID: 34164297\nPMCID: PMC8218346","page":"220-230","source":"PubMed","title":"Post-transplant erythrocytosis after kidney transplantation: A review","title-short":"Post-transplant erythrocytosis after kidney transplantation","volume":"11","author":[{"family":"Alzoubi","given":"Beyann"},{"family":"Kharel","given":"Abish"},{"family":"Machhi","given":"Rushad"},{"family":"Aziz","given":"Fahad"},{"family":"Swanson","given":"Kurtis J."},{"family":"Parajuli","given":"Sandesh"}],"issued":{"date-parts":[["2021",6,18]]}}}],"schema":"https://github.com/citation-style-language/schema/raw/master/csl-citation.json"} </w:instrText>
      </w:r>
      <w:r>
        <w:fldChar w:fldCharType="separate"/>
      </w:r>
      <w:r w:rsidR="002D20B5" w:rsidRPr="002D20B5">
        <w:rPr>
          <w:rFonts w:ascii="Aptos" w:hAnsi="Aptos" w:cs="Times New Roman"/>
          <w:sz w:val="22"/>
          <w:vertAlign w:val="superscript"/>
        </w:rPr>
        <w:t>378,379</w:t>
      </w:r>
      <w:r>
        <w:fldChar w:fldCharType="end"/>
      </w:r>
      <w:r w:rsidRPr="00FF3619">
        <w:t>. However, a recent study has shown that with modern management, PTE was not associated with thromboembolic events, mortality or graft failure</w:t>
      </w:r>
      <w:r>
        <w:t xml:space="preserve"> </w:t>
      </w:r>
      <w:r>
        <w:fldChar w:fldCharType="begin"/>
      </w:r>
      <w:r w:rsidR="002D20B5">
        <w:instrText xml:space="preserve"> ADDIN ZOTERO_ITEM CSL_CITATION {"citationID":"0DrMtrMu","properties":{"formattedCitation":"\\super 376\\nosupersub{}","plainCitation":"376","noteIndex":0},"citationItems":[{"id":18831,"uris":["http://zotero.org/users/3444308/items/UH4AWCYL"],"itemData":{"id":18831,"type":"article-journal","abstract":"The incidence, risk factors, and outcomes of kidney transplant recipients (KTRs) with post-transplant erythrocytosis (PTE) in the modern era of strong, protocolized immunosuppressive management are unknown. In this study, we aim to identify the incidence and risk factors of PTE and outcomes associated with PTE. This study examined adult KTRs transplanted at our hospital between 01/2001 and 12/2016. Controls were KTRs without PTE and selected in a 1:5 ratio using incident density sampling. Patient survival, graft survival, and vascular thromboembolism (VTE) incidence were outcomes of interest. Of 4,317 kidney transplants during the study period, 214 (5%) had PTE and were compared with controls. In the multivariate analysis, recipients with older age (HR: 0.97, 95% CI 0.96-0.99, p = .001) were less likely to develop PTE, while male gender (HR: 3.2; 95% CI: 1.92-5.3, p &lt; .001) and non-preemptive transplant (HR: 3.86, 95% CI 1.56-9.56, p = .003) were associated with increased risk of PTE. After adjustment for confounding factors, PTE was not associated with patient mortality (HR: 0.99, 95% CI 0.69-1.42, p = .97), graft failure (HR: 1.11, 95% CI 0.68-1.80, p = .69), or VTE (HR: 1.07, 95% CI 0.59-1.96, p = .81). The incidence of PTE is still substantial in this era, but with proper management PTE does not impact patient or graft survival.","container-title":"Clinical Transplantation","DOI":"10.1111/ctr.14166","ISSN":"1399-0012","issue":"2","journalAbbreviation":"Clin Transplant","language":"eng","note":"PMID: 33231331","page":"e14166","source":"PubMed","title":"Incidence, risk factors, and outcomes of post-transplant erythrocytosis after kidney transplantation","volume":"35","author":[{"family":"Alzoubi","given":"Beyann"},{"family":"Kharel","given":"Abish"},{"family":"Osman","given":"Fauzia"},{"family":"Aziz","given":"Fahad"},{"family":"Garg","given":"Neetika"},{"family":"Mohamed","given":"Maha"},{"family":"Djamali","given":"Arjang"},{"family":"Mandelbrot","given":"Didier A."},{"family":"Parajuli","given":"Sandesh"}],"issued":{"date-parts":[["2021",2]]}}}],"schema":"https://github.com/citation-style-language/schema/raw/master/csl-citation.json"} </w:instrText>
      </w:r>
      <w:r>
        <w:fldChar w:fldCharType="separate"/>
      </w:r>
      <w:r w:rsidR="002D20B5" w:rsidRPr="002D20B5">
        <w:rPr>
          <w:rFonts w:ascii="Aptos" w:hAnsi="Aptos" w:cs="Times New Roman"/>
          <w:sz w:val="22"/>
          <w:vertAlign w:val="superscript"/>
        </w:rPr>
        <w:t>376</w:t>
      </w:r>
      <w:r>
        <w:fldChar w:fldCharType="end"/>
      </w:r>
      <w:r w:rsidRPr="00FF3619">
        <w:t xml:space="preserve">. </w:t>
      </w:r>
    </w:p>
    <w:p w14:paraId="1C8152C4" w14:textId="0E452432" w:rsidR="00426BCE" w:rsidRPr="00FF3619" w:rsidRDefault="00426BCE" w:rsidP="00516860">
      <w:r w:rsidRPr="00FF3619">
        <w:t xml:space="preserve">Patients with suspected PET should undergo evaluation to exclude underlying pathologies that may contribute to erythrocytosis. Firstly, patients should be examined for haemoconcentration secondary to dehydration. Patients would have usually undergone a thorough assessment as part of their transplant work-up, however malignancies such as renal </w:t>
      </w:r>
      <w:r w:rsidRPr="00FF3619">
        <w:lastRenderedPageBreak/>
        <w:t>cell carcinoma, as well as conditions predisposing to chronic hypoxia should be identified</w:t>
      </w:r>
      <w:r>
        <w:t xml:space="preserve"> </w:t>
      </w:r>
      <w:r>
        <w:fldChar w:fldCharType="begin"/>
      </w:r>
      <w:r w:rsidR="002D20B5">
        <w:instrText xml:space="preserve"> ADDIN ZOTERO_ITEM CSL_CITATION {"citationID":"nFLFUbLZ","properties":{"formattedCitation":"\\super 378,381\\nosupersub{}","plainCitation":"378,381","noteIndex":0},"citationItems":[{"id":18827,"uris":["http://zotero.org/users/3444308/items/F6AGSFEW"],"itemData":{"id":18827,"type":"article-journal","abstract":"An absolute erythrocytosis is present when the red cell mass is greater than 125 % of the predicted value for sex and body mass. It can have a primary or secondary and congenital or acquired cause. New causes particularly congenital continue to be discovered and investigated. Investigation for the cause starts with repeat and confirmation of the raised hemoglobin and measurement of an erythropoietin level to indicate whether to pursue primary or secondary causes and then further investigations as appropriate. Management options include low dose aspirin and venesection. Specific management advice is available for certain specific clinical situations.","container-title":"Current Hematologic Malignancy Reports","DOI":"10.1007/s11899-016-0334-1","ISSN":"1558-822X","issue":"5","journalAbbreviation":"Curr Hematol Malig Rep","language":"eng","note":"PMID: 27423232","page":"342-347","source":"PubMed","title":"Investigation and Management of Erythrocytosis","volume":"11","author":[{"family":"McMullin","given":"Mary Frances"}],"issued":{"date-parts":[["2016",10]]}}},{"id":18829,"uris":["http://zotero.org/users/3444308/items/QDLD5H33"],"itemData":{"id":18829,"type":"article-journal","abstract":"Post-transplant erythrocytosis (PTE) is defined as persistently elevated hemoglobin &gt; 17 g/dL or hematocrit levels &gt; 51% following kidney transplantation, independent of duration. It is a relatively common complication within 8 months to 24 months post-transplantation, occurring in 8%-15% of kidney transplant recipients. Established PTE risk factors include male gender, normal hemoglobin/hematocrit pre-transplant (suggestive of robust native kidney erythropoietin production), renal artery stenosis, patients with a well-functioning graft, and dialysis before transplantation. Many factors play a role in the development of PTE, however, underlying endogenous erythropoietin secretion pre-and post-transplant is significant. Other contributory factors include the renin-angiotensin- aldosterone system, insulin-like growth factors, endogenous androgens, and local renal hypoxia. Most patients with PTE experience mild symptoms like malaise, headache, fatigue, and dizziness. While prior investigations showed an increased risk of thromboembolic events, more recent evidence tells a different story-that PTE perhaps has lessened risk of thromboembolic events or negative graft outcomes than previously thought. In the evaluation of PTE, it is important to exclude other causes of erythrocytosis including malignancy before treatment. Angiotensin converting enzyme inhibitors (ACE-I) and angiotensin receptor blockers (ARBs) are the mainstays of treatment. Increased ACE-I/ARB use has likely contributed to the falling incidence of erythrocytosis. In this review article, we summarize the current literature in the field of post-transplant erythrocytosis after kidney transplantation.","container-title":"World Journal of Transplantation","DOI":"10.5500/wjt.v11.i6.220","ISSN":"2220-3230","issue":"6","journalAbbreviation":"World J Transplant","language":"eng","note":"PMID: 34164297\nPMCID: PMC8218346","page":"220-230","source":"PubMed","title":"Post-transplant erythrocytosis after kidney transplantation: A review","title-short":"Post-transplant erythrocytosis after kidney transplantation","volume":"11","author":[{"family":"Alzoubi","given":"Beyann"},{"family":"Kharel","given":"Abish"},{"family":"Machhi","given":"Rushad"},{"family":"Aziz","given":"Fahad"},{"family":"Swanson","given":"Kurtis J."},{"family":"Parajuli","given":"Sandesh"}],"issued":{"date-parts":[["2021",6,18]]}}}],"schema":"https://github.com/citation-style-language/schema/raw/master/csl-citation.json"} </w:instrText>
      </w:r>
      <w:r>
        <w:fldChar w:fldCharType="separate"/>
      </w:r>
      <w:r w:rsidR="002D20B5" w:rsidRPr="002D20B5">
        <w:rPr>
          <w:rFonts w:ascii="Aptos" w:hAnsi="Aptos" w:cs="Times New Roman"/>
          <w:sz w:val="22"/>
          <w:vertAlign w:val="superscript"/>
        </w:rPr>
        <w:t>378,381</w:t>
      </w:r>
      <w:r>
        <w:fldChar w:fldCharType="end"/>
      </w:r>
      <w:r w:rsidRPr="00FF3619">
        <w:t>. BSH recommends screening for JAK-2 if haematocrit remains refractory to ACE-I/ARBs or venesection</w:t>
      </w:r>
      <w:r>
        <w:t xml:space="preserve"> </w:t>
      </w:r>
      <w:r>
        <w:fldChar w:fldCharType="begin"/>
      </w:r>
      <w:r w:rsidR="002D20B5">
        <w:instrText xml:space="preserve"> ADDIN ZOTERO_ITEM CSL_CITATION {"citationID":"mAwOsb4A","properties":{"formattedCitation":"\\super 382\\nosupersub{}","plainCitation":"382","noteIndex":0},"citationItems":[{"id":18826,"uris":["http://zotero.org/users/3444308/items/IYVRX923"],"itemData":{"id":18826,"type":"article-journal","container-title":"British Journal of Haematology","DOI":"10.1111/bjh.15647","ISSN":"1365-2141","issue":"2","journalAbbreviation":"Br J Haematol","language":"eng","note":"PMID: 30426472\nPMCID: PMC6519221","page":"161-175","source":"PubMed","title":"A guideline for the management of specific situations in polycythaemia vera and secondary erythrocytosis: A British Society for Haematology Guideline","title-short":"A guideline for the management of specific situations in polycythaemia vera and secondary erythrocytosis","volume":"184","author":[{"family":"McMullin","given":"Mary F. F."},{"family":"Mead","given":"Adam J."},{"family":"Ali","given":"Sahra"},{"family":"Cargo","given":"Catherine"},{"family":"Chen","given":"Frederick"},{"family":"Ewing","given":"Joanne"},{"family":"Garg","given":"Mamta"},{"family":"Godfrey","given":"Anna"},{"family":"Knapper","given":"Steven"},{"family":"McLornan","given":"Donal P."},{"family":"Nangalia","given":"Jyoti"},{"family":"Sekhar","given":"Mallika"},{"family":"Wadelin","given":"Frances"},{"family":"Harrison","given":"Claire N."},{"literal":"British Society for Haematology Guideline"}],"issued":{"date-parts":[["2019",1]]}}}],"schema":"https://github.com/citation-style-language/schema/raw/master/csl-citation.json"} </w:instrText>
      </w:r>
      <w:r>
        <w:fldChar w:fldCharType="separate"/>
      </w:r>
      <w:r w:rsidR="002D20B5" w:rsidRPr="002D20B5">
        <w:rPr>
          <w:rFonts w:ascii="Aptos" w:hAnsi="Aptos" w:cs="Times New Roman"/>
          <w:sz w:val="22"/>
          <w:vertAlign w:val="superscript"/>
        </w:rPr>
        <w:t>382</w:t>
      </w:r>
      <w:r>
        <w:fldChar w:fldCharType="end"/>
      </w:r>
      <w:r w:rsidRPr="00FF3619">
        <w:t>. Smoking cessation should be recommended.</w:t>
      </w:r>
    </w:p>
    <w:p w14:paraId="45144402" w14:textId="1C9AA5D1" w:rsidR="00426BCE" w:rsidRPr="00FF3619" w:rsidRDefault="00426BCE" w:rsidP="00516860">
      <w:r w:rsidRPr="00FF3619">
        <w:t>Various studies have demonstrated clinical benefit in the reduction of haemoglobin and haematocrit levels following use of ACE-I/ARBs</w:t>
      </w:r>
      <w:r>
        <w:t xml:space="preserve"> </w:t>
      </w:r>
      <w:r>
        <w:fldChar w:fldCharType="begin"/>
      </w:r>
      <w:r w:rsidR="002D20B5">
        <w:instrText xml:space="preserve"> ADDIN ZOTERO_ITEM CSL_CITATION {"citationID":"4KEemaY4","properties":{"formattedCitation":"\\super 378,379\\nosupersub{}","plainCitation":"378,379","noteIndex":0},"citationItems":[{"id":18763,"uris":["http://zotero.org/users/3444308/items/KXQ2HPAA"],"itemData":{"id":18763,"type":"article-journal","abstract":"Posttransplant erythrocytosis (PTE) is defined as a persistently elevated hematocrit to a level greater than 51% after renal transplantation. It occurs in 10% to 15% of graft recipients and usually develops 8 to 24 months after engraftment. Spontaneous remission of established PTE is observed in one fourth of the patients within 2 years from onset, whereas in the remaining three fourths it persists for several years, only to remit after loss of renal function from rejection. Predisposing factors include male gender, retention of native kidneys, smoking, transplant renal artery stenosis, adequate erythropoiesis prior to transplantation, and rejection-free course with well-functioning renal graft. Just as in other forms of erythrocytosis, a substantial number (approximately 60%) of patients with PTE experience malaise, headache, plethora, lethargy, and dizziness. Thromboembolic events occur in 10% to 30% of the cases; 1% to 2% eventually die of associated complications. Posttransplant erythrocytosis results from the combined trophic effect of multiple and interrelated erythropoietic factors. Among them, endogenous erythropoietin appears to play the central role. Persistent erythropoietin secretion from the diseased and chronically ischemic native kidneys does not conform to the normal feedback regulation, thereby establishing a form of \"tertiary hypererythropoietinemia.\" However, erythropoietin levels in most PTE patients still remain within the \"normal range,\" indicating that erythrocytosis finally ensues by the contributory action of additional growth factors on erythroid progenitors, such as angiotensin II, androgens, and insulin-like growth factor 1 (IGF-1). Inactivation of the renin-angiotensin system (RAS) by an angiotensin-converting enzyme (ACE) inhibitor, or an angiotensin II type 1 AT1 receptor blocker represents the most effective, safe, and well-tolerated therapeutic modality.","container-title":"Kidney International","DOI":"10.1046/j.1523-1755.2003.00850.x","ISSN":"0085-2538","issue":"4","journalAbbreviation":"Kidney Int","language":"eng","note":"PMID: 12631334","page":"1187-1194","source":"PubMed","title":"Posttransplant erythrocytosis","volume":"63","author":[{"family":"Vlahakos","given":"Demetrios V."},{"family":"Marathias","given":"Katerina P."},{"family":"Agroyannis","given":"Basil"},{"family":"Madias","given":"Nicolaos E."}],"issued":{"date-parts":[["2003",4]]}}},{"id":18829,"uris":["http://zotero.org/users/3444308/items/QDLD5H33"],"itemData":{"id":18829,"type":"article-journal","abstract":"Post-transplant erythrocytosis (PTE) is defined as persistently elevated hemoglobin &gt; 17 g/dL or hematocrit levels &gt; 51% following kidney transplantation, independent of duration. It is a relatively common complication within 8 months to 24 months post-transplantation, occurring in 8%-15% of kidney transplant recipients. Established PTE risk factors include male gender, normal hemoglobin/hematocrit pre-transplant (suggestive of robust native kidney erythropoietin production), renal artery stenosis, patients with a well-functioning graft, and dialysis before transplantation. Many factors play a role in the development of PTE, however, underlying endogenous erythropoietin secretion pre-and post-transplant is significant. Other contributory factors include the renin-angiotensin- aldosterone system, insulin-like growth factors, endogenous androgens, and local renal hypoxia. Most patients with PTE experience mild symptoms like malaise, headache, fatigue, and dizziness. While prior investigations showed an increased risk of thromboembolic events, more recent evidence tells a different story-that PTE perhaps has lessened risk of thromboembolic events or negative graft outcomes than previously thought. In the evaluation of PTE, it is important to exclude other causes of erythrocytosis including malignancy before treatment. Angiotensin converting enzyme inhibitors (ACE-I) and angiotensin receptor blockers (ARBs) are the mainstays of treatment. Increased ACE-I/ARB use has likely contributed to the falling incidence of erythrocytosis. In this review article, we summarize the current literature in the field of post-transplant erythrocytosis after kidney transplantation.","container-title":"World Journal of Transplantation","DOI":"10.5500/wjt.v11.i6.220","ISSN":"2220-3230","issue":"6","journalAbbreviation":"World J Transplant","language":"eng","note":"PMID: 34164297\nPMCID: PMC8218346","page":"220-230","source":"PubMed","title":"Post-transplant erythrocytosis after kidney transplantation: A review","title-short":"Post-transplant erythrocytosis after kidney transplantation","volume":"11","author":[{"family":"Alzoubi","given":"Beyann"},{"family":"Kharel","given":"Abish"},{"family":"Machhi","given":"Rushad"},{"family":"Aziz","given":"Fahad"},{"family":"Swanson","given":"Kurtis J."},{"family":"Parajuli","given":"Sandesh"}],"issued":{"date-parts":[["2021",6,18]]}}}],"schema":"https://github.com/citation-style-language/schema/raw/master/csl-citation.json"} </w:instrText>
      </w:r>
      <w:r>
        <w:fldChar w:fldCharType="separate"/>
      </w:r>
      <w:r w:rsidR="002D20B5" w:rsidRPr="002D20B5">
        <w:rPr>
          <w:rFonts w:ascii="Aptos" w:hAnsi="Aptos" w:cs="Times New Roman"/>
          <w:sz w:val="22"/>
          <w:vertAlign w:val="superscript"/>
        </w:rPr>
        <w:t>378,379</w:t>
      </w:r>
      <w:r>
        <w:fldChar w:fldCharType="end"/>
      </w:r>
      <w:r w:rsidRPr="00FF3619">
        <w:t>.  Haematocrit drops gradually, reaching a nadir at around 3 months after initiation of treatment and then remains stable on treatment. After discontinuation of treatment, haematocrit values rise again to pre-treatment levels in most patients</w:t>
      </w:r>
      <w:r>
        <w:t xml:space="preserve"> </w:t>
      </w:r>
      <w:r>
        <w:fldChar w:fldCharType="begin"/>
      </w:r>
      <w:r w:rsidR="002D20B5">
        <w:instrText xml:space="preserve"> ADDIN ZOTERO_ITEM CSL_CITATION {"citationID":"OZjk60e3","properties":{"formattedCitation":"\\super 378,379\\nosupersub{}","plainCitation":"378,379","noteIndex":0},"citationItems":[{"id":18763,"uris":["http://zotero.org/users/3444308/items/KXQ2HPAA"],"itemData":{"id":18763,"type":"article-journal","abstract":"Posttransplant erythrocytosis (PTE) is defined as a persistently elevated hematocrit to a level greater than 51% after renal transplantation. It occurs in 10% to 15% of graft recipients and usually develops 8 to 24 months after engraftment. Spontaneous remission of established PTE is observed in one fourth of the patients within 2 years from onset, whereas in the remaining three fourths it persists for several years, only to remit after loss of renal function from rejection. Predisposing factors include male gender, retention of native kidneys, smoking, transplant renal artery stenosis, adequate erythropoiesis prior to transplantation, and rejection-free course with well-functioning renal graft. Just as in other forms of erythrocytosis, a substantial number (approximately 60%) of patients with PTE experience malaise, headache, plethora, lethargy, and dizziness. Thromboembolic events occur in 10% to 30% of the cases; 1% to 2% eventually die of associated complications. Posttransplant erythrocytosis results from the combined trophic effect of multiple and interrelated erythropoietic factors. Among them, endogenous erythropoietin appears to play the central role. Persistent erythropoietin secretion from the diseased and chronically ischemic native kidneys does not conform to the normal feedback regulation, thereby establishing a form of \"tertiary hypererythropoietinemia.\" However, erythropoietin levels in most PTE patients still remain within the \"normal range,\" indicating that erythrocytosis finally ensues by the contributory action of additional growth factors on erythroid progenitors, such as angiotensin II, androgens, and insulin-like growth factor 1 (IGF-1). Inactivation of the renin-angiotensin system (RAS) by an angiotensin-converting enzyme (ACE) inhibitor, or an angiotensin II type 1 AT1 receptor blocker represents the most effective, safe, and well-tolerated therapeutic modality.","container-title":"Kidney International","DOI":"10.1046/j.1523-1755.2003.00850.x","ISSN":"0085-2538","issue":"4","journalAbbreviation":"Kidney Int","language":"eng","note":"PMID: 12631334","page":"1187-1194","source":"PubMed","title":"Posttransplant erythrocytosis","volume":"63","author":[{"family":"Vlahakos","given":"Demetrios V."},{"family":"Marathias","given":"Katerina P."},{"family":"Agroyannis","given":"Basil"},{"family":"Madias","given":"Nicolaos E."}],"issued":{"date-parts":[["2003",4]]}}},{"id":18829,"uris":["http://zotero.org/users/3444308/items/QDLD5H33"],"itemData":{"id":18829,"type":"article-journal","abstract":"Post-transplant erythrocytosis (PTE) is defined as persistently elevated hemoglobin &gt; 17 g/dL or hematocrit levels &gt; 51% following kidney transplantation, independent of duration. It is a relatively common complication within 8 months to 24 months post-transplantation, occurring in 8%-15% of kidney transplant recipients. Established PTE risk factors include male gender, normal hemoglobin/hematocrit pre-transplant (suggestive of robust native kidney erythropoietin production), renal artery stenosis, patients with a well-functioning graft, and dialysis before transplantation. Many factors play a role in the development of PTE, however, underlying endogenous erythropoietin secretion pre-and post-transplant is significant. Other contributory factors include the renin-angiotensin- aldosterone system, insulin-like growth factors, endogenous androgens, and local renal hypoxia. Most patients with PTE experience mild symptoms like malaise, headache, fatigue, and dizziness. While prior investigations showed an increased risk of thromboembolic events, more recent evidence tells a different story-that PTE perhaps has lessened risk of thromboembolic events or negative graft outcomes than previously thought. In the evaluation of PTE, it is important to exclude other causes of erythrocytosis including malignancy before treatment. Angiotensin converting enzyme inhibitors (ACE-I) and angiotensin receptor blockers (ARBs) are the mainstays of treatment. Increased ACE-I/ARB use has likely contributed to the falling incidence of erythrocytosis. In this review article, we summarize the current literature in the field of post-transplant erythrocytosis after kidney transplantation.","container-title":"World Journal of Transplantation","DOI":"10.5500/wjt.v11.i6.220","ISSN":"2220-3230","issue":"6","journalAbbreviation":"World J Transplant","language":"eng","note":"PMID: 34164297\nPMCID: PMC8218346","page":"220-230","source":"PubMed","title":"Post-transplant erythrocytosis after kidney transplantation: A review","title-short":"Post-transplant erythrocytosis after kidney transplantation","volume":"11","author":[{"family":"Alzoubi","given":"Beyann"},{"family":"Kharel","given":"Abish"},{"family":"Machhi","given":"Rushad"},{"family":"Aziz","given":"Fahad"},{"family":"Swanson","given":"Kurtis J."},{"family":"Parajuli","given":"Sandesh"}],"issued":{"date-parts":[["2021",6,18]]}}}],"schema":"https://github.com/citation-style-language/schema/raw/master/csl-citation.json"} </w:instrText>
      </w:r>
      <w:r>
        <w:fldChar w:fldCharType="separate"/>
      </w:r>
      <w:r w:rsidR="002D20B5" w:rsidRPr="002D20B5">
        <w:rPr>
          <w:rFonts w:ascii="Aptos" w:hAnsi="Aptos" w:cs="Times New Roman"/>
          <w:sz w:val="22"/>
          <w:vertAlign w:val="superscript"/>
        </w:rPr>
        <w:t>378,379</w:t>
      </w:r>
      <w:r>
        <w:fldChar w:fldCharType="end"/>
      </w:r>
      <w:r w:rsidRPr="00FF3619">
        <w:t>.</w:t>
      </w:r>
    </w:p>
    <w:p w14:paraId="3581CF8D" w14:textId="3F9D1DBD" w:rsidR="00426BCE" w:rsidRPr="00FF3619" w:rsidRDefault="00426BCE" w:rsidP="00516860">
      <w:r w:rsidRPr="00FF3619">
        <w:t>Venesection has been used by some in patients with persistently high haematocrits (&gt;0</w:t>
      </w:r>
      <w:r w:rsidR="00161A86">
        <w:t>.</w:t>
      </w:r>
      <w:r w:rsidRPr="00FF3619">
        <w:t>57–0</w:t>
      </w:r>
      <w:r w:rsidR="00161A86">
        <w:t>.</w:t>
      </w:r>
      <w:r w:rsidRPr="00FF3619">
        <w:t xml:space="preserve">60) and may help with symptoms of </w:t>
      </w:r>
      <w:proofErr w:type="spellStart"/>
      <w:r w:rsidRPr="00FF3619">
        <w:t>hyperviscosity</w:t>
      </w:r>
      <w:proofErr w:type="spellEnd"/>
      <w:r w:rsidRPr="00FF3619">
        <w:t>, however it does not reduce the incidence of thrombosis</w:t>
      </w:r>
      <w:r>
        <w:t xml:space="preserve"> </w:t>
      </w:r>
      <w:r>
        <w:fldChar w:fldCharType="begin"/>
      </w:r>
      <w:r w:rsidR="002D20B5">
        <w:instrText xml:space="preserve"> ADDIN ZOTERO_ITEM CSL_CITATION {"citationID":"OjgZArWJ","properties":{"formattedCitation":"\\super 374,378\\nosupersub{}","plainCitation":"374,378","noteIndex":0},"citationItems":[{"id":18830,"uris":["http://zotero.org/users/3444308/items/7EWBDPMX"],"itemData":{"id":18830,"type":"article-journal","abstract":"A retrospective study was conducted on 143 consecutive renal transplant recipients who had a functioning graft for three months or longer, to evaluate the prevalence of post-transplant erythrocytosis (PTE) and its potential risk factors. True PTE was defined as hematocrit (Ht) above 52% and hemoglobin (Hb) above 18 g/dl in males, and Ht above 50% and Hb above 17 g /dl in females. A total of 31 patients (21.6%) developed PTE; none had any evidence of polycythemia vera (PV), or secondary polycythemia due to reduced arterial oxygen, kidney or hepatic tumors, or relative erythrocytosis due to a decrease in plasma volume by overuse of diuretics. Thirty-one non-polycythemic patients (Hb 12.9 +-1.6 g/dl) matched for sex, age and renal function were used as case controls. PTE was more common in males (p= 0.043). The majority of our patients developed PTE within the first year post-transplantation and all had excellent renal function at the time of diagnosis. Also, PTE was found to be related to duration on dialysis prior to transplantation (p= 0.0013) and acute rejection (p= 0.0031).","container-title":"Saudi Journal of Kidney Diseases and Transplantation: An Official Publication of the Saudi Center for Organ Transplantation, Saudi Arabia","ISSN":"1319-2442","issue":"3","journalAbbreviation":"Saudi J Kidney Dis Transpl","language":"eng","note":"PMID: 18445895","page":"371-377","source":"PubMed","title":"Factors predisposing to post-renal transplant erythrocytosis: a retrospective study","title-short":"Factors predisposing to post-renal transplant erythrocytosis","volume":"19","author":[{"family":"Charfeddine","given":"K."},{"family":"Zaghdane","given":"S."},{"family":"Yaich","given":"S."},{"family":"Hakim","given":"A."},{"family":"Hachicha","given":"J."}],"issued":{"date-parts":[["2008",5]]}}},{"id":18829,"uris":["http://zotero.org/users/3444308/items/QDLD5H33"],"itemData":{"id":18829,"type":"article-journal","abstract":"Post-transplant erythrocytosis (PTE) is defined as persistently elevated hemoglobin &gt; 17 g/dL or hematocrit levels &gt; 51% following kidney transplantation, independent of duration. It is a relatively common complication within 8 months to 24 months post-transplantation, occurring in 8%-15% of kidney transplant recipients. Established PTE risk factors include male gender, normal hemoglobin/hematocrit pre-transplant (suggestive of robust native kidney erythropoietin production), renal artery stenosis, patients with a well-functioning graft, and dialysis before transplantation. Many factors play a role in the development of PTE, however, underlying endogenous erythropoietin secretion pre-and post-transplant is significant. Other contributory factors include the renin-angiotensin- aldosterone system, insulin-like growth factors, endogenous androgens, and local renal hypoxia. Most patients with PTE experience mild symptoms like malaise, headache, fatigue, and dizziness. While prior investigations showed an increased risk of thromboembolic events, more recent evidence tells a different story-that PTE perhaps has lessened risk of thromboembolic events or negative graft outcomes than previously thought. In the evaluation of PTE, it is important to exclude other causes of erythrocytosis including malignancy before treatment. Angiotensin converting enzyme inhibitors (ACE-I) and angiotensin receptor blockers (ARBs) are the mainstays of treatment. Increased ACE-I/ARB use has likely contributed to the falling incidence of erythrocytosis. In this review article, we summarize the current literature in the field of post-transplant erythrocytosis after kidney transplantation.","container-title":"World Journal of Transplantation","DOI":"10.5500/wjt.v11.i6.220","ISSN":"2220-3230","issue":"6","journalAbbreviation":"World J Transplant","language":"eng","note":"PMID: 34164297\nPMCID: PMC8218346","page":"220-230","source":"PubMed","title":"Post-transplant erythrocytosis after kidney transplantation: A review","title-short":"Post-transplant erythrocytosis after kidney transplantation","volume":"11","author":[{"family":"Alzoubi","given":"Beyann"},{"family":"Kharel","given":"Abish"},{"family":"Machhi","given":"Rushad"},{"family":"Aziz","given":"Fahad"},{"family":"Swanson","given":"Kurtis J."},{"family":"Parajuli","given":"Sandesh"}],"issued":{"date-parts":[["2021",6,18]]}}}],"schema":"https://github.com/citation-style-language/schema/raw/master/csl-citation.json"} </w:instrText>
      </w:r>
      <w:r>
        <w:fldChar w:fldCharType="separate"/>
      </w:r>
      <w:r w:rsidR="002D20B5" w:rsidRPr="002D20B5">
        <w:rPr>
          <w:rFonts w:ascii="Aptos" w:hAnsi="Aptos" w:cs="Times New Roman"/>
          <w:sz w:val="22"/>
          <w:vertAlign w:val="superscript"/>
        </w:rPr>
        <w:t>374,378</w:t>
      </w:r>
      <w:r>
        <w:fldChar w:fldCharType="end"/>
      </w:r>
      <w:r w:rsidRPr="00FF3619">
        <w:t>. Moreover, venesection renders</w:t>
      </w:r>
      <w:r w:rsidR="00161A86">
        <w:t xml:space="preserve"> the</w:t>
      </w:r>
      <w:r w:rsidRPr="00FF3619">
        <w:t xml:space="preserve"> patient iron-deficient, and therefore supplemental iron should be used in patients who are having regular venesection. The BSH states that there is no evidence for use of aspirin in patients with PTE</w:t>
      </w:r>
      <w:r>
        <w:t xml:space="preserve"> </w:t>
      </w:r>
      <w:r>
        <w:fldChar w:fldCharType="begin"/>
      </w:r>
      <w:r w:rsidR="002D20B5">
        <w:instrText xml:space="preserve"> ADDIN ZOTERO_ITEM CSL_CITATION {"citationID":"QEGYSjZR","properties":{"formattedCitation":"\\super 382\\nosupersub{}","plainCitation":"382","noteIndex":0},"citationItems":[{"id":18826,"uris":["http://zotero.org/users/3444308/items/IYVRX923"],"itemData":{"id":18826,"type":"article-journal","container-title":"British Journal of Haematology","DOI":"10.1111/bjh.15647","ISSN":"1365-2141","issue":"2","journalAbbreviation":"Br J Haematol","language":"eng","note":"PMID: 30426472\nPMCID: PMC6519221","page":"161-175","source":"PubMed","title":"A guideline for the management of specific situations in polycythaemia vera and secondary erythrocytosis: A British Society for Haematology Guideline","title-short":"A guideline for the management of specific situations in polycythaemia vera and secondary erythrocytosis","volume":"184","author":[{"family":"McMullin","given":"Mary F. F."},{"family":"Mead","given":"Adam J."},{"family":"Ali","given":"Sahra"},{"family":"Cargo","given":"Catherine"},{"family":"Chen","given":"Frederick"},{"family":"Ewing","given":"Joanne"},{"family":"Garg","given":"Mamta"},{"family":"Godfrey","given":"Anna"},{"family":"Knapper","given":"Steven"},{"family":"McLornan","given":"Donal P."},{"family":"Nangalia","given":"Jyoti"},{"family":"Sekhar","given":"Mallika"},{"family":"Wadelin","given":"Frances"},{"family":"Harrison","given":"Claire N."},{"literal":"British Society for Haematology Guideline"}],"issued":{"date-parts":[["2019",1]]}}}],"schema":"https://github.com/citation-style-language/schema/raw/master/csl-citation.json"} </w:instrText>
      </w:r>
      <w:r>
        <w:fldChar w:fldCharType="separate"/>
      </w:r>
      <w:r w:rsidR="002D20B5" w:rsidRPr="002D20B5">
        <w:rPr>
          <w:rFonts w:ascii="Aptos" w:hAnsi="Aptos" w:cs="Times New Roman"/>
          <w:sz w:val="22"/>
          <w:vertAlign w:val="superscript"/>
        </w:rPr>
        <w:t>382</w:t>
      </w:r>
      <w:r>
        <w:fldChar w:fldCharType="end"/>
      </w:r>
      <w:r w:rsidRPr="00FF3619">
        <w:t>.</w:t>
      </w:r>
    </w:p>
    <w:p w14:paraId="728C6AD5" w14:textId="18CDC14D" w:rsidR="00426BCE" w:rsidRPr="00516860" w:rsidRDefault="00516860" w:rsidP="00516860">
      <w:pPr>
        <w:pStyle w:val="GuidelineHeadings"/>
      </w:pPr>
      <w:r>
        <w:t xml:space="preserve">Guideline </w:t>
      </w:r>
      <w:r w:rsidR="00D91377">
        <w:t>9</w:t>
      </w:r>
      <w:r>
        <w:t xml:space="preserve">.2 </w:t>
      </w:r>
      <w:r w:rsidRPr="00516860">
        <w:t>–</w:t>
      </w:r>
      <w:r>
        <w:t xml:space="preserve"> </w:t>
      </w:r>
      <w:r w:rsidR="00426BCE" w:rsidRPr="00FF3619">
        <w:t xml:space="preserve">Post-transplant Anaemia (PTA) </w:t>
      </w:r>
    </w:p>
    <w:p w14:paraId="4BD2B9C9" w14:textId="19409392" w:rsidR="00426BCE" w:rsidRPr="00FF3619" w:rsidRDefault="00426BCE" w:rsidP="00516860">
      <w:r w:rsidRPr="00FF3619">
        <w:t xml:space="preserve">There is no standard definition of post-transplant anaemia (PTA). The KDIGO and AST go by the WHO definition of anaemia as an Hgb &lt; 120 g/L in premenopausal women and &lt; 130 g/L in men and post-menopausal women </w:t>
      </w:r>
      <w:r>
        <w:fldChar w:fldCharType="begin"/>
      </w:r>
      <w:r w:rsidR="002D20B5">
        <w:instrText xml:space="preserve"> ADDIN ZOTERO_ITEM CSL_CITATION {"citationID":"2vteQQso","properties":{"formattedCitation":"\\super 383\\uc0\\u8211{}385\\nosupersub{}","plainCitation":"383–385","noteIndex":0},"citationItems":[{"id":18825,"uris":["http://zotero.org/users/3444308/items/3VV5KNG9"],"itemData":{"id":18825,"type":"article-journal","abstract":"Many complications after renal transplantation can be prevented if they are detected early. Guidelines have been developed for the prevention of diseases in the general population, but there are no comprehensive guidelines for the prevention of diseases and complications after renal transplantation. Therefore, the Clinical Practice Guidelines Committee of the American Society of Transplantation developed these guidelines to help physicians and other health care workers provide optimal care for renal transplant recipients. The guidelines are also intended to indirectly help patients receive the access to care that they need to ensure long-term allograft survival, by attempting to systematically define what that care encompasses. The guidelines are applicable to all adult and pediatric renal transplant recipients, and they cover the outpatient screening for and prevention of diseases and complications that commonly occur after renal transplantation. They do not cover the diagnosis and treatment of diseases and complications after they become manifest, and they do not cover the pretransplant evaluation of renal transplant candidates. The guidelines are comprehensive, but they do not pretend to cover every aspect of care. As much as possible, the guidelines are evidence-based, and each recommendation has been given a subjective grade to indicate the strength of evidence that supports the recommendation. It is hoped that these guidelines will provide a framework for additional discussion and research that will improve the care of renal transplant recipients.","container-title":"Journal of the American Society of Nephrology: JASN","ISSN":"1046-6673","journalAbbreviation":"J Am Soc Nephrol","language":"eng","note":"PMID: 11044969","page":"S1-86","source":"PubMed","title":"Recommendations for the outpatient surveillance of renal transplant recipients. American Society of Transplantation","volume":"11 Suppl 15","author":[{"family":"Kasiske","given":"B. L."},{"family":"Vazquez","given":"M. A."},{"family":"Harmon","given":"W. E."},{"family":"Brown","given":"R. S."},{"family":"Danovitch","given":"G. M."},{"family":"Gaston","given":"R. S."},{"family":"Roth","given":"D."},{"family":"Scandling","given":"J. D."},{"family":"Singer","given":"G. G."}],"issued":{"date-parts":[["2000",10]]}}},{"id":18824,"uris":["http://zotero.org/users/3444308/items/JHYA2GWK"],"itemData":{"id":18824,"type":"article-journal","abstract":"The development of clinical practice guidelines for the treatment of anemia in chronic kidney disease has been instrumental in identifying and reducing variations in the use of erythropoiesis-stimulating agents and iron replacement. Challenges to the effectiveness and safety of recommendations made in these guidelines were magnified when recent clinical trials showed no benefit or harm with respect to cardiovascular outcomes in subjects randomized to higher target hemoglobin levels. To address these concerns, Kidney Disease: Improving Global Outcomes (KDIGO) convened an international conference to examine the problems and shortcomings of existing anemia guidelines, which are a prime example of duplication of efforts to derive recommendations from a limited evidence base. The meeting was attended by representatives of the major guideline developing organizations, who agreed to avoid future duplicative efforts and to save resources in generating a common evidence report, whose recommendations could then be prioritized and implemented locally. This is a report to the international nephrology community of the recommendations for and timeline of the next anemia guidelines. It has been reviewed by the conference participants and approved as a position statement by the KDIGO Board of Directors.","container-title":"Kidney International","DOI":"10.1038/ki.2008.299","ISSN":"1523-1755","issue":"10","journalAbbreviation":"Kidney Int","language":"eng","note":"PMID: 18596731","page":"1237-1240","source":"PubMed","title":"Clinical practice guidelines for anemia in chronic kidney disease: problems and solutions. A position statement from Kidney Disease: Improving Global Outcomes (KDIGO)","title-short":"Clinical practice guidelines for anemia in chronic kidney disease","volume":"74","author":[{"family":"Locatelli","given":"Francesco"},{"family":"Nissenson","given":"Allen R."},{"family":"Barrett","given":"Brendan J."},{"family":"Walker","given":"Rowan G."},{"family":"Wheeler","given":"David C."},{"family":"Eckardt","given":"Kai U."},{"family":"Lameire","given":"Norbert H."},{"family":"Eknoyan","given":"Garabed"}],"issued":{"date-parts":[["2008",11]]}}},{"id":18823,"uris":["http://zotero.org/users/3444308/items/RQQLTSLL"],"itemData":{"id":18823,"type":"report","title":"WHO Technical Report Series No. 405: Nutritional Anaemias","URL":"https://iris.who.int/server/api/core/bitstreams/6dc51d4c-0c69-458e-a816-84a8c25e6811/content","author":[{"literal":"World Health Organization"}],"accessed":{"date-parts":[["2025",10,25]]},"issued":{"date-parts":[["1968"]]}}}],"schema":"https://github.com/citation-style-language/schema/raw/master/csl-citation.json"} </w:instrText>
      </w:r>
      <w:r>
        <w:fldChar w:fldCharType="separate"/>
      </w:r>
      <w:r w:rsidR="002D20B5" w:rsidRPr="002D20B5">
        <w:rPr>
          <w:rFonts w:ascii="Aptos" w:hAnsi="Aptos" w:cs="Times New Roman"/>
          <w:sz w:val="22"/>
          <w:vertAlign w:val="superscript"/>
        </w:rPr>
        <w:t>383–385</w:t>
      </w:r>
      <w:r>
        <w:fldChar w:fldCharType="end"/>
      </w:r>
      <w:r w:rsidRPr="00FF3619">
        <w:t>. The KDOQI and ERBP further modified the definition of anaemia in men as an Hgb &lt; 135 g/L</w:t>
      </w:r>
      <w:r>
        <w:t xml:space="preserve"> </w:t>
      </w:r>
      <w:r>
        <w:fldChar w:fldCharType="begin"/>
      </w:r>
      <w:r w:rsidR="002D20B5">
        <w:instrText xml:space="preserve"> ADDIN ZOTERO_ITEM CSL_CITATION {"citationID":"eovQOnDk","properties":{"formattedCitation":"\\super 386\\uc0\\u8211{}388\\nosupersub{}","plainCitation":"386–388","noteIndex":0},"citationItems":[{"id":18821,"uris":["http://zotero.org/users/3444308/items/PHS6BUXG"],"itemData":{"id":18821,"type":"article-journal","container-title":"American Journal of Kidney Diseases: The Official Journal of the National Kidney Foundation","ISSN":"1523-6838","issue":"2 Suppl 1","journalAbbreviation":"Am J Kidney Dis","language":"eng","note":"PMID: 11904577","page":"S1-266","source":"PubMed","title":"K/DOQI clinical practice guidelines for chronic kidney disease: evaluation, classification, and stratification","title-short":"K/DOQI clinical practice guidelines for chronic kidney disease","volume":"39","author":[{"literal":"National Kidney Foundation"}],"issued":{"date-parts":[["2002",2]]}}},{"id":18820,"uris":["http://zotero.org/users/3444308/items/A6W3QHFQ"],"itemData":{"id":18820,"type":"article-journal","container-title":"Nephrology, Dialysis, Transplantation: Official Publication of the European Dialysis and Transplant Association - European Renal Association","DOI":"10.1093/ndt/gfh1032","ISSN":"0931-0509","journalAbbreviation":"Nephrol Dial Transplant","language":"eng","note":"PMID: 15206425","page":"ii1-47","source":"PubMed","title":"Revised European best practice guidelines for the management of anaemia in patients with chronic renal failure","volume":"19 Suppl 2","author":[{"family":"Locatelli","given":"Francesco"},{"family":"Aljama","given":"Pedro"},{"family":"Bárány","given":"Peter"},{"family":"Canaud","given":"Bernard"},{"family":"Carrera","given":"Fernando"},{"family":"Eckardt","given":"Kai-Uwe"},{"family":"Hörl","given":"Walter H."},{"family":"Macdougal","given":"Iain C."},{"family":"Macleod","given":"Alison"},{"family":"Wiecek","given":"Andrzej"},{"family":"Cameron","given":"Stewart"},{"literal":"European Best Practice Guidelines Working Group"}],"issued":{"date-parts":[["2004",5]]}}},{"id":18822,"uris":["http://zotero.org/users/3444308/items/QXB64KTZ"],"itemData":{"id":18822,"type":"article-journal","container-title":"Nephrology, Dialysis, Transplantation: Official Publication of the European Dialysis and Transplant Association - European Renal Association","DOI":"10.1093/ndt/gfn653","ISSN":"1460-2385","issue":"2","journalAbbreviation":"Nephrol Dial Transplant","language":"eng","note":"PMID: 19037082","page":"348-354","source":"PubMed","title":"Anaemia management in patients with chronic kidney disease: a position statement by the Anaemia Working Group of European Renal Best Practice (ERBP)","title-short":"Anaemia management in patients with chronic kidney disease","volume":"24","author":[{"family":"Locatelli","given":"Francesco"},{"family":"Covic","given":"Adrian"},{"family":"Eckardt","given":"Kai-Uwe"},{"family":"Wiecek","given":"Andrzej"},{"family":"Vanholder","given":"Raymond"},{"literal":"ERA-EDTA ERBP Advisory Board"}],"issued":{"date-parts":[["2009",2]]}}}],"schema":"https://github.com/citation-style-language/schema/raw/master/csl-citation.json"} </w:instrText>
      </w:r>
      <w:r>
        <w:fldChar w:fldCharType="separate"/>
      </w:r>
      <w:r w:rsidR="002D20B5" w:rsidRPr="002D20B5">
        <w:rPr>
          <w:rFonts w:ascii="Aptos" w:hAnsi="Aptos" w:cs="Times New Roman"/>
          <w:sz w:val="22"/>
          <w:vertAlign w:val="superscript"/>
        </w:rPr>
        <w:t>386–388</w:t>
      </w:r>
      <w:r>
        <w:fldChar w:fldCharType="end"/>
      </w:r>
      <w:r>
        <w:t>.</w:t>
      </w:r>
    </w:p>
    <w:p w14:paraId="000EDB27" w14:textId="5F65CA63" w:rsidR="00426BCE" w:rsidRPr="00FF3619" w:rsidRDefault="00426BCE" w:rsidP="00516860">
      <w:r w:rsidRPr="00FF3619">
        <w:t>The reported prevalence of anaemia in KTRs ranges between 34-45%</w:t>
      </w:r>
      <w:r>
        <w:t xml:space="preserve"> </w:t>
      </w:r>
      <w:r>
        <w:fldChar w:fldCharType="begin"/>
      </w:r>
      <w:r w:rsidR="002D20B5">
        <w:instrText xml:space="preserve"> ADDIN ZOTERO_ITEM CSL_CITATION {"citationID":"m7XVuFTZ","properties":{"formattedCitation":"\\super 389\\nosupersub{}","plainCitation":"389","noteIndex":0},"citationItems":[{"id":18819,"uris":["http://zotero.org/users/3444308/items/32ITE2Z8"],"itemData":{"id":18819,"type":"article-journal","abstract":"INTRODUCTION: Posttransplant anemia and its association with transplant outcomes have not been properly studied.\nMETHODS: We examined 530 renal allograft recipients transplanted at our center and followed up for 31.0±14.1 months. Hemoglobin (Hb), serum bicarbonate, and creatinine; use of erythropoiesis-stimulating agent (ESA) and iron; and immunosuppressive regimen data were obtained at multiple time points during 24-month posttransplant.\nRESULTS: The overall prevalence of anemia was 89.4% at the time of transplant, dropping to 49.2% at 1 year and 44.3% at 2 years. ESA use decreased from 25.6% at 1 month to 8.23% at 24 months, only in 30.9% to 51.2% with severe anemia; 21.0% to 29.2% received iron supplements. Factors independently predictive of Hb included male gender (β=0.64, P&lt;0.001, confidence interval [CI]: 0.45-0.82), estimated glomerular filtration rate (β=0.21 per 10 mL/min/1.73 m, P&lt;0.001; CI: 0.16-0.27), bicarbonate (β=0.4 per 10 mmol/L increase, P&lt;0.001; CI: 0.31-0.85), using angiotensin-converting enzyme inhibitor/angiotensin receptor blocker (β=0.36, P&lt;0.001; CI: 0.16-0.55), African American race (β=-0.34, P=0.001, CI:-0.54 to -0.14), iron (β=-0.28, P=0.003, CI:-0.47 to -0.09) and ESA use (β=-0.73, P&lt;0.001, CI:-0.93 to -0.52), and prednisone (β=-0.46, P&lt;0.001, CI:-0.71 to -0.22 for &gt;10 mg/day vs. none). Using a competing-risk regression model, Hb less than 9 in men and less than 8 in women, was associated with 5.25-fold higher risk of death-censored graft loss compared with no anemia (adjusted, P=0.005, CI: 1.7-16.7). Degree of anemia also remained significantly associated with risk of death (hazard ratio [HR]: 2.2, P&lt;0.1, CI: 0.9-5.6 for grade 2; HR: 3.9, P=0.009, CI: 1.4-10.8 for grade 3; and HR: 4.8, P=0.08, CI: 1.5-15.4 for grade 4, all vs. grade 0).\nCONCLUSION: We showed that posttransplant anemia is common, and ESA/iron use remains suboptimal, and Hb is independently associated with graft failure and mortality.","container-title":"Transplantation","DOI":"10.1097/TP.0b013e31824b36fa","ISSN":"1534-6080","issue":"9","journalAbbreviation":"Transplantation","language":"eng","note":"PMID: 22377790","page":"923-928","source":"PubMed","title":"Anemia after kidney transplantation; its prevalence, risk factors, and independent association with graft and patient survival: a time-varying analysis","title-short":"Anemia after kidney transplantation; its prevalence, risk factors, and independent association with graft and patient survival","volume":"93","author":[{"family":"Jones","given":"Heather"},{"family":"Talwar","given":"Manish"},{"family":"Nogueira","given":"Joseph M."},{"family":"Ugarte","given":"Richard"},{"family":"Cangro","given":"Charles"},{"family":"Rasheed","given":"Hassaan"},{"family":"Klassen","given":"David K."},{"family":"Weir","given":"Matthew R."},{"family":"Haririan","given":"Abdolreza"}],"issued":{"date-parts":[["2012",5,15]]}}}],"schema":"https://github.com/citation-style-language/schema/raw/master/csl-citation.json"} </w:instrText>
      </w:r>
      <w:r>
        <w:fldChar w:fldCharType="separate"/>
      </w:r>
      <w:r w:rsidR="002D20B5" w:rsidRPr="002D20B5">
        <w:rPr>
          <w:rFonts w:ascii="Aptos" w:hAnsi="Aptos" w:cs="Times New Roman"/>
          <w:sz w:val="22"/>
          <w:vertAlign w:val="superscript"/>
        </w:rPr>
        <w:t>389</w:t>
      </w:r>
      <w:r>
        <w:fldChar w:fldCharType="end"/>
      </w:r>
      <w:hyperlink r:id="rId11" w:tgtFrame="_blank" w:history="1">
        <w:r w:rsidRPr="00F157D7">
          <w:rPr>
            <w:rStyle w:val="Hyperlink"/>
            <w:u w:val="none"/>
          </w:rPr>
          <w:t xml:space="preserve">. </w:t>
        </w:r>
      </w:hyperlink>
      <w:r w:rsidRPr="00F157D7">
        <w:t>In addition to the usual causes of anaemia of CKD, there is a myriad of transplant-specific risk factors that can contribute. Potential precipitants include</w:t>
      </w:r>
      <w:r w:rsidRPr="00FF3619">
        <w:t xml:space="preserve"> allograft dysfunction, rejection, post-transplant infections (including CMV, parvovirus, EBV), haematinic deficiency and drug-related adverse effects (ACE inhibitors, ARBs, antiproliferative agents, valganciclovir, trimethoprim-sulfamethoxazole)</w:t>
      </w:r>
      <w:r>
        <w:t xml:space="preserve"> </w:t>
      </w:r>
      <w:r>
        <w:fldChar w:fldCharType="begin"/>
      </w:r>
      <w:r w:rsidR="002D20B5">
        <w:instrText xml:space="preserve"> ADDIN ZOTERO_ITEM CSL_CITATION {"citationID":"Odsa2Noj","properties":{"formattedCitation":"\\super 390\\nosupersub{}","plainCitation":"390","noteIndex":0},"citationItems":[{"id":18818,"uris":["http://zotero.org/users/3444308/items/SUATNGPH"],"itemData":{"id":18818,"type":"article-journal","abstract":"The TRansplant European Survey on Anemia Management (TRESAM) documented the prevalence and management of anemia in kidney transplant recipients. Data from 72 transplant centers in 16 countries were screened, involving 4263 patients who had received transplants 6 months, 1, 3 or 5 years earlier. The mean age of transplant recipients was 45.5 years at transplantation. The most common etiology was chronic glomerulonephritis. The most common comorbidities were coronary artery disease, hepatitis B/C, and type 2 diabetes. The mean hemoglobin levels before transplantation were significantly higher in the more recently transplanted recipients. At enrollment, 38.6% of patients were found to be anemic. Of the 8.5% of patients who were considered severely anemic, only 17.8% were treated with epoetin. There was a strong association between hemoglobin and graft function; of the 904 patients with serum creatinine &gt; 2 mg/dL, 60.1% were anemic, vs. 29.0% of those with serum creatinine &lt;or= 2 mg/dL (p &lt; 0.01). Therapy with angiotensin-converting enzyme (ACE) inhibitors, angiotensin II receptor antagonists, mycophenolate mofetil (MMF) or azathioprine was also associated with a higher likelihood of anemia. The prevalence of anemia in the transplant recipients was remarkably high and appeared to be associated with impaired renal function and with ACE inhibitors and angiotensin II receptor antagonist use. Further studies should be carried out to interpret whether appropriate management of anemia after kidney transplantation may improve long-term outcome.","container-title":"American Journal of Transplantation: Official Journal of the American Society of Transplantation and the American Society of Transplant Surgeons","DOI":"10.1034/j.1600-6143.2003.00133.x","ISSN":"1600-6135","issue":"7","journalAbbreviation":"Am J Transplant","language":"eng","note":"PMID: 12814475","page":"835-845","source":"PubMed","title":"Prevalence and management of anemia in renal transplant recipients: a European survey","title-short":"Prevalence and management of anemia in renal transplant recipients","volume":"3","author":[{"family":"Vanrenterghem","given":"Yves"},{"family":"Ponticelli","given":"Claudio"},{"family":"Morales","given":"José Maria"},{"family":"Abramowicz","given":"Daniel"},{"family":"Baboolal","given":"Keshwar"},{"family":"Eklund","given":"Björn"},{"family":"Kliem","given":"Volker"},{"family":"Legendre","given":"Christophe"},{"family":"Morais Sarmento","given":"Antonio Luis"},{"family":"Vincenti","given":"Flavio"}],"issued":{"date-parts":[["2003",7]]}}}],"schema":"https://github.com/citation-style-language/schema/raw/master/csl-citation.json"} </w:instrText>
      </w:r>
      <w:r>
        <w:fldChar w:fldCharType="separate"/>
      </w:r>
      <w:r w:rsidR="002D20B5" w:rsidRPr="002D20B5">
        <w:rPr>
          <w:rFonts w:ascii="Aptos" w:hAnsi="Aptos" w:cs="Times New Roman"/>
          <w:sz w:val="22"/>
          <w:vertAlign w:val="superscript"/>
        </w:rPr>
        <w:t>390</w:t>
      </w:r>
      <w:r>
        <w:fldChar w:fldCharType="end"/>
      </w:r>
      <w:r w:rsidRPr="00FF3619">
        <w:t>. Post-transplant anaemia, especially when severe, may pose an increased risk of graft failure, cardiovascular mortality and all-cause mortality</w:t>
      </w:r>
      <w:r>
        <w:t xml:space="preserve"> </w:t>
      </w:r>
      <w:r>
        <w:fldChar w:fldCharType="begin"/>
      </w:r>
      <w:r w:rsidR="002D20B5">
        <w:instrText xml:space="preserve"> ADDIN ZOTERO_ITEM CSL_CITATION {"citationID":"vkNLFVN7","properties":{"formattedCitation":"\\super 391,392\\nosupersub{}","plainCitation":"391,392","noteIndex":0},"citationItems":[{"id":391,"uris":["http://zotero.org/users/3444308/items/HLV3YPEY","http://zotero.org/users/3444308/items/6YUFHN66"],"itemData":{"id":391,"type":"article-journal","abstract":"Summary Kidney transplantation is the optimal treatment for patients with end stage renal disease (ESRD) who would otherwise require dialysis. Patients with ESRD are at dramatically increased cardiovascular (CV) risk compared with the general population. As well as improving quality of life, successful transplantation accords major benefits by reducing CV risk in these patients. Worldwide, cardiovascular disease remains the leading cause of death with a functioning graft and therefore is a leading cause of graft failure. This review focuses on the mechanisms underpinning excess CV morbidity and mortality and current evidence for improving CV risk in kidney transplant recipients. Conventional CV risk factors such as hypertension, diabetes mellitus, dyslipidaemia and pre-existing ischaemic heart disease are all highly prevalent in this group. In addition, kidney transplant recipients exhibit a number of risk factors associated with pre-existing renal disease. Furthermore, complications specific to transplantation may ensue including reduced graft function, side effects of immunosuppression and post-transplantation diabetes mellitus. Strategies to improve CV outcomes post-transplantation may include pharmacological intervention including lipid-lowering or antihypertensive therapy, optimization of graft function, lifestyle intervention and personalizing immunosuppression to the individual patients risk profile.","container-title":"Transplant International","DOI":"10.1111/tri.12413","ISSN":"14322277","issue":"1","page":"10-21","title":"Cardiovascular morbidity and mortality after kidney transplantation","volume":"28","author":[{"family":"Stoumpos","given":"Sokratis"},{"family":"Jardine","given":"Alan G."},{"family":"Mark","given":"Patrick B."}],"issued":{"date-parts":[["2015"]]}}},{"id":18817,"uris":["http://zotero.org/users/3444308/items/VKTCQXX6"],"itemData":{"id":18817,"type":"article-journal","abstract":"BACKGROUND: The interaction between post-transplant anemia (PTA) and allograft function in kidney transplantation has not been evaluated directly. PTA, defined by WHO/AST criteria, was investigated in 1307 adult kidney transplant recipients between 2000 and 2015 (median follow-up, 7 years).\nMETHODS: We investigated the impact of hemoglobin (Hb) on graft failure (non-censored for death) and their interactions, time-dependent Cox model, and subgroup analysis were used.\nRESULTS: PTA prevalence was 43.6% at 7 years and varied according to allograft function, recipient sex, and follow-up period. Decreased Hb considering the time-varying effect was associated with an increased risk of graft failure (hazard ratio</w:instrText>
      </w:r>
      <w:r w:rsidR="002D20B5">
        <w:rPr>
          <w:rFonts w:ascii="Arial" w:hAnsi="Arial" w:cs="Arial"/>
        </w:rPr>
        <w:instrText> </w:instrText>
      </w:r>
      <w:r w:rsidR="002D20B5">
        <w:instrText>=</w:instrText>
      </w:r>
      <w:r w:rsidR="002D20B5">
        <w:rPr>
          <w:rFonts w:ascii="Arial" w:hAnsi="Arial" w:cs="Arial"/>
        </w:rPr>
        <w:instrText> </w:instrText>
      </w:r>
      <w:r w:rsidR="002D20B5">
        <w:instrText>1.83, 95% CI 1.66-2.02,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In subgroup analysis, allograft function (post-transplant time-averaged estimated glomerular filtration rate and cut point: 45 mL/min/1.73 m2) had significant interaction (P</w:instrText>
      </w:r>
      <w:r w:rsidR="002D20B5">
        <w:rPr>
          <w:rFonts w:ascii="Arial" w:hAnsi="Arial" w:cs="Arial"/>
        </w:rPr>
        <w:instrText> </w:instrText>
      </w:r>
      <w:r w:rsidR="002D20B5">
        <w:instrText>=</w:instrText>
      </w:r>
      <w:r w:rsidR="002D20B5">
        <w:rPr>
          <w:rFonts w:ascii="Arial" w:hAnsi="Arial" w:cs="Arial"/>
        </w:rPr>
        <w:instrText> </w:instrText>
      </w:r>
      <w:r w:rsidR="002D20B5">
        <w:instrText xml:space="preserve">0.032). The 7-year graft failure rate in recipients with PTA and high eGFR was 7.7% (HR 1.52, 95% CI 1.25-1.84), whereas in those with PTA and low eGFR was 19.9% (HR 2.00, 95% CI 1.74-2.31).\nCONCLUSIONS: The unfavorable impact of PTA was significantly enhanced by low allograft function. PTA is likely to be associated with graft failure due to interaction with allograft function. Therefore, we should consider both Hb level and allograft function while determining the treatment strategy.","container-title":"Clinical and Experimental Nephrology","DOI":"10.1007/s10157-019-01737-2","ISSN":"1437-7799","issue":"8","journalAbbreviation":"Clin Exp Nephrol","language":"eng","note":"PMID: 31020441","page":"1066-1075","source":"PubMed","title":"The interaction between post-transplant anemia and allograft function in kidney transplantation: The Japan Academic Consortium of Kidney Transplantation-II study","title-short":"The interaction between post-transplant anemia and allograft function in kidney transplantation","volume":"23","author":[{"family":"Okumi","given":"Masayoshi"},{"family":"Okabe","given":"Yasuhiro"},{"family":"Unagami","given":"Kohei"},{"family":"Kakuta","given":"Yoichi"},{"family":"Iizuka","given":"Junpei"},{"family":"Takagi","given":"Toshio"},{"family":"Shirakawa","given":"Hiroki"},{"family":"Shimizu","given":"Tomokazu"},{"family":"Omoto","given":"Kazuya"},{"family":"Ishida","given":"Hideki"},{"family":"Nakamura","given":"Masafumi"},{"family":"Tanabe","given":"Kazunari"},{"literal":"Japan Academic Consortium of Kidney Transplantation (JACK)"}],"issued":{"date-parts":[["2019",8]]}}}],"schema":"https://github.com/citation-style-language/schema/raw/master/csl-citation.json"} </w:instrText>
      </w:r>
      <w:r>
        <w:fldChar w:fldCharType="separate"/>
      </w:r>
      <w:r w:rsidR="002D20B5" w:rsidRPr="002D20B5">
        <w:rPr>
          <w:rFonts w:ascii="Aptos" w:hAnsi="Aptos" w:cs="Times New Roman"/>
          <w:sz w:val="22"/>
          <w:vertAlign w:val="superscript"/>
        </w:rPr>
        <w:t>391,392</w:t>
      </w:r>
      <w:r>
        <w:fldChar w:fldCharType="end"/>
      </w:r>
      <w:r w:rsidRPr="00FF3619">
        <w:t xml:space="preserve"> and thus must be treated in a timely manner. </w:t>
      </w:r>
    </w:p>
    <w:p w14:paraId="54FA2356" w14:textId="6BE7D444" w:rsidR="00426BCE" w:rsidRPr="00FF3619" w:rsidRDefault="00426BCE" w:rsidP="00516860">
      <w:r w:rsidRPr="00FF3619">
        <w:t xml:space="preserve">Together with the KDIGO and European Renal Best Practice Group, we recommend managing PTA by following the currently available guidelines on the management of anaemia in CKD, with a focus on iron repletion and erythropoietin stimulating therapy (ESA) when required </w:t>
      </w:r>
      <w:r>
        <w:fldChar w:fldCharType="begin"/>
      </w:r>
      <w:r w:rsidR="002D20B5">
        <w:instrText xml:space="preserve"> ADDIN ZOTERO_ITEM CSL_CITATION {"citationID":"RfUllqOj","properties":{"formattedCitation":"\\super 36,388\\nosupersub{}","plainCitation":"36,388","noteIndex":0},"citationItems":[{"id":18762,"uris":["http://zotero.org/users/3444308/items/XZCK9LB5","http://zotero.org/users/3444308/items/695WFW9B"],"itemData":{"id":18762,"type":"article-journal","abstract":"The 2009 Kidney Disease: Improving Global Outcomes (KDIGO) clinical practice guideline on the monitoring, management, and treatment of kidney transplant recipients is intended to assist the practitioner caring for adults and children after kidney transplantation. The guideline development process followed an evidence-based approach, and management recommendations are based on systematic reviews of relevant treatment trials. Critical appraisal of the quality of the evidence and the strength of recommendations followed the Grades of Recommendation Assessment, Development, and Evaluation (GRADE) approach. The guideline makes recommendations for immunosuppression, graft monitoring, as well as prevention and treatment of infection, cardiovascular disease, malignancy, and other complications that are common in kidney transplant recipients, including hematological and bone disorders. Limitations of the evidence, especially on the lack of definitive clinical outcome trials, are discussed and suggestions are provided for future research.","container-title":"American Journal of Transplantation: Official Journal of the American Society of Transplantation and the American Society of Transplant Surgeons","DOI":"10.1111/j.1600-6143.2009.02834.x","ISSN":"1600-6143","journalAbbreviation":"Am J Transplant","language":"eng","note":"PMID: 19845597","page":"S1-155","source":"PubMed","title":"KDIGO clinical practice guideline for the care of kidney transplant recipients","volume":"9 Suppl 3","author":[{"literal":"Kidney Disease: Improving Global Outcomes (KDIGO) Transplant Work Group"}],"issued":{"date-parts":[["2009",11]]}}},{"id":18822,"uris":["http://zotero.org/users/3444308/items/QXB64KTZ"],"itemData":{"id":18822,"type":"article-journal","container-title":"Nephrology, Dialysis, Transplantation: Official Publication of the European Dialysis and Transplant Association - European Renal Association","DOI":"10.1093/ndt/gfn653","ISSN":"1460-2385","issue":"2","journalAbbreviation":"Nephrol Dial Transplant","language":"eng","note":"PMID: 19037082","page":"348-354","source":"PubMed","title":"Anaemia management in patients with chronic kidney disease: a position statement by the Anaemia Working Group of European Renal Best Practice (ERBP)","title-short":"Anaemia management in patients with chronic kidney disease","volume":"24","author":[{"family":"Locatelli","given":"Francesco"},{"family":"Covic","given":"Adrian"},{"family":"Eckardt","given":"Kai-Uwe"},{"family":"Wiecek","given":"Andrzej"},{"family":"Vanholder","given":"Raymond"},{"literal":"ERA-EDTA ERBP Advisory Board"}],"issued":{"date-parts":[["2009",2]]}}}],"schema":"https://github.com/citation-style-language/schema/raw/master/csl-citation.json"} </w:instrText>
      </w:r>
      <w:r>
        <w:fldChar w:fldCharType="separate"/>
      </w:r>
      <w:r w:rsidR="002D20B5" w:rsidRPr="002D20B5">
        <w:rPr>
          <w:rFonts w:ascii="Aptos" w:hAnsi="Aptos" w:cs="Times New Roman"/>
          <w:sz w:val="22"/>
          <w:vertAlign w:val="superscript"/>
        </w:rPr>
        <w:t>36,388</w:t>
      </w:r>
      <w:r>
        <w:fldChar w:fldCharType="end"/>
      </w:r>
      <w:r w:rsidRPr="00FF3619">
        <w:t xml:space="preserve">. We refer the reader to the UKKA Clinical Practice Guideline: Anaemia of Chronic Kidney Disease for further information and recommendations.  </w:t>
      </w:r>
    </w:p>
    <w:p w14:paraId="5C3521CF" w14:textId="77777777" w:rsidR="00426BCE" w:rsidRPr="00FF3619" w:rsidRDefault="00426BCE" w:rsidP="00516860">
      <w:pPr>
        <w:pStyle w:val="GuidelineSubheadings"/>
      </w:pPr>
      <w:r w:rsidRPr="00FF3619">
        <w:t xml:space="preserve">Erythropoietin Stimulating Agent (ESA) therapy </w:t>
      </w:r>
    </w:p>
    <w:p w14:paraId="3BFB33FE" w14:textId="58D3AF6D" w:rsidR="00426BCE" w:rsidRPr="00FF3619" w:rsidRDefault="00426BCE" w:rsidP="00516860">
      <w:r w:rsidRPr="00FF3619">
        <w:t>A few small RCTs using ESA in KTRs have suggested a benefit in Hgb correction and improvement in quality of life, though the optimal Hgb level still remains to be determined</w:t>
      </w:r>
      <w:r>
        <w:t xml:space="preserve"> </w:t>
      </w:r>
      <w:r>
        <w:fldChar w:fldCharType="begin"/>
      </w:r>
      <w:r w:rsidR="002D20B5">
        <w:instrText xml:space="preserve"> ADDIN ZOTERO_ITEM CSL_CITATION {"citationID":"7HiQ0X5g","properties":{"formattedCitation":"\\super 393\\uc0\\u8211{}397\\nosupersub{}","plainCitation":"393–397","noteIndex":0},"citationItems":[{"id":18813,"uris":["http://zotero.org/users/3444308/items/LFI3WL62"],"itemData":{"id":18813,"type":"article-journal","abstract":"Recombinant human erythropoietin (rHuEPO) is effective in correcting anemia in hemodialysis, peritoneal dialysis, and predialysis patients. Limited studies in patients with failing renal allografts suggest a similar efficacy but provide little information concerning benefits, dose requirements, or adverse events. This study examined these considerations in a group of 40 patients (18 men; 22 women) aged 40.3 +/- 13.8 yr with stable, chronic renal allograft failure. All patients had a hemoglobin &lt; 95 g/L and a serum creatinine &gt; 250 mumol/L at baseline. Patients received rHuEPO (50 U/kg sc) three times weekly for 24 wk along with iron po if serum ferritin was &lt; 100 micrograms/L. Mean hemoglobin rose from 78.9 +/- 10.4 to 102.6 +/- 18.4 g/L after 24 wk. Mean rHuEPO dose at 24 wk was 129.8 +/- 81.9 U/kg per week. With oral iron supplementation only, serum ferritin fell throughout the 24 wk, whereas serum iron, transferrin saturation, and total iron-binding capacity remained stable. Quality of life was assessed by use of the general Sickness Impact Profile and the disease-specific Transplant Disease Questionnaire measures at baseline and every 8 wk during rHuEPO therapy. Significant improvement was noted in global Sickness Impact Profile scores and in four of five dimensions of the Transplant Disease Questionnaire. Serious adverse events were infrequent. No change in mean systolic or diastolic blood pressure was noted, although there was a significantly increased need for antihypertensive drugs in 18 patients (P = 0.0002). A significant inverse correlation was noted between baseline renal function and maintenance rHuEPO dose (r = -0.45; P &lt; 0.05). Twelve patients returned to dialysis during the study.(ABSTRACT TRUNCATED AT 250 WORDS)","container-title":"Journal of the American Society of Nephrology: JASN","DOI":"10.1681/ASN.V551216","ISSN":"1046-6673","issue":"5","journalAbbreviation":"J Am Soc Nephrol","language":"eng","note":"PMID: 7873732","page":"1216-1222","source":"PubMed","title":"Safety and efficacy of recombinant human erythropoietin in correcting the anemia of patients with chronic renal allograft dysfunction","volume":"5","author":[{"family":"Muirhead","given":"N."},{"family":"Cattran","given":"D. C."},{"family":"Zaltzman","given":"J."},{"family":"Jindal","given":"K."},{"family":"First","given":"M. R."},{"family":"Boucher","given":"A."},{"family":"Keown","given":"P. A."},{"family":"Munch","given":"L. C."},{"family":"Wong","given":"C."}],"issued":{"date-parts":[["1994",11]]}}},{"id":18815,"uris":["http://zotero.org/users/3444308/items/UST8S8VP"],"itemData":{"id":18815,"type":"article-journal","abstract":"BACKGROUND: Studies on the effect of recombinant human erythropoietin (rHuEpo) on haematopoiesis in patients with kidney transplants, have been limited to progressive chronic graft failure, late after transplantation. In the present prospective randomized study, the efficacy of rHuEpo in the correction of anaemia during the first weeks after renal transplantation (RTP) was evaluated.\nMETHODS: Patients were allocated to either an Epo- (n = 14) or a non-Epo-treated group (n = 15). Epo (150 U/kg.week s.c.) was started at a haematocrit (Hct) &lt; 30% and was increased at weekly intervals by 30 U/kg.week, as long as Hct remained &lt; 25%.\nRESULTS: In the Epo group, Hct increased from a nadir of 22 +/- 4% 2 weeks after RTP to 30 +/- 4% at week 4 and to 36 +/- 4% at week 6 (P &lt; 0.001 and P &lt; 0.0001 respectively vs week 2). Corresponding values in the non-Epo group were 25 +/- 6%, 28 +/- 6% (P = NS) and 32 +/- 6% (P &lt; 0.05 vs week 2) (overall evolution Epo vs non-Epo: P = 0.038 by variance analysis). The differences in Hct between the Epo and non Epo group were even more marked in patients without major complications (variance analysis P = 0.009). The Epo-treated patients required fewer post-surgical blood transfusions (0.005 vs 0.014/days follow-up, P &lt; 0.05), in spite of greater post-surgical blood losses, especially at day 1 (P &lt; 0.05) and the presence of more major complications (7 vs 4) and a higher number of ganciclovir-treated patients (4 vs 0; P &lt; 0.05). The maximum Epo dose after RTP was &gt; 2x higher than the one required before RTP (197.1 +/- 45.1 vs 85.0 +/- 76.0 U/kg.week; P &lt; 0.05).\nCONCLUSIONS: It is concluded that rHuEpo during the first weeks after RTP is of benefit in the correction of the Hct in the early post-surgical period, in spite of relative Epo resistance.","container-title":"Nephrology, Dialysis, Transplantation: Official Publication of the European Dialysis and Transplant Association - European Renal Association","DOI":"10.1093/oxfordjournals.ndt.a027674","ISSN":"0931-0509","issue":"9","journalAbbreviation":"Nephrol Dial Transplant","language":"eng","note":"PMID: 8918628","page":"1815-1821","source":"PubMed","title":"Recombinant human erythropoietin corrects anaemia during the first weeks after renal transplantation: a randomized prospective study","title-short":"Recombinant human erythropoietin corrects anaemia during the first weeks after renal transplantation","volume":"11","author":[{"family":"Van Loo","given":"A."},{"family":"Vanholder","given":"R."},{"family":"Bernaert","given":"P."},{"family":"De Roose","given":"J."},{"family":"Lameire","given":"N."}],"issued":{"date-parts":[["1996",9]]}}},{"id":18814,"uris":["http://zotero.org/users/3444308/items/W3ZNT4P7"],"itemData":{"id":18814,"type":"article-journal","abstract":"Anemia negatively impacts cardiovascular comorbidity and hospitalization. In animals, recombinant erythropoietin (RhuEPO) leads to faster recovery after acute tubular necrosis. This study evaluates the effect of RhuEPO (Recormon, Hoffman-La Roche, Basel, Switzerland) on the correction of anemia and kidney function after renal transplantation. Patients receiving a renal transplant were randomized to receive or not receive RhuEPO 100 U/kg three times per week if the hemoglobin (Hb) level was less than 12.5 g/dL. The time to reach an Hb level greater than 12.5 g/dL was 66.5+/-14.5 days versus 52.6+/-23.7 days in the non-EPO and EPO groups, respectively (P=0.05). After 3 months, Hb levels were not different between the non-EPO and EPO groups (12.6+/-1.5 g/dL vs. 12.0+/-1.5 g/dL, respectively), although there was a higher increase in the EPO group (4.1+/-1.1 g/dL vs. 3.2+/-1.1 g/dL, P=0.02). In a Cox regression analysis, EPO use (relative risk 7.2, P=0.004) and dose (relative risk=0.63, P=0.04) were retained as independent variables predicting the time to reach an Hb level greater than 12.5 g/dL. In the EPO group, 14 of 22 patients reached the target Hb level of more than 12.5 g/dL versus 12 of 18 patients in the non-EPO group (P=not significant). Serum creatinine levels were not different between groups. RhuEPO in the immediate posttransplantation period seems to have no relevant clinical impact on the correction of anemia. There was no difference in the evolution of serum creatinine levels. In view of the cost, the use of RhuEpo in the posttransplantation period should be limited to high-risk patients.","container-title":"Transplantation","DOI":"10.1097/01.tp.0000150370.51700.99","ISSN":"0041-1337","issue":"3","journalAbbreviation":"Transplantation","language":"eng","note":"PMID: 15699772","page":"367-368","source":"PubMed","title":"Efficacy of erythropoietin administration in the treatment of anemia immediately after renal transplantation","volume":"79","author":[{"family":"Van Biesen","given":"Wim"},{"family":"Vanholder","given":"Raymond"},{"family":"Veys","given":"Nic"},{"family":"Verbeke","given":"Francis"},{"family":"Lameire","given":"Norbert"}],"issued":{"date-parts":[["2005",2,15]]}}},{"id":18816,"uris":["http://zotero.org/users/3444308/items/LJCDQUSU"],"itemData":{"id":18816,"type":"article-journal","abstract":"Retrospective studies suggest that chronic allograft nephropathy might progress more rapidly in patients with post-transplant anemia, but whether correction of anemia improves renal outcomes is unknown. An open-label, multicenter, randomized controlled trial investigated the effect of epoetin-β to normalize hemoglobin values (13.0-15.0 g/dl, n=63) compared with partial correction of anemia (10.5-11.5 g/dl, n=62) on progression of nephropathy in transplant recipients with hemoglobin &lt;11.5 g/dl and an estimated creatinine clearance (eCrCl) &lt;50 ml/min per 1.73 m(2). After 2 years, the mean hemoglobin was 12.9 and 11.3 g/dl in the normalization and partial correction groups, respectively (P&lt;0.001). From baseline to year 2, the eCrCl decreased by a mean 2.4 ml/min per 1.73 m(2) in the normalization group compared with 5.9 ml/min per 1.73 m(2) in the partial correction group (P=0.03). Furthermore, fewer patients in the normalization group progressed to ESRD (3 versus 13, P&lt;0.01). Cumulative death-censored graft survival was 95% and 80% in the normalization and partial correction groups, respectively (P&lt;0.01). Complete correction was associated with a significant improvement in quality of life at 6 and 12 months. The number of cardiovascular events was low and similar between groups. In conclusion, this prospective study suggests that targeting hemoglobin values ≥13 g/dl reduces progression of chronic allograft nephropathy in kidney transplant recipients.","container-title":"Journal of the American Society of Nephrology: JASN","DOI":"10.1681/ASN.2011060546","ISSN":"1533-3450","issue":"2","journalAbbreviation":"J Am Soc Nephrol","language":"eng","note":"PMID: 22193388\nPMCID: PMC3269184","page":"360-368","source":"PubMed","title":"Correction of postkidney transplant anemia reduces progression of allograft nephropathy","volume":"23","author":[{"family":"Choukroun","given":"Gabriel"},{"family":"Kamar","given":"Nassim"},{"family":"Dussol","given":"Bertrand"},{"family":"Etienne","given":"Isabelle"},{"family":"Cassuto-Viguier","given":"Elisabeth"},{"family":"Toupance","given":"Olivier"},{"family":"Glowacki","given":"François"},{"family":"Moulin","given":"Bruno"},{"family":"Lebranchu","given":"Yvon"},{"family":"Touchard","given":"Guy"},{"family":"Jaureguy","given":"Maïté"},{"family":"Pallet","given":"Nicolas"},{"family":"Le Meur","given":"Yannick"},{"family":"Rostaing","given":"Lionel"},{"family":"Martinez","given":"Frank"},{"literal":"CAPRIT study Investigators"}],"issued":{"date-parts":[["2012",2]]}}},{"id":18812,"uris":["http://zotero.org/users/3444308/items/TLGZVIU8"],"itemData":{"id":18812,"type":"article-journal","abstract":"OBJECTIVES: Posttransplant anemia affects 30% to 45% of kidney transplant recipients and is associated with increased morbidity. However, there is lack of evidence about safe hemoglobin levels after erythropoietin treatment. Studies are needed to better understand the potential benefits and risks, as well as to define safe target hemoglobin ranges in these patients.\nMATERIALS AND METHODS: In this single-center exploratory, open-label randomized controlled trial, kidney trans-plant recipients with anemia 3 months posttransplant were either treated with epoetin beta to a hemoglobin target level of 11.5 to 13.5 g/dL (n = 28) or given no treatment (n = 27). Treatment effects on graft function and health quality of life were assessed.\nRESULTS: After 2 years, hemoglobin concentrations were significantly higher in the epoetin beta treatment group than in the no treatment group (12.3 ± 0.18 vs 9.99 ± 0.22 g/dL; P &lt; .0001). Estimated glomerular filtration rate, calculated by Modified Diet in Renal Disease 7, declined by 1.7 mL/min (interquartile range, -6 to 4.24) in the epoetin treatment group and by 4.16 mL/min (interquartile range, -12.42 to 2.78) in the no treatment group (P = .32). Rate of progression, determined by estimated glomerular filtration rate slope, was not significantly different between groups (-0.09 ± 0.1 vs -0.12 ± 0.15 mL/min for treated vs not treated; P = .78). Moreover, we observed no significant differences in proteinuria and blood pressure. Treated patients had greater improvements in the vitality and mental health domains of the Medical Outcomes Short Form Health Survey quality of life scores.\nCONCLUSIONS: Treatment of anemia in kidney transplant recipients to a hemoglobin level of 11.5 to 13.5 g/dL with erythropoietin improves some quality of life scores. The treatment was safe and not associated with adverse outcomes. There were no changes in rate of decline of graft function.","container-title":"Experimental and Clinical Transplantation: Official Journal of the Middle East Society for Organ Transplantation","DOI":"10.6002/ect.2018.0283","ISSN":"2146-8427","issue":"1","journalAbbreviation":"Exp Clin Transplant","language":"eng","note":"PMID: 31180297","page":"27-33","source":"PubMed","title":"Treating Posttransplant Anemia With Erythropoietin Improves Quality of Life but Does Not Affect Progression of Chronic Kidney Disease","volume":"18","author":[{"family":"Pile","given":"Taryn"},{"family":"Raftery","given":"Martin"},{"family":"Thuraisingham","given":"Raj"},{"family":"Kirwan","given":"Christopher J."},{"family":"Harwood","given":"Steven"},{"family":"Yaqoob","given":"Muhammed M."}],"issued":{"date-parts":[["2020",2]]}}}],"schema":"https://github.com/citation-style-language/schema/raw/master/csl-citation.json"} </w:instrText>
      </w:r>
      <w:r>
        <w:fldChar w:fldCharType="separate"/>
      </w:r>
      <w:r w:rsidR="002D20B5" w:rsidRPr="002D20B5">
        <w:rPr>
          <w:rFonts w:ascii="Aptos" w:hAnsi="Aptos" w:cs="Times New Roman"/>
          <w:sz w:val="22"/>
          <w:vertAlign w:val="superscript"/>
        </w:rPr>
        <w:t>393–397</w:t>
      </w:r>
      <w:r>
        <w:fldChar w:fldCharType="end"/>
      </w:r>
      <w:r>
        <w:t xml:space="preserve">. </w:t>
      </w:r>
      <w:r w:rsidRPr="00FF3619">
        <w:t xml:space="preserve">We suggest avoiding an Hgb level above 120 g/L, in light of the risk of adverse outcomes such as increased stroke as seen in the TREAT trial </w:t>
      </w:r>
      <w:r>
        <w:fldChar w:fldCharType="begin"/>
      </w:r>
      <w:r w:rsidR="002D20B5">
        <w:instrText xml:space="preserve"> ADDIN ZOTERO_ITEM CSL_CITATION {"citationID":"ohYiOb44","properties":{"formattedCitation":"\\super 398\\nosupersub{}","plainCitation":"398","noteIndex":0},"citationItems":[{"id":18811,"uris":["http://zotero.org/users/3444308/items/7HRJPG3Z"],"itemData":{"id":18811,"type":"article-journal","abstract":"BACKGROUND: Anemia is associated with an increased risk of cardiovascular and renal events among patients with type 2 diabetes and chronic kidney disease. Although darbepoetin alfa can effectively increase hemoglobin levels, its effect on clinical outcomes in these patients has not been adequately tested.\nMETHODS: In this study involving 4038 patients with diabetes, chronic kidney disease, and anemia, we randomly assigned 2012 patients to darbepoetin alfa to achieve a hemoglobin level of approximately 13 g per deciliter and 2026 patients to placebo, with rescue darbepoetin alfa when the hemoglobin level was less than 9.0 g per deciliter. The primary end points were the composite outcomes of death or a cardiovascular event (nonfatal myocardial infarction, congestive heart failure, stroke, or hospitalization for myocardial ischemia) and of death or end-stage renal disease.\nRESULTS: Death or a cardiovascular event occurred in 632 patients assigned to darbepoetin alfa and 602 patients assigned to placebo (hazard ratio for darbepoetin alfa vs. placebo, 1.05; 95% confidence interval [CI], 0.94 to 1.17; P=0.41). Death or end-stage renal disease occurred in 652 patients assigned to darbepoetin alfa and 618 patients assigned to placebo (hazard ratio, 1.06; 95% CI, 0.95 to 1.19; P=0.29). Fatal or nonfatal stroke occurred in 101 patients assigned to darbepoetin alfa and 53 patients assigned to placebo (hazard ratio, 1.92; 95% CI, 1.38 to 2.68; P&lt;0.001). Red-cell transfusions were administered to 297 patients assigned to darbepoetin alfa and 496 patients assigned to placebo (P&lt;0.001). There was only a modest improvement in patient-reported fatigue in the darbepoetin alfa group as compared with the placebo group.\nCONCLUSIONS: The use of darbepoetin alfa in patients with diabetes, chronic kidney disease, and moderate anemia who were not undergoing dialysis did not reduce the risk of either of the two primary composite outcomes (either death or a cardiovascular event or death or a renal event) and was associated with an increased risk of stroke. For many persons involved in clinical decision making, this risk will outweigh the potential benefits. (ClinicalTrials.gov number, NCT00093015.)","container-title":"The New England Journal of Medicine","DOI":"10.1056/NEJMoa0907845","ISSN":"1533-4406","issue":"21","journalAbbreviation":"N Engl J Med","language":"eng","note":"PMID: 19880844","page":"2019-2032","source":"PubMed","title":"A trial of darbepoetin alfa in type 2 diabetes and chronic kidney disease","volume":"361","author":[{"family":"Pfeffer","given":"Marc A."},{"family":"Burdmann","given":"Emmanuel A."},{"family":"Chen","given":"Chao-Yin"},{"family":"Cooper","given":"Mark E."},{"family":"Zeeuw","given":"Dick","non-dropping-particle":"de"},{"family":"Eckardt","given":"Kai-Uwe"},{"family":"Feyzi","given":"Jan M."},{"family":"Ivanovich","given":"Peter"},{"family":"Kewalramani","given":"Reshma"},{"family":"Levey","given":"Andrew S."},{"family":"Lewis","given":"Eldrin F."},{"family":"McGill","given":"Janet B."},{"family":"McMurray","given":"John J. V."},{"family":"Parfrey","given":"Patrick"},{"family":"Parving","given":"Hans-Henrik"},{"family":"Remuzzi","given":"Giuseppe"},{"family":"Singh","given":"Ajay K."},{"family":"Solomon","given":"Scott D."},{"family":"Toto","given":"Robert"},{"literal":"TREAT Investigators"}],"issued":{"date-parts":[["2009",11,19]]}}}],"schema":"https://github.com/citation-style-language/schema/raw/master/csl-citation.json"} </w:instrText>
      </w:r>
      <w:r>
        <w:fldChar w:fldCharType="separate"/>
      </w:r>
      <w:r w:rsidR="002D20B5" w:rsidRPr="002D20B5">
        <w:rPr>
          <w:rFonts w:ascii="Aptos" w:hAnsi="Aptos" w:cs="Times New Roman"/>
          <w:sz w:val="22"/>
          <w:vertAlign w:val="superscript"/>
        </w:rPr>
        <w:t>398</w:t>
      </w:r>
      <w:r>
        <w:fldChar w:fldCharType="end"/>
      </w:r>
      <w:r>
        <w:t>.</w:t>
      </w:r>
    </w:p>
    <w:p w14:paraId="26A9A623" w14:textId="77777777" w:rsidR="00426BCE" w:rsidRPr="00FF3619" w:rsidRDefault="00426BCE" w:rsidP="00516860">
      <w:pPr>
        <w:pStyle w:val="GuidelineSubheadings"/>
      </w:pPr>
      <w:r w:rsidRPr="00FF3619">
        <w:lastRenderedPageBreak/>
        <w:t>Hypoxia-inducible factor prolyl hydroxylase inhibitors (HIF-</w:t>
      </w:r>
      <w:proofErr w:type="spellStart"/>
      <w:r w:rsidRPr="00FF3619">
        <w:t>PHi</w:t>
      </w:r>
      <w:proofErr w:type="spellEnd"/>
      <w:r w:rsidRPr="00FF3619">
        <w:t>) therapy</w:t>
      </w:r>
    </w:p>
    <w:p w14:paraId="71285F14" w14:textId="7AA45224" w:rsidR="00426BCE" w:rsidRPr="00FF3619" w:rsidRDefault="00426BCE" w:rsidP="00516860">
      <w:r w:rsidRPr="00FF3619">
        <w:t>Among the HIF-</w:t>
      </w:r>
      <w:proofErr w:type="spellStart"/>
      <w:r w:rsidRPr="00FF3619">
        <w:t>PHis</w:t>
      </w:r>
      <w:proofErr w:type="spellEnd"/>
      <w:r w:rsidRPr="00FF3619">
        <w:t xml:space="preserve">, </w:t>
      </w:r>
      <w:proofErr w:type="spellStart"/>
      <w:r w:rsidRPr="00FF3619">
        <w:t>roxadustat</w:t>
      </w:r>
      <w:proofErr w:type="spellEnd"/>
      <w:r w:rsidRPr="00FF3619">
        <w:t xml:space="preserve"> was authorized for use in patients with anaemia and CKD (regardless of dialysis or not) by the European Medicines Agency in 2021, while </w:t>
      </w:r>
      <w:proofErr w:type="spellStart"/>
      <w:r w:rsidRPr="00FF3619">
        <w:t>daprodustat</w:t>
      </w:r>
      <w:proofErr w:type="spellEnd"/>
      <w:r w:rsidRPr="00FF3619">
        <w:t xml:space="preserve"> was approved by the US Food and Drug Administration for use in dialysis-dependent CKD in 2023. To date, there has been no RCT evaluating their long-term efficacy and safety in KTRs. Nonetheless, HIF-</w:t>
      </w:r>
      <w:proofErr w:type="spellStart"/>
      <w:r w:rsidRPr="00FF3619">
        <w:t>PHi</w:t>
      </w:r>
      <w:proofErr w:type="spellEnd"/>
      <w:r w:rsidRPr="00FF3619">
        <w:t xml:space="preserve"> therapy can be considered as an alternative agent to ESA therapy in those individuals who have contraindications or do not respond to ESA. </w:t>
      </w:r>
    </w:p>
    <w:p w14:paraId="19FA5161" w14:textId="0F49E9B1" w:rsidR="00426BCE" w:rsidRPr="00516860" w:rsidRDefault="00426BCE" w:rsidP="00516860">
      <w:r w:rsidRPr="00FF3619">
        <w:t>A few case series, albeit involving small numbers, have reported satisfactory Hgb response with the use of Roxadustat in PTA</w:t>
      </w:r>
      <w:r>
        <w:t xml:space="preserve"> </w:t>
      </w:r>
      <w:r>
        <w:fldChar w:fldCharType="begin"/>
      </w:r>
      <w:r w:rsidR="002D20B5">
        <w:instrText xml:space="preserve"> ADDIN ZOTERO_ITEM CSL_CITATION {"citationID":"jNk1KK7u","properties":{"formattedCitation":"\\super 399\\uc0\\u8211{}404\\nosupersub{}","plainCitation":"399–404","noteIndex":0},"citationItems":[{"id":18807,"uris":["http://zotero.org/users/3444308/items/L9JZ5YKF"],"itemData":{"id":18807,"type":"article-journal","abstract":"BACKGROUND: To observe the efficacy and safety of roxadustat, an inhibitor of proline hydroxylase, in renal allograft anemia patients.\nMETHODS: This prospective study collected the clinical data of renal transplant patients treated with roxadustat for anemia at the Kidney Disease Center of the First Affiliated Hospital of Zhejiang University from April to August 2020. The patients were followed up every 2 weeks, and the changes in their hemoglobin index and any adverse reactions were recorded during 10 weeks of treatment. The efficacy of roxadustat for treatment of anemia after kidney transplantation was analyzed by comparing the change and increase in average hemoglobin levels before and after treatment. Rates of treatment response and achievement of the standard hemoglobin level were statistically analyzed. In addition, any potential adverse events and the glomerular filtration rate were recorded for 10 weeks to assess the safety of roxadustat in renal allograft anemia patients.\nRESULTS: After 10 weeks of roxadustat treatment, the mean hemoglobin level was 10.4±3.9 g/dL, which was significantly higher than at baseline. Over the entire period, treatment was observed to have a therapeutic effect at weeks 2-4, with mean hemoglobin levels increasing as treatment time increased. At the 10-week endpoint, the percentage of patients reaching the standard hemoglobin level and exhibiting a response to treatment was 52.4% and 71.4%, respectively. During the treatment, there was no rejection, and the glomerular filtration rate was stable. Only one person showed symptoms of fatigue, and there were no other obvious adverse reactions reported.\nCONCLUSIONS: Roxadustat significantly improves hemoglobin levels and can be safely used in renal transplant anemia patients.","container-title":"Annals of Palliative Medicine","DOI":"10.21037/apm-21-2916","ISSN":"2224-5839","issue":"11","journalAbbreviation":"Ann Palliat Med","language":"eng","note":"PMID: 34872310","page":"11859-11867","source":"PubMed","title":"Efficacy and safety of roxadustat in the treatment of renal allograft anemia patients: a case series","title-short":"Efficacy and safety of roxadustat in the treatment of renal allograft anemia patients","volume":"10","author":[{"family":"Li","given":"Jun"},{"family":"Ma","given":"Kuifen"},{"family":"Wang","given":"Liangping"},{"family":"Qi","given":"Huaji"},{"family":"Lv","given":"Junhao"},{"family":"Rao","given":"Yuefeng"},{"family":"Peng","given":"Wenhan"}],"issued":{"date-parts":[["2021",11]]}}},{"id":18806,"uris":["http://zotero.org/users/3444308/items/9YCILH9L"],"itemData":{"id":18806,"type":"article-journal","abstract":"BACKGROUND: Although posttransplant anemia (PTA) is a common complication after kidney transplant, it has not been thoroughly evaluated for appropriate treatment. Roxadustat can stimulate erythropoiesis by increasing erythropoietin (EPO) production and improving the utilization of iron. However, there are currently a few case reports describing its effect on PTA in kidney transplant recipients (KTRs). Our purpose was to evaluate the efficacy and safety of roxadustat in KTRs with PTA.\nMETHODS: In this retrospective study, KTRs with early PTA were divided into a roxadustat group, erythropoiesis-stimulating agent (ESA) group, and untreated group (neither roxadustat nor ESA) according to the treatment prescribed by their physicians. We compared the levels of hemoglobin (Hb), creatinine, lipids, hepcidin, intact fibroblast growth factor 23 (iFGF23) and iron-related indices, at baseline and different time points posttransplant. Outcome was assessed at both month 3 and month 12 posttransplant. Adverse events during the treatment course were also recorded.\nRESULTS: A total of 57 KTRs were included (n=22 roxadustat group, n=13 ESA group, n=22 untreated group). There was no difference in age, sex, body mass index, dialysis method and duration, donor type among three groups at baseline. The mean Hb levels at month 3 posttransplant (128.00±19.62 vs. 118.59±11.60 g/L, P=0.048) and the average change in Hb levels from week 2 to month 3 (48.05±22.53 vs. 31.45±12.96 g/L, P=0.005) in the roxadustat group were significantly higher than those in the untreated group. However, there was no significant difference in the above indices between the roxadustat and ESA groups. At month 3, the total iron binding capacity (TIBC) and levels of transferrin were significantly higher while levels of ferritin, hepcidin and iFGF23 were significantly lower in the roxadustat group than in other groups (P&lt;0.05). No significant difference was found in creatinine or estimated glomerular filtration rate (eGFR) levels among the three groups at month 3. During the follow-up, no adverse events related to roxadustat were reported.\nCONCLUSIONS: Administration of roxadustat in KTRs with early PTA could elevate Hb levels effectively and safely by enhancing endogenous EPO production and improving iron utilization. Further randomized studies with larger sample size are necessary to verify our results.","container-title":"Annals of Translational Medicine","DOI":"10.21037/atm-22-5897","ISSN":"2305-5839","issue":"24","journalAbbreviation":"Ann Transl Med","language":"eng","note":"PMID: 36660711\nPMCID: PMC9843359","page":"1360","source":"PubMed","title":"Beneficial effect of roxadustat on early posttransplant anemia and iron utilization in kidney transplant recipients: a retrospective comparative cohort study","title-short":"Beneficial effect of roxadustat on early posttransplant anemia and iron utilization in kidney transplant recipients","volume":"10","author":[{"family":"Li","given":"Hui"},{"family":"Hu","given":"Shu-Meng"},{"family":"Li","given":"Ya-Mei"},{"family":"Ciancio","given":"Gaetano"},{"family":"Tadros","given":"Nicholas N."},{"family":"Tao","given":"Ye"},{"family":"Bai","given":"Yang-Juan"},{"family":"Shi","given":"Yun-Ying"}],"issued":{"date-parts":[["2022",12]]}}},{"id":18809,"uris":["http://zotero.org/users/3444308/items/MCPLW3NB"],"itemData":{"id":18809,"type":"article-journal","abstract":"BACKGROUND: Roxadustat, a hypoxia-inducible factor prolyl hydroxylase inhibitor, has been reported to be effective in treating conservative renal failure and renal anemia in patients undergoing dialysis. Nonetheless, its effect on posttransplant anemia (PTA) has not yet been analyzed.\nMETHODS: This study was conducted in accordance with the 1975 Declaration of Helsinki, as revised in 2013. Roxadustat was administered in 31 patients with a hemoglobin level ≤11 g/dL after renal transplant. The mean hemoglobin, serum iron, ferritin, and low-density lipoprotein (LDL) cholesterol levels and the estimated glomerular filtration rate at 4, 8, 12, 16, and 20 weeks after administration were compared with those before administration.\nRESULTS: The average (standard deviation) hemoglobin level in 25 patients (6 patients dropped out) increased from 9.8 (0.78) g/dL before administration to 12.1 (1.44) g/dL (P &lt; .001) after 12 weeks of roxadustat administration. The mean ferritin level in patients decreased from 107.6 (84.95) ng/mL before administration to 51.7 (44.04) ng/mL (P = .022) after 8 weeks of roxadustat administration. The mean LDL cholesterol level decreased from 114.1 (31.67) mg/dL before administration to 78.7 (18.26) mg/dL (P = .0012) after 8 weeks of roxadustat administration. Complications observed in patients after roxadustat administration included reduced hemoglobin levels in 3 patients, gastrointestinal symptoms in 2 patients, and myocardial infarction in 1 patient.\nCONCLUSIONS: Hemoglobin levels significantly increased, whereas ferritin and LDL cholesterol levels significantly decreased in patients with PTA after roxadustat administration. Roxadustat seems to be an effective treatment for patients with PTA; however, the blood clotting tendency due to iron deficiency should be monitored in patients.","container-title":"Transplantation Proceedings","DOI":"10.1016/j.transproceed.2022.02.004","ISSN":"1873-2623","issue":"3","journalAbbreviation":"Transplant Proc","language":"eng","note":"PMID: 35256197","page":"671-677","source":"PubMed","title":"Therapeutic Effect of Roxadustat on Patients With Posttransplant Anemia","volume":"54","author":[{"family":"Miki","given":"Katsuyuki"},{"family":"Nakamura","given":"Yuki"},{"family":"Yokoyama","given":"Takayoshi"},{"family":"Kamiyama","given":"Manabu"},{"family":"Ishii","given":"Yasuo"}],"issued":{"date-parts":[["2022",4]]}}},{"id":18805,"uris":["http://zotero.org/users/3444308/items/CZURQ677"],"itemData":{"id":18805,"type":"article-journal","abstract":"In this study, we report on an experience with the use of a novel agent \"roxadustat,\" a hypoxia-inducible factor prolyl hydroxylase inhibitor (HIF-PHI), for posttransplant anemia (PTA) in renal transplant recipients. Five renal transplant recipients treated as outpatients receiving 150 or 250 µg of \"epoetin beta pegol,\" an erythropoiesis-stimulating agent (ESA), once every 3 months were converted to roxadustat, an HIF-PHI. The dose was 100 mg 3 times a week taken orally on Monday, Wednesday, and Friday. Data check was conducted at 1 month and every 3 months after its introduction, and hemoglobin (Hb), ferritin, and transferrin saturation (TSAT) levels were compared. At 1 month after conversion to roxadustat, Hb levels increased in all cases, the use of roxadustat was suspended/decreased in 2 cases who had Hb overshoot at 1 month, and ferritin and TSAT levels decreased in the initial stage of roxadustat conversion. During a 9-month period, Hb levels tended to increase in cases receiving oral iron administration, graft function was hardly affected, and there were no complications such as thrombosis. In conclusion, conversion from ESA to roxadustat was effective in the treatment of PTA. However, our overshoot case suggested that it might be better to start at a low dose in patients with low body weight, those undergoing iron administration, and those receiving a low dose of ESA. Furthermore, the low levels of ferritin and TSAT we observed at an early stage after roxadustat conversion suggested that there was an increased efficiency in iron utilization.","container-title":"Transplantation Proceedings","DOI":"10.1016/j.transproceed.2021.10.022","ISSN":"1873-2623","issue":"2","journalAbbreviation":"Transplant Proc","language":"eng","note":"PMID: 35120763","page":"544-548","source":"PubMed","title":"Experience With the Use of a Novel Agent, Hypoxia-Inducible Factor Prolyl Hydroxylase Inhibitor, for Posttransplant Anemia in Renal Transplant Recipients: A Case Report","title-short":"Experience With the Use of a Novel Agent, Hypoxia-Inducible Factor Prolyl Hydroxylase Inhibitor, for Posttransplant Anemia in Renal Transplant Recipients","volume":"54","author":[{"family":"Naganuma","given":"Toshihide"},{"family":"Iwai","given":"Tomoaki"},{"family":"Takemoto","given":"Yoshiaki"},{"family":"Uchida","given":"Junji"}],"issued":{"date-parts":[["2022",3]]}}},{"id":18810,"uris":["http://zotero.org/users/3444308/items/I7EQ75XY"],"itemData":{"id":18810,"type":"article-journal","container-title":"Clinical Kidney Journal","DOI":"10.1093/ckj/sfac015","ISSN":"2048-8505","issue":"5","journalAbbreviation":"Clin Kidney J","language":"eng","note":"PMID: 35498897\nPMCID: PMC9050531","page":"1024-1026","source":"PubMed","title":"Hypoxia-inducible factor prolyl hydroxylase inhibitors in kidney transplant recipients","volume":"15","author":[{"family":"Ogata","given":"Masatomo"},{"family":"Miyauchi","given":"Takamasa"},{"family":"Sakurai","given":"Yuko"},{"family":"Murata","given":"Marie"},{"family":"Shinoda","given":"Kazunobu"},{"family":"Shibagaki","given":"Yugo"},{"family":"Yazawa","given":"Masahiko"}],"issued":{"date-parts":[["2022",5]]}}},{"id":18808,"uris":["http://zotero.org/users/3444308/items/FYHR5FX6"],"itemData":{"id":18808,"type":"article-journal","abstract":"BACKGROUND: The present study aimed to clarify the efficacy and safety of hypoxia-inducible factor prolyl hydroxylase inhibitor (HIF-PHI) therapy for anemia in renal transplant (RTx) patients.\nMETHODS: After successful RTx, 26 patients requiring treatment for anemia were divided into 2 groups (erythropoiesis-stimulating agent [ESA] group and non-ESA group) based on whether an ESA was used before starting HIF-PHI therapy. The chronological changes in hemoglobin (Hb) values during the 6 months after the start of HIF-PHI therapy were investigated in each group, and the incidence of adverse events was compared.\nRESULTS: There were 18 patients in the ESA group and 8 patients in the non-ESA group. The median (IQR) Hb values in the 2 groups were 11.35 (10.4-12.3) and 10.15 (8.9-10.4) g/dL, respectively. The chronological changes in the median (IQR) Hb values pre-HIF-PHI and 1, 3, and 6 months after starting HIF-PHI were 11.4 (10.4-12.4), 12.0 (10.7-12.4), 11.9 (10.9-13.4), and 11.5 (10.6-12.7) g/dL, respectively, in the ESA group, and 10.2 (8.7-10.4), 11.0 (10.4-11.7), 12.2 (11.6-13.2), and 12.5 (11.3-12.7) g/dL, respectively, in the non-ESA group. In the ESA group, Hb values were not significantly decreased after HIF-PHI administration (P = .14); in the non-ESA group, Hb values improved significantly (P = .002). Two patients developed diarrhea in the ESA group, and one patient developed appetite loss in the non-ESA group.\nCONCLUSIONS: Hypoxia-inducible factor prolyl hydroxylase inhibitor was effective and safe for RTx patients regardless of prior ESA use.","container-title":"Transplantation Proceedings","DOI":"10.1016/j.transproceed.2023.03.062","ISSN":"1873-2623","issue":"4","journalAbbreviation":"Transplant Proc","language":"eng","note":"PMID: 37105829","page":"829-831","source":"PubMed","title":"Efficacy and Safety of Hypoxia-Inducible Factor Prolyl Hydroxylase Inhibitor Therapy for Anemia in Renal Transplantation Patients by Prior Erythropoiesis Stimulating Agent Use","volume":"55","author":[{"family":"Nakamura","given":"Nobuyuki"},{"family":"Aso","given":"Shintaro"},{"family":"Nakagawa","given":"Chizuru"},{"family":"Tachibana","given":"Masahiro"},{"family":"Fujikawa","given":"Aiko"},{"family":"Tsubouchi","given":"Kazuna"},{"family":"Gunge","given":"Naotaka"},{"family":"Miyazaki","given":"Takeshi"},{"family":"Okabe","given":"Yu"},{"family":"Matsuzaki","given":"Hiroshi"},{"family":"Matsuoka","given":"Hirofumi"},{"family":"Haga","given":"Nobuhiro"}],"issued":{"date-parts":[["2023",5]]}}}],"schema":"https://github.com/citation-style-language/schema/raw/master/csl-citation.json"} </w:instrText>
      </w:r>
      <w:r>
        <w:fldChar w:fldCharType="separate"/>
      </w:r>
      <w:r w:rsidR="002D20B5" w:rsidRPr="002D20B5">
        <w:rPr>
          <w:rFonts w:ascii="Aptos" w:hAnsi="Aptos" w:cs="Times New Roman"/>
          <w:sz w:val="22"/>
          <w:vertAlign w:val="superscript"/>
        </w:rPr>
        <w:t>399–404</w:t>
      </w:r>
      <w:r>
        <w:fldChar w:fldCharType="end"/>
      </w:r>
      <w:r w:rsidRPr="00FF3619">
        <w:t>. Studies with long term follow-up are lacking.  Reported adverse events include overcorrection of anaemia and low iron stores. There is also a potential theoretical risk of malignancy with HIF-PHIs use</w:t>
      </w:r>
      <w:r w:rsidRPr="00FF3619">
        <w:rPr>
          <w:b/>
          <w:bCs/>
        </w:rPr>
        <w:t>. This is of important consideration when counselling the patient prior to their use, as KTRs are already at a higher risk to developing post-transplant neoplasia</w:t>
      </w:r>
      <w:r>
        <w:rPr>
          <w:b/>
          <w:bCs/>
        </w:rPr>
        <w:t xml:space="preserve"> </w:t>
      </w:r>
      <w:r>
        <w:rPr>
          <w:b/>
          <w:bCs/>
        </w:rPr>
        <w:fldChar w:fldCharType="begin"/>
      </w:r>
      <w:r w:rsidR="002D20B5">
        <w:rPr>
          <w:b/>
          <w:bCs/>
        </w:rPr>
        <w:instrText xml:space="preserve"> ADDIN ZOTERO_ITEM CSL_CITATION {"citationID":"7PgkqHal","properties":{"formattedCitation":"\\super 405,406\\nosupersub{}","plainCitation":"405,406","noteIndex":0},"citationItems":[{"id":18803,"uris":["http://zotero.org/users/3444308/items/ZEXWVGH6"],"itemData":{"id":18803,"type":"article-journal","abstract":"Anemia is common after kidney transplantation. The etiology may be multifactorial, such as causes of anemia in the general population and causes that are unique to the kidney transplant setting. Posttransplant anemia, particularly when severe, may be associated with adverse effects such as graft failure, mortality, and a decline in kidney function. After careful investigation, that is, having excluded or treated reversible causes of anemia, treatment of anemia in patients with a kidney transplant is based on iron supplementation or erythropoiesis-stimulating agents (ESA), although there are no specific guidelines on anemia management in this patient population. Iron therapy is often needed, but optimal and safe iron-deficiency management strategies remain to be defined. Evidence suggests that ESAs are safe and potentially associated with favorable outcomes. Better graft function has been reported with ESA use targeting hemoglobin levels higher than those recommended in the general population with chronic kidney disease and with no apparent increased risk of cardiovascular events. These results require further investigation. Data on the use of hypoxia-inducible factor inhibitors are limited. Prevention and treatment of anemia in kidney transplantation can improve patients' quality of life, life expectancy, allograft function, and survival.","container-title":"Kidney Medicine","DOI":"10.1016/j.xkme.2023.100681","ISSN":"2590-0595","issue":"8","journalAbbreviation":"Kidney Med","language":"eng","note":"PMID: 37415623\nPMCID: PMC10320602","page":"100681","source":"PubMed","title":"Treatment Options for Anemia in Kidney Transplant Patients: A Review","title-short":"Treatment Options for Anemia in Kidney Transplant Patients","volume":"5","author":[{"family":"Bonomini","given":"Mario"},{"family":"Di Liberato","given":"Lorenzo"},{"family":"Sirolli","given":"Vittorio"}],"issued":{"date-parts":[["2023",8]]}}},{"id":18804,"uris":["http://zotero.org/users/3444308/items/YK6B57Z4"],"itemData":{"id":18804,"type":"article-journal","abstract":"Hypoxia-inducible factor prolyl hydroxylase inhibitors (HIF-PHIs) are new drugs developed for the treatment of anemia associated with chronic kidney disease (CKD). This class of drugs stimulates endogenous erythropoietin production and, at the same time, improves iron absorption and mobilization of iron stores (less evident with daprodustat, vadadustat and enarodustat). Several studies have been published in the last few years showing that these agents are not inferior to standard therapy in correcting anemia associated with CKD. The efficacy of HIF-PHIs is coupled with a safety profile comparable to that of standard erythropoiesis stimulating agent (ESA) treatment. However, studies with HIF-PHIs were not long enough to definitively exclude the impact of new drugs on adverse events, such as cancer, death and possibly cardiovascular events, that usually occur after a long follow-up period. Kidney Disease: Improving Global Outcomes (KDIGO) recently reported the conclusions of the Controversies Conference on HIF-PHIs held in 2021. The goal of the present position paper endorsed by the Italian Society of Nephrology is to better adapt the conclusions of the latest KDIGO Conference on HIF-PHIs to the Italian context by reviewing the efficacy and safety of HIF-PHIs as well as their use in subpopulations of interest as emerged from more recent publications not discussed during the KDIGO Conference.","container-title":"Journal of Nephrology","DOI":"10.1007/s40620-024-01937-4","ISSN":"1724-6059","issue":"3","journalAbbreviation":"J Nephrol","language":"eng","note":"PMID: 38705934\nPMCID: PMC11150321","page":"753-767","source":"PubMed","title":"Consensus commentary and position of the Italian Society of Nephrology on KDIGO controversies conference on novel anemia therapies in chronic kidney disease","volume":"37","author":[{"family":"Locatelli","given":"Francesco"},{"family":"Del Vecchio","given":"Lucia"},{"family":"Esposito","given":"Ciro"},{"family":"Gesualdo","given":"Loreto"},{"family":"Grandaliano","given":"Giuseppe"},{"family":"Ravera","given":"Maura"},{"literal":"Collaborative Study Group on the Conservative Treatment of CKD of the Italian Society of Nephrology"},{"family":"Minutolo","given":"Roberto"}],"issued":{"date-parts":[["2024",4]]}}}],"schema":"https://github.com/citation-style-language/schema/raw/master/csl-citation.json"} </w:instrText>
      </w:r>
      <w:r>
        <w:rPr>
          <w:b/>
          <w:bCs/>
        </w:rPr>
        <w:fldChar w:fldCharType="separate"/>
      </w:r>
      <w:r w:rsidR="002D20B5" w:rsidRPr="002D20B5">
        <w:rPr>
          <w:rFonts w:ascii="Aptos" w:hAnsi="Aptos" w:cs="Times New Roman"/>
          <w:sz w:val="22"/>
          <w:vertAlign w:val="superscript"/>
        </w:rPr>
        <w:t>405,406</w:t>
      </w:r>
      <w:r>
        <w:rPr>
          <w:b/>
          <w:bCs/>
        </w:rPr>
        <w:fldChar w:fldCharType="end"/>
      </w:r>
      <w:r w:rsidRPr="00FF3619">
        <w:t>. RCT studies are required to demonstrate the long-term efficacy and safety of such therapy in KTRs with PTA.</w:t>
      </w:r>
    </w:p>
    <w:p w14:paraId="3310B0C2" w14:textId="77777777" w:rsidR="00426BCE" w:rsidRPr="00FF3619" w:rsidRDefault="00426BCE" w:rsidP="00516860">
      <w:pPr>
        <w:pStyle w:val="GuidelineSubheadings"/>
      </w:pPr>
      <w:r w:rsidRPr="00FF3619">
        <w:t xml:space="preserve">SGLT2 inhibitors </w:t>
      </w:r>
    </w:p>
    <w:p w14:paraId="05F1F73D" w14:textId="7B0E1406" w:rsidR="00426BCE" w:rsidRPr="00FF3619" w:rsidRDefault="00426BCE" w:rsidP="00516860">
      <w:r w:rsidRPr="00FF3619">
        <w:t>In addition to their cardiovascular and nephroprotective benefits, SGLT2 inhibitors have been shown to provide a benefit in correcting anaemia in the non-transplant CKD population and patients with heart failure, independent of the diuretic effect</w:t>
      </w:r>
      <w:r>
        <w:t xml:space="preserve"> </w:t>
      </w:r>
      <w:r>
        <w:fldChar w:fldCharType="begin"/>
      </w:r>
      <w:r w:rsidR="002D20B5">
        <w:instrText xml:space="preserve"> ADDIN ZOTERO_ITEM CSL_CITATION {"citationID":"pzD9jCXf","properties":{"formattedCitation":"\\super 407\\uc0\\u8211{}411\\nosupersub{}","plainCitation":"407–411","noteIndex":0},"citationItems":[{"id":18801,"uris":["http://zotero.org/users/3444308/items/QNTZIHTJ"],"itemData":{"id":18801,"type":"article-journal","abstract":"OBJECTIVE: In the BI 10773 (Empagliflozin) Cardiovascular Outcome Event Trial in Type 2 Diabetes Mellitus Patients (EMPA-REG OUTCOME) trial involving 7,020 patients with type 2 diabetes and established cardiovascular (CV) disease, empagliflozin given in addition to standard of care reduced the risk of CV death by 38% versus placebo (hazard ratio [HR] 0.62 [95% CI 0.49, 0.77]). This exploratory mediation analysis assesses the extent to which treatment group differences in covariates during the trial contributed to CV death risk reduction with empagliflozin.\nRESEARCH DESIGN AND METHODS: Effects of potential mediators, identified post hoc, on the HR for CV death with empagliflozin versus placebo were analyzed by Cox regression models, with treatment group adjusted for the baseline value of the variable and its change from baseline or updated mean (i.e., considering all prior values), each as a time-dependent covariate. HRs were compared with a model without adjustment for covariates. Multivariable analyses also were performed.\nRESULTS: Changes in hematocrit and hemoglobin mediated 51.8% and 48.9%, respectively, of the effect of empagliflozin versus placebo on the risk of CV death on the basis of changes from baseline, with similar results in analyses on the basis of updated means. Smaller mediation effects (maximum 29.3%) were observed for uric acid, fasting plasma glucose, and HbA1c. In multivariable models, which incorporated effects of empagliflozin on hematocrit, fasting glucose, uric acid, and urine albumin:creatinine ratio, the combined changes from baseline provided 85.2% mediation, whereas updated mean analyses provided 94.6% mediation of the effect of empagliflozin on CV death.\nCONCLUSIONS: In this exploratory analysis from the EMPA-REG OUTCOME trial, changes in markers of plasma volume were the most important mediators of the reduction in risk of CV death with empagliflozin versus placebo.","container-title":"Diabetes Care","DOI":"10.2337/dc17-1096","ISSN":"1935-5548","issue":"2","journalAbbreviation":"Diabetes Care","language":"eng","note":"PMID: 29203583","page":"356-363","source":"PubMed","title":"How Does Empagliflozin Reduce Cardiovascular Mortality? Insights From a Mediation Analysis of the EMPA-REG OUTCOME Trial","title-short":"How Does Empagliflozin Reduce Cardiovascular Mortality?","volume":"41","author":[{"family":"Inzucchi","given":"Silvio E."},{"family":"Zinman","given":"Bernard"},{"family":"Fitchett","given":"David"},{"family":"Wanner","given":"Christoph"},{"family":"Ferrannini","given":"Ele"},{"family":"Schumacher","given":"Martin"},{"family":"Schmoor","given":"Claudia"},{"family":"Ohneberg","given":"Kristin"},{"family":"Johansen","given":"Odd Erik"},{"family":"George","given":"Jyothis T."},{"family":"Hantel","given":"Stefan"},{"family":"Bluhmki","given":"Erich"},{"family":"Lachin","given":"John M."}],"issued":{"date-parts":[["2018",2]]}}},{"id":18800,"uris":["http://zotero.org/users/3444308/items/WPE2BIXR"],"itemData":{"id":18800,"type":"article-journal","abstract":"BACKGROUND: Anaemia is a common finding in diabetes, particularly in those patients with albuminuria or renal dysfunction and is associated with impaired erythropoietin (EPO) secretion. This review focuses on mechanisms involved in the regulation of erythropoiesis in diabetic patients in an effort to elucidate the competing effects of the renin angiotensin system (RAS) blockade and sodium-glucose cotransporter-2 (SGLT2) inhibitors on haemoglobin concentration and hematocrit values.\nSUMMARY: The RAS shows significant activation in diabetic subjects. Angiotensin II, its active octapeptide, causes renal tubulointerstitial hypoxia, which stimulates hypoxia-inducible factors (HIF) and increases EPO secretion and erythropoiesis. As expected, drugs that inactivate RAS, such as angiotensin converting enzyme inhibitors or angiotensin receptor blockers (ACEi/ARB) are associated with a significant hematocrit-lowering effect and/or anaemia in various clinical conditions, including diabetes. Dual blockade by a combination of ACEi and ARB in diabetic patients achieves a better RAS inhibition, but at the same time a worse drop of haemoglobin concentration. Increased glucose reabsorption by SGLTs in diabetic subjects generates a high-glucose environment in renal tubulointerstitium, which may impair HIF-1, damage renal erythropoietin-producing cells (REPs) and decrease EPO secretion and erythropoiesis. SGLT2 inhibitors, which inhibit glucose reabsorption, may attenuate glucotoxicity in renal tubulointerstitium, allowing REPs to resume their function and increase EPO secretion. Indeed, EPO levels increase within a few weeks after initiation of therapy with all known SGLT2 inhibitors, followed by increased reticulocyte count and a gradual elevation of haemoglobin concentration and hematocrit level, which reach zenith values after 2-3 months. Key Messages: The competing effects of RAS blockade and SGLT2 inhibitors on erythropoiesis may have important clinical implications. The rise of hematocrit values by SGLT2 inhibitors given on top of RAS blockade in recent outcome trials may significantly contribute to the cardiorenal protection attained. The relative contribution of each system to erythropoiesis and outcome remains to be revealed in future studies.","container-title":"American Journal of Nephrology","DOI":"10.1159/000507272","ISSN":"1421-9670","issue":"5","journalAbbreviation":"Am J Nephrol","language":"eng","note":"PMID: 32241009","page":"349-356","source":"PubMed","title":"Competing Effects of Renin Angiotensin System Blockade and Sodium-Glucose Cotransporter-2 Inhibitors on Erythropoietin Secretion in Diabetes","volume":"51","author":[{"family":"Marathias","given":"Katerina P."},{"family":"Lambadiari","given":"Vaia A."},{"family":"Markakis","given":"Konstantinos P."},{"family":"Vlahakos","given":"Vassilios D."},{"family":"Bacharaki","given":"Dimitra"},{"family":"Raptis","given":"Athanasios E."},{"family":"Dimitriadis","given":"George D."},{"family":"Vlahakos","given":"Demetrios V."}],"issued":{"date-parts":[["2020"]]}}},{"id":18799,"uris":["http://zotero.org/users/3444308/items/G6LYGGZA"],"itemData":{"id":18799,"type":"article-journal","abstract":"AIM: Anaemia is common in heart failure and associated with worse outcomes. We examined the effect of dapagliflozin on correction of anaemia in patients with heart failure (HF) and reduced ejection fraction in DAPA-HF. We also analysed the effect of dapagliflozin on outcomes, according to anaemia status at baseline.\nMETHODS AND RESULTS: Anaemia was defined at baseline as a haematocrit &lt;39% in men and &lt;36% in women. Resolution of anaemia was defined as two consecutive haematocrit measurements above these thresholds at any time during follow-up. The primary outcome was a composite of worsening HF (hospitalization or urgent visit requiring intravenous therapy) or cardiovascular death. Of the 4744 patients randomized in DAPA-HF, 4691 had a haematocrit available at baseline, of which 1032 were anaemic (22.0%). The rate of the primary outcome was higher in patients with anaemia (16.1 per 100 person-years) compared with those without (12.9 per 100 person-years). Anaemia was corrected in 62.2% of patients in the dapagliflozin group, compared with 41.1% of patients in the placebo group. The effect of dapagliflozin on the primary outcome was consistent in anaemic compared with non-anaemic patients [hazard ratio (HR) 0.68, 95% confidence interval (CI) 0.52-0.88 vs. HR 0.76, 95% CI 0.65-0.89; interaction P =</w:instrText>
      </w:r>
      <w:r w:rsidR="002D20B5">
        <w:rPr>
          <w:rFonts w:ascii="Arial" w:hAnsi="Arial" w:cs="Arial"/>
        </w:rPr>
        <w:instrText> </w:instrText>
      </w:r>
      <w:r w:rsidR="002D20B5">
        <w:instrText>0.44]. Similar findings were observed for cardiovascular death, HF hospitalization, and all-cause mortality. Patients with resolution of anaemia had better outcomes than those in which anaemia persisted.\nCONCLUSION: Patients with anaemia had worse outcomes in DAPA-HF. Dapagliflozin corrected anaemia more often than placebo and improved outcomes, irrespective of anaemia status at baseline.","container-title":"European Journal of Heart Failure","DOI":"10.1002/ejhf.2132","ISSN":"1879-0844","issue":"4","journalAbbreviation":"Eur J Heart Fail","language":"eng","note":"PMID: 33615642\nPMCID: PMC11497230","page":"617-628","source":"PubMed","title":"Effect of dapagliflozin on anaemia in DAPA-HF","volume":"23","author":[{"family":"Docherty","given":"Kieran F."},{"family":"Curtain","given":"James P."},{"family":"Anand","given":"Inder S."},{"family":"Bengtsson","given":"Olof"},{"family":"Inzucchi","given":"Silvio E."},{"family":"Køber","given":"Lars"},{"family":"Kosiborod","given":"Mikhail N."},{"family":"Langkilde","given":"Anna Maria"},{"family":"Martinez","given":"Felipe A."},{"family":"Ponikowski","given":"Piotr"},{"family":"Sabatine","given":"Marc S."},{"family":"Schou","given":"Morten"},{"family":"Sjöstrand","given":"Mikaela"},{"family":"Solomon","given":"Scott D."},{"family":"Jhund","given":"Pardeep S."},{"family":"McMurray","given":"John J. V."},{"literal":"DAPA-HF Investigators and Committees"}],"issued":{"date-parts":[["2021",4]]}}},{"id":18798,"uris":["http://zotero.org/users/3444308/items/RYYK85T5"],"itemData":{"id":18798,"type":"article-journal","abstract":"BACKGROUND: In the DAPA-CKD (Dapagliflozin in Patients with Chronic Kidney Disease) trial, dapagliflozin improved kidney and cardiovascular outcomes in patients with chronic kidney disease (CKD) with or without type 2 diabetes (T2D). In this post hoc analysis of DAPA-CKD, we assessed the effects of dapagliflozin on the correction and prevention of anemia. METHODS: The DAPA-CKD trial randomized patients (1:1) with an estimated glomerular filtration rate of 25 to 75</w:instrText>
      </w:r>
      <w:r w:rsidR="002D20B5">
        <w:rPr>
          <w:rFonts w:ascii="Arial" w:hAnsi="Arial" w:cs="Arial"/>
        </w:rPr>
        <w:instrText> </w:instrText>
      </w:r>
      <w:r w:rsidR="002D20B5">
        <w:instrText>ml/min/1.73 m2 and a urinary albumin-to-creatinine ratio of 200 to 5000</w:instrText>
      </w:r>
      <w:r w:rsidR="002D20B5">
        <w:rPr>
          <w:rFonts w:ascii="Arial" w:hAnsi="Arial" w:cs="Arial"/>
        </w:rPr>
        <w:instrText> </w:instrText>
      </w:r>
      <w:r w:rsidR="002D20B5">
        <w:instrText>mg/g to receive dapagliflozin 10</w:instrText>
      </w:r>
      <w:r w:rsidR="002D20B5">
        <w:rPr>
          <w:rFonts w:ascii="Arial" w:hAnsi="Arial" w:cs="Arial"/>
        </w:rPr>
        <w:instrText> </w:instrText>
      </w:r>
      <w:r w:rsidR="002D20B5">
        <w:instrText>mg or placebo daily. Hematocrit was measured at baseline, 2 weeks, 2 and 4</w:instrText>
      </w:r>
      <w:r w:rsidR="002D20B5">
        <w:rPr>
          <w:rFonts w:ascii="Arial" w:hAnsi="Arial" w:cs="Arial"/>
        </w:rPr>
        <w:instrText> </w:instrText>
      </w:r>
      <w:r w:rsidR="002D20B5">
        <w:instrText>months, and every 4</w:instrText>
      </w:r>
      <w:r w:rsidR="002D20B5">
        <w:rPr>
          <w:rFonts w:ascii="Arial" w:hAnsi="Arial" w:cs="Arial"/>
        </w:rPr>
        <w:instrText> </w:instrText>
      </w:r>
      <w:r w:rsidR="002D20B5">
        <w:instrText>months thereafter. Anemia was defined as hematocrit less than 39% in men and less than 36% in women. Correction and incidence of anemia were defined as two consecutive measurements above or below these thresholds relative to baseline, respectively, during follow-up. We classified anemia-related adverse events using data from site investigator reports. RESULTS: Mean age of the 4304 participants was 61.8 years, and 67.5% had T2D. Among the 4292 (99.7%) participants with baseline hematocrit data, 1716 (40.0%) had anemia. Over the 2.4-year median follow-up, patients assigned to dapagliflozin had an increase in hematocrit of 2.3 percentage points (95% confidence interval [CI], 2.1 to 2.5) greater than those assigned to placebo. Among patients with anemia at baseline, anemia was corrected in 443 (53.3%) patients randomized to receive dapagliflozin and 247 (29.4%) patients randomized to receive placebo (hazard ratio, 2.29; 95% CI, 1.96 to 2.68). Among patients without anemia at baseline, 10.4% of patients assigned to dapagliflozin developed incident anemia compared with 23.7% in the placebo group (hazard ratio, 0.39; 95% CI, 0.31 to 0.48). Anemia-related adverse events occurred in 2.2% of patients assigned to dapagliflozin compared with 3.8% assigned to placebo. Effects of dapagliflozin on the correction and prevention of anemia were consistent in patients with and without T2D. The adverse event profile was similar to that known for dapagliflozin. CONCLUSIONS: This exploratory analysis suggests that dapagliflozin is associated with the prevention or correction of anemia in patients with CKD with and without T2D. (Funded by AstraZeneca; ClinicalTrials.gov number, NCT03036150.)","container-title":"NEJM evidence","DOI":"10.1056/EVIDoa2300049","ISSN":"2766-5526","issue":"6","journalAbbreviation":"NEJM Evid","language":"eng","note":"PMID: 38320128","page":"EVIDoa2300049","source":"PubMed","title":"Dapagliflozin and Anemia in Patients with Chronic Kidney Disease","volume":"2","author":[{"family":"Koshino","given":"Akihiko"},{"family":"Schechter","given":"Meir"},{"family":"Chertow","given":"Glenn M."},{"family":"Vart","given":"Priya"},{"family":"Jongs","given":"Niels"},{"family":"Toto","given":"Robert D."},{"family":"Rossing","given":"Peter"},{"family":"Correa-Rotter","given":"Ricardo"},{"family":"McMurray","given":"John J. V."},{"family":"Górriz","given":"Jose Luis"},{"family":"Isidto","given":"Rey"},{"family":"Kashihara","given":"Naoki"},{"family":"Langkilde","given":"Anna Maria"},{"family":"Wheeler","given":"David C."},{"family":"Heerspink","given":"Hiddo J. L."}],"issued":{"date-parts":[["2023",6]]}}},{"id":18802,"uris":["http://zotero.org/users/3444308/items/ZVN3MPC6"],"itemData":{"id":18802,"type":"article-journal","abstract":"IMPORTANCE: Sodium-glucose cotransporter 2 (SGLT2) inhibitors are associated with lower anemia risk, based on findings from post hoc analyses of the CREDENCE and DAPA-CKD trials; however, the effectiveness of SGLT2 inhibitors in a more generalizable type 2 diabetes (T2D) and chronic kidney disease (CKD) population, with active comparisons pertinent to current practice, is unknown.\nOBJECTIVE: To evaluate and compare anemia incidence between SGLT2 inhibitors and glucagon-like peptide-1 receptor agonists (GLP-1 RAs) among patients with T2D and CKD stages 1 to 3.\nDESIGN, SETTING, AND PARTICIPANTS: This retrospective cohort study used target trial emulation of an expanded CREDENCE and DAPA-CKD study framework. The study was conducted among adults with T2D and CKD initiating SGLT2 inhibitors or GLP-1 RAs between January 1, 2016, and December 31, 2021, with follow-up until December 31, 2022. The study was conducted at the Chang Gung Medical Foundation, the largest multi-institutional hospital system in Taiwan.\nEXPOSURES: Initiation of SGLT2 inhibitors or GLP-1 RAs.\nMAIN OUTCOMES AND MEASURES: The primary outcome was a composite of anemia outcomes, including anemia event occurrence (hemoglobin level &lt;12-13 g/dL or International Statistical Classification of Diseases, Tenth Revision, Clinical Modification diagnosis codes) or anemia treatment initiation. Changes in hematological parameters, including hemoglobin level, hematocrit level, and red blood cell count, were evaluated during the follow-up period for as long as 3 years.\nRESULTS: The cohort included a total of 13</w:instrText>
      </w:r>
      <w:r w:rsidR="002D20B5">
        <w:rPr>
          <w:rFonts w:ascii="Arial" w:hAnsi="Arial" w:cs="Arial"/>
        </w:rPr>
        <w:instrText> </w:instrText>
      </w:r>
      <w:r w:rsidR="002D20B5">
        <w:instrText>799 patients with T2D and CKD, initiating SGLT2 inhibitors (12</w:instrText>
      </w:r>
      <w:r w:rsidR="002D20B5">
        <w:rPr>
          <w:rFonts w:ascii="Arial" w:hAnsi="Arial" w:cs="Arial"/>
        </w:rPr>
        <w:instrText> </w:instrText>
      </w:r>
      <w:r w:rsidR="002D20B5">
        <w:instrText xml:space="preserve">331 patients; mean [SD] age, 62.4 [12.3] years; 7548 [61.2%] male) or GLP-1 RAs (1468 patients; mean [SD] age, 61.5 [13.3] years; 900 [61.3%] male). After the median follow-up period of 2.5 years, patients receiving SGLT2 inhibitors had lower incidence of composite anemia outcomes (hazard ratio [HR], 0.81; 95% CI, 0.73-0.90) compared with those receiving GLP-1 RAs. SGLT2 inhibitors were associated with a lower incidence of anemia events (HR, 0.79; 95% CI, 0.71-0.87) but not with a lower rate of anemia treatment initiation (HR, 0.99; 95% CI, 0.83-1.19). Changes in hematological parameters for SGLT2 inhibitors and GLP-1 RAs throughout the 3-year follow-up period supported the primary analyses.\nCONCLUSIONS AND RELEVANCE: In this multi-institutional cohort study with target trial emulation, SGLT2 inhibitors were associated with a decreased risk of composite anemia outcomes, especially anemia event occurrences. SGLT2 inhibitors may be considered as an adjunct therapy to reduce anemia incidence in patients with T2D and CKD.","container-title":"JAMA network open","DOI":"10.1001/jamanetworkopen.2024.0946","ISSN":"2574-3805","issue":"3","journalAbbreviation":"JAMA Netw Open","language":"eng","note":"PMID: 38436955\nPMCID: PMC10912959","page":"e240946","source":"PubMed","title":"Use of SGLT2 Inhibitors vs GLP-1 RAs and Anemia in Patients With Diabetes and CKD","volume":"7","author":[{"family":"Hu","given":"Jia-Chian"},{"family":"Shao","given":"Shih-Chieh"},{"family":"Tsai","given":"Daniel Hsiang-Te"},{"family":"Chuang","given":"Albert Tzu-Ming"},{"family":"Liu","given":"Kuan-Hung"},{"family":"Lai","given":"Edward Chia-Cheng"}],"issued":{"date-parts":[["2024",3,4]]}}}],"schema":"https://github.com/citation-style-language/schema/raw/master/csl-citation.json"} </w:instrText>
      </w:r>
      <w:r>
        <w:fldChar w:fldCharType="separate"/>
      </w:r>
      <w:r w:rsidR="002D20B5" w:rsidRPr="002D20B5">
        <w:rPr>
          <w:rFonts w:ascii="Aptos" w:hAnsi="Aptos" w:cs="Times New Roman"/>
          <w:sz w:val="22"/>
          <w:vertAlign w:val="superscript"/>
        </w:rPr>
        <w:t>407–411</w:t>
      </w:r>
      <w:r>
        <w:fldChar w:fldCharType="end"/>
      </w:r>
      <w:r w:rsidRPr="00FF3619">
        <w:t xml:space="preserve">. Further data is required to better clarify the mechanism underlying this effect and its relevance in clinical practice. </w:t>
      </w:r>
    </w:p>
    <w:p w14:paraId="2EA692F0" w14:textId="097C06C6" w:rsidR="00516860" w:rsidRDefault="00426BCE" w:rsidP="00516860">
      <w:r w:rsidRPr="00FF3619">
        <w:t>The available evidence on the long-term safety and efficacy of SGLT2</w:t>
      </w:r>
      <w:r w:rsidR="009407FC">
        <w:t xml:space="preserve"> inhibitors</w:t>
      </w:r>
      <w:r w:rsidRPr="00FF3619">
        <w:t xml:space="preserve"> therapy in KTRs is limited. A review of 11 available studies confirmed the effects of SGLT2</w:t>
      </w:r>
      <w:r w:rsidR="009407FC">
        <w:t xml:space="preserve"> inhibitors</w:t>
      </w:r>
      <w:r w:rsidRPr="00FF3619">
        <w:t xml:space="preserve"> on glycaemic control and weight in KTRs with underlying diabetes</w:t>
      </w:r>
      <w:r>
        <w:t xml:space="preserve"> </w:t>
      </w:r>
      <w:r>
        <w:fldChar w:fldCharType="begin"/>
      </w:r>
      <w:r w:rsidR="002D20B5">
        <w:instrText xml:space="preserve"> ADDIN ZOTERO_ITEM CSL_CITATION {"citationID":"3UaQTeYk","properties":{"formattedCitation":"\\super 412\\nosupersub{}","plainCitation":"412","noteIndex":0},"citationItems":[{"id":18797,"uris":["http://zotero.org/users/3444308/items/LYTIL68W"],"itemData":{"id":18797,"type":"article-journal","abstract":"Sodium-glucose cotransporter type 2 inhibitors (SGLT2i) are promising drugs to treat chronic kidney disease patients with or without diabetes mellitus (DM). Besides improving glycemic control, SGLT2i are cardioprotective and kidney protective and decrease bodyweight, serum uric acid, blood pressure, albuminuria and glomerular hyperfiltration. These effects may benefit graft function and survival in kidney transplant (KT) patients. In this review, we evaluate data on the efficacy and safety of SGLT2i for KT patients with DM. Eleven studies with 214 diabetic KT patients treated with SGLT2i have been reported. SGLT2i lowered haemoglobin A1c and bodyweight. While glomerular filtration rate may be reduced in the short-term, it remained similar to baseline after 3-12</w:instrText>
      </w:r>
      <w:r w:rsidR="002D20B5">
        <w:rPr>
          <w:rFonts w:ascii="Arial" w:hAnsi="Arial" w:cs="Arial"/>
        </w:rPr>
        <w:instrText> </w:instrText>
      </w:r>
      <w:r w:rsidR="002D20B5">
        <w:instrText xml:space="preserve">months. In two studies, blood pressure decreased and remained unchanged in the others. There were no significant changes in urine protein to creatinine ratio. Regarding safety, 23 patients had urinary tract infections, 2 patients had a genital yeast infection, one had acute kidney injury, and one had mild hypoglycaemia. No cases of ketoacidosis or acute rejection were reported. In conclusion, the limited experience so far suggests that SGLT2i are safe in KT patients with DM, decrease bodyweight and improve glycemic control. However, some of the benefits observed in larger studies in the non-KT population have yet to be demonstrated in KT recipients, including preservation of kidney function, reduction in blood pressure and decreased proteinuria.","container-title":"Nephrology (Carlton, Vic.)","DOI":"10.1111/nep.13941","ISSN":"1440-1797","issue":"12","journalAbbreviation":"Nephrology (Carlton)","language":"eng","note":"PMID: 34263502","page":"1007-1017","source":"PubMed","title":"Sodium-glucose cotransporter 2 inhibitors for diabetes mellitus control after kidney transplantation: Review of the current evidence","title-short":"Sodium-glucose cotransporter 2 inhibitors for diabetes mellitus control after kidney transplantation","volume":"26","author":[{"family":"Kanbay","given":"Mehmet"},{"family":"Demiray","given":"Atalay"},{"family":"Afsar","given":"Baris"},{"family":"Karakus","given":"Kagan E."},{"family":"Ortiz","given":"Alberto"},{"family":"Hornum","given":"Mads"},{"family":"Covic","given":"Adrian"},{"family":"Sarafidis","given":"Pantelis"},{"family":"Rossing","given":"Peter"}],"issued":{"date-parts":[["2021",12]]}}}],"schema":"https://github.com/citation-style-language/schema/raw/master/csl-citation.json"} </w:instrText>
      </w:r>
      <w:r>
        <w:fldChar w:fldCharType="separate"/>
      </w:r>
      <w:r w:rsidR="002D20B5" w:rsidRPr="002D20B5">
        <w:rPr>
          <w:rFonts w:ascii="Aptos" w:hAnsi="Aptos" w:cs="Times New Roman"/>
          <w:sz w:val="22"/>
          <w:vertAlign w:val="superscript"/>
        </w:rPr>
        <w:t>412</w:t>
      </w:r>
      <w:r>
        <w:fldChar w:fldCharType="end"/>
      </w:r>
      <w:r w:rsidRPr="00FF3619">
        <w:t xml:space="preserve">. However, there is a lack of evidence for other effects including interaction with immunosuppressive medication, risk of urogenital infections and </w:t>
      </w:r>
      <w:proofErr w:type="spellStart"/>
      <w:r w:rsidRPr="00FF3619">
        <w:t>euglycaemic</w:t>
      </w:r>
      <w:proofErr w:type="spellEnd"/>
      <w:r w:rsidRPr="00FF3619">
        <w:t xml:space="preserve"> DKA due to small sample size and short-term follow up </w:t>
      </w:r>
      <w:r>
        <w:fldChar w:fldCharType="begin"/>
      </w:r>
      <w:r w:rsidR="002D20B5">
        <w:instrText xml:space="preserve"> ADDIN ZOTERO_ITEM CSL_CITATION {"citationID":"mqKMn4Xr","properties":{"formattedCitation":"\\super 412\\nosupersub{}","plainCitation":"412","noteIndex":0},"citationItems":[{"id":18797,"uris":["http://zotero.org/users/3444308/items/LYTIL68W"],"itemData":{"id":18797,"type":"article-journal","abstract":"Sodium-glucose cotransporter type 2 inhibitors (SGLT2i) are promising drugs to treat chronic kidney disease patients with or without diabetes mellitus (DM). Besides improving glycemic control, SGLT2i are cardioprotective and kidney protective and decrease bodyweight, serum uric acid, blood pressure, albuminuria and glomerular hyperfiltration. These effects may benefit graft function and survival in kidney transplant (KT) patients. In this review, we evaluate data on the efficacy and safety of SGLT2i for KT patients with DM. Eleven studies with 214 diabetic KT patients treated with SGLT2i have been reported. SGLT2i lowered haemoglobin A1c and bodyweight. While glomerular filtration rate may be reduced in the short-term, it remained similar to baseline after 3-12</w:instrText>
      </w:r>
      <w:r w:rsidR="002D20B5">
        <w:rPr>
          <w:rFonts w:ascii="Arial" w:hAnsi="Arial" w:cs="Arial"/>
        </w:rPr>
        <w:instrText> </w:instrText>
      </w:r>
      <w:r w:rsidR="002D20B5">
        <w:instrText xml:space="preserve">months. In two studies, blood pressure decreased and remained unchanged in the others. There were no significant changes in urine protein to creatinine ratio. Regarding safety, 23 patients had urinary tract infections, 2 patients had a genital yeast infection, one had acute kidney injury, and one had mild hypoglycaemia. No cases of ketoacidosis or acute rejection were reported. In conclusion, the limited experience so far suggests that SGLT2i are safe in KT patients with DM, decrease bodyweight and improve glycemic control. However, some of the benefits observed in larger studies in the non-KT population have yet to be demonstrated in KT recipients, including preservation of kidney function, reduction in blood pressure and decreased proteinuria.","container-title":"Nephrology (Carlton, Vic.)","DOI":"10.1111/nep.13941","ISSN":"1440-1797","issue":"12","journalAbbreviation":"Nephrology (Carlton)","language":"eng","note":"PMID: 34263502","page":"1007-1017","source":"PubMed","title":"Sodium-glucose cotransporter 2 inhibitors for diabetes mellitus control after kidney transplantation: Review of the current evidence","title-short":"Sodium-glucose cotransporter 2 inhibitors for diabetes mellitus control after kidney transplantation","volume":"26","author":[{"family":"Kanbay","given":"Mehmet"},{"family":"Demiray","given":"Atalay"},{"family":"Afsar","given":"Baris"},{"family":"Karakus","given":"Kagan E."},{"family":"Ortiz","given":"Alberto"},{"family":"Hornum","given":"Mads"},{"family":"Covic","given":"Adrian"},{"family":"Sarafidis","given":"Pantelis"},{"family":"Rossing","given":"Peter"}],"issued":{"date-parts":[["2021",12]]}}}],"schema":"https://github.com/citation-style-language/schema/raw/master/csl-citation.json"} </w:instrText>
      </w:r>
      <w:r>
        <w:fldChar w:fldCharType="separate"/>
      </w:r>
      <w:r w:rsidR="002D20B5" w:rsidRPr="002D20B5">
        <w:rPr>
          <w:rFonts w:ascii="Aptos" w:hAnsi="Aptos" w:cs="Times New Roman"/>
          <w:sz w:val="22"/>
          <w:vertAlign w:val="superscript"/>
        </w:rPr>
        <w:t>412</w:t>
      </w:r>
      <w:r>
        <w:fldChar w:fldCharType="end"/>
      </w:r>
      <w:r w:rsidRPr="00FF3619">
        <w:t>. Larger RCTs with longer follow-up are needed to elucidate the long-term cardiovascular and kidney outcomes of SGLT2i therapy in the transplant setting.</w:t>
      </w:r>
    </w:p>
    <w:p w14:paraId="780C370A" w14:textId="77777777" w:rsidR="00516860" w:rsidRDefault="00516860">
      <w:r>
        <w:br w:type="page"/>
      </w:r>
    </w:p>
    <w:p w14:paraId="341DA9A5" w14:textId="3CA4BF12" w:rsidR="00426BCE" w:rsidRPr="00FF3619" w:rsidRDefault="009B0CA8" w:rsidP="00516860">
      <w:pPr>
        <w:pStyle w:val="GuidelineUpperHeadings"/>
      </w:pPr>
      <w:bookmarkStart w:id="33" w:name="_Toc213749043"/>
      <w:r>
        <w:lastRenderedPageBreak/>
        <w:t>10</w:t>
      </w:r>
      <w:r w:rsidR="00516860">
        <w:t xml:space="preserve">. </w:t>
      </w:r>
      <w:r w:rsidRPr="00306FF4">
        <w:t xml:space="preserve">Kidney Transplant Recipient (KTR): </w:t>
      </w:r>
      <w:r w:rsidR="00426BCE" w:rsidRPr="00FF3619">
        <w:t>Reproductive issues and sexual function in the renal transplant recipient</w:t>
      </w:r>
      <w:bookmarkEnd w:id="33"/>
    </w:p>
    <w:p w14:paraId="5868D28B" w14:textId="4CE29F1B" w:rsidR="00426BCE" w:rsidRPr="00FF3619" w:rsidRDefault="00426BCE" w:rsidP="001161CA">
      <w:r w:rsidRPr="00FF3619">
        <w:t xml:space="preserve">After renal transplantation, female fertility returns within less than 6 months </w:t>
      </w:r>
      <w:r>
        <w:fldChar w:fldCharType="begin"/>
      </w:r>
      <w:r w:rsidR="002D20B5">
        <w:instrText xml:space="preserve"> ADDIN ZOTERO_ITEM CSL_CITATION {"citationID":"W4RJpmmA","properties":{"formattedCitation":"\\super 413\\nosupersub{}","plainCitation":"413","noteIndex":0},"citationItems":[{"id":18796,"uris":["http://zotero.org/users/3444308/items/L6ZWZ3B2"],"itemData":{"id":18796,"type":"article-journal","abstract":"BACKGROUND: Chronic renal failure is commonly associated with disturbances in hypothalamic-pituitary-gonadal function.\nMETHODS: The gonadotrophins, prolactin and estradiol or testosterone levels were measured immediately before renal transplantation, at discharge from the transplantation unit (19 +/- 8 days after Tx) and 6 months after transplantation in 21 patients, 7 females and 14 males, age range 21-60 years.\nRESULTS: The mean prolactin level was high during uremia and decreased rapidly after transplantation, from 441 to 167 mU/l in males and from 1,057 to 521 mU/l in females. Hypergonadotrophism was seen in most uremic patients, with the mean LH and FSH levels of 14.2 and 6.0 U/l in males and 14.7 and 4.0 U/l in females, respectively. A temporary change to hypogonadotrophic hypogonadism took place 2-3 weeks after transplantation and was followed by normalization of the hypothalamic-gonadal function. The levels of circulating sex steroids were suppressed when the patients were discharged from the transplantation unit but returned to the normal range at 6 months.\nCONCLUSIONS: We conclude that renal transplantation corrects the hyperprolactinemia induced by uremia and is followed by rapid onset of restoration of the hypothalamic-pituitary-gonadal axis.","container-title":"Nephron","DOI":"10.1159/000064079","ISSN":"1660-8151","issue":"3","journalAbbreviation":"Nephron","language":"eng","note":"PMID: 12372970","page":"735-737","source":"PubMed","title":"Time course of serum prolactin and sex hormones following successful renal transplantation","volume":"92","author":[{"family":"Saha","given":"M.-T."},{"family":"Saha","given":"H. H. T."},{"family":"Niskanen","given":"L. K."},{"family":"Salmela","given":"K. T."},{"family":"Pasternack","given":"A. I."}],"issued":{"date-parts":[["2002"]]}}}],"schema":"https://github.com/citation-style-language/schema/raw/master/csl-citation.json"} </w:instrText>
      </w:r>
      <w:r>
        <w:fldChar w:fldCharType="separate"/>
      </w:r>
      <w:r w:rsidR="002D20B5" w:rsidRPr="002D20B5">
        <w:rPr>
          <w:rFonts w:ascii="Aptos" w:hAnsi="Aptos" w:cs="Times New Roman"/>
          <w:sz w:val="22"/>
          <w:vertAlign w:val="superscript"/>
        </w:rPr>
        <w:t>413</w:t>
      </w:r>
      <w:r>
        <w:fldChar w:fldCharType="end"/>
      </w:r>
      <w:r w:rsidRPr="00FF3619">
        <w:t>. Individualised and multidisciplinary antenatal counselling should take place prior to conception. This offers an opportunity to optimise blood pressure control and proteinuria, switching teratogenic immunosuppressive agents to safer ones, and to educate about potential maternofoetal complications. Such complications include maternal hypertensive disorders (including pre-eclampsia), gestational diabetes, foetal intrauterine growth restriction, preterm delivery, low birth weight, neonatal care admission and increased likelihood to require caesarean delivery</w:t>
      </w:r>
      <w:r>
        <w:t xml:space="preserve"> </w:t>
      </w:r>
      <w:r>
        <w:fldChar w:fldCharType="begin"/>
      </w:r>
      <w:r w:rsidR="002D20B5">
        <w:instrText xml:space="preserve"> ADDIN ZOTERO_ITEM CSL_CITATION {"citationID":"IqG1cWsu","properties":{"formattedCitation":"\\super 414\\uc0\\u8211{}419\\nosupersub{}","plainCitation":"414–419","noteIndex":0},"citationItems":[{"id":18793,"uris":["http://zotero.org/users/3444308/items/976TPWQM"],"itemData":{"id":18793,"type":"article-journal","container-title":"The New England Journal of Medicine","DOI":"10.1056/NEJMra050431","ISSN":"1533-4406","issue":"12","journalAbbreviation":"N Engl J Med","language":"eng","note":"PMID: 16554530","page":"1281-1293","source":"PubMed","title":"Pregnancy in recipients of solid organs--effects on mother and child","volume":"354","author":[{"family":"McKay","given":"Dianne B."},{"family":"Josephson","given":"Michelle A."}],"issued":{"date-parts":[["2006",3,23]]}}},{"id":18755,"uris":["http://zotero.org/users/3444308/items/95KMNAVT","http://zotero.org/users/3444308/items/VTS5QDEL"],"itemData":{"id":18755,"type":"article-journal","abstract":"With the constant advent of new developments and modifications in immunosuppressive regimens, clinicians are responsible for providing pregnancy counseling to all pre and posttransplant recipients of childbearing age. As individual physicians and centers accrue experience with these major therapeutic decisions, it is critical that both positive and negative outcomes be reported in appropriate settings-symposia, meetings, publications, and registries. The NTPR has acquired experience with 2000 pregnancy outcomes in female transplant recipients. For the NTPR's largest group, female kidney recipients, 71-76% of the pregnancies produce a livebirth. For the other organs combined, the livebirth likelihood ranges from 50-86%. The incidence of birth defects in the liveborn appears similar to the general population, except for pregnancies with MPA exposure that have a 23% incidence of birth defects. Long-term follow-up of the offspring of transplant recipients has provided reassurance after 20 years of observation. The continued recording of data in registries such as the NTPR is essential for assessing the safety of pregnancy in solid organ transplant recipients. Key benefits of the NTPR are the personal contact between registry staff and participants, the wide range of pregnancy-related variables that are analyzed, and the opportunity for health-care providers to obtain information that helps them care for transplant recipients on a case-by-case basis.","container-title":"Clinical Transplants","ISSN":"0890-9016","journalAbbreviation":"Clin Transpl","language":"eng","note":"PMID: 21698831","page":"65-85","source":"PubMed","title":"Report from the National Transplantation Pregnancy Registry (NTPR): outcomes of pregnancy after transplantation","title-short":"Report from the National Transplantation Pregnancy Registry (NTPR)","author":[{"family":"Coscia","given":"Lisa A."},{"family":"Constantinescu","given":"Serban"},{"family":"Moritz","given":"Michael J."},{"family":"Frank","given":"Adam M."},{"family":"Ramirez","given":"Carlo B."},{"family":"Maley","given":"Warren R."},{"family":"Doria","given":"Cataldo"},{"family":"McGrory","given":"Carolyn H."},{"family":"Armenti","given":"Vincent T."}],"issued":{"date-parts":[["2010"]]}}},{"id":18792,"uris":["http://zotero.org/users/3444308/items/QGH5SQMU"],"itemData":{"id":18792,"type":"article-journal","abstract":"BACKGROUND AND OBJECTIVES: Most reports of pregnancy outcome in women with kidney transplants are single-center, retrospective, and include small numbers and few are compared with controls. The aim of this study was to collect information about pregnancy outcomes among all kidney transplant recipients in the United Kingdom, managed with current antenatal and nephrologic care, and to compare these data with a contemporaneous control group.\nDESIGN, SETTING, PARTICIPANTS, &amp; MEASUREMENTS: Pregnant women with a kidney transplant were identified through the UK Obstetric Surveillance System (UKOSS) between January 1, 2007 and December 31, 2009. Data on a comparison cohort were obtained from the UKOSS database, containing information on comparison women identified in previous studies. Outcomes were also compared with national data.\nRESULTS: There were 105 pregnancies identified in 101 recipients. Median prepregnancy creatinine was 118 μmol/L. Preeclampsia developed in 24% compared with 4% of the comparison group. Median gestation at delivery was 36 weeks, with 52% of women delivering at &lt;37 weeks, significantly higher than the national rate of 8%. Twenty-four infants (24%) were small for gestational age (&lt;10th centile). There were two (2%) cases of acute rejection. Potential predictive factors for poor pregnancy outcome included &gt;1 previous kidney transplant (P=0.03), first trimester serum creatinine &gt;125 μmol/L (P=0.001), and diastolic BP &gt;90 mmHg in the second (P=0.002) and third trimesters (P=0.05).\nCONCLUSIONS: Most pregnancies in the United Kingdom in women with kidney transplants are successful but rates of maternal and neonatal complications remain high.","container-title":"Clinical journal of the American Society of Nephrology: CJASN","DOI":"10.2215/CJN.06170612","ISSN":"1555-905X","issue":"2","journalAbbreviation":"Clin J Am Soc Nephrol","language":"eng","note":"PMID: 23085724\nPMCID: PMC3562860","page":"290-298","source":"PubMed","title":"Pregnancy in renal transplant recipients: a UK national cohort study","title-short":"Pregnancy in renal transplant recipients","volume":"8","author":[{"family":"Bramham","given":"Kate"},{"family":"Nelson-Piercy","given":"Cathy"},{"family":"Gao","given":"Haiyan"},{"family":"Pierce","given":"Matthias"},{"family":"Bush","given":"Naomi"},{"family":"Spark","given":"Patsy"},{"family":"Brocklehurst","given":"Peter"},{"family":"Kurinczuk","given":"Jennifer J."},{"family":"Knight","given":"Marian"}],"issued":{"date-parts":[["2013",2]]}}},{"id":18795,"uris":["http://zotero.org/users/3444308/items/3IGG7A37"],"itemData":{"id":18795,"type":"article-journal","abstract":"Women with renal transplants have restoration of fertility with improved kidney function; however, pregnancy rates in renal transplant recipients appear to be lower than the general population, which might be influenced by patient choice. Women with renal transplants need to evaluate potential neonatal outcomes, graft outcomes, and risks to their own health to make informed decisions about conception. Pregnancy should be carefully planned in renal transplant recipients to reduce risk for graft loss, optimize pregnancy outcomes, and ensure immunosuppression regimes are nonteratogenic. Neonatal outcomes remain significantly worse for women with renal transplants than healthy controls, particularly for those with reduced graft function, hence prepregnancy, antenatal, and postpartum care of women with renal transplants should be guided by a multidisciplinary team of nephrologists and specialist obstetricians.","container-title":"Seminars in Nephrology","DOI":"10.1016/j.semnephrol.2017.05.009","ISSN":"1558-4488","issue":"4","journalAbbreviation":"Semin Nephrol","language":"eng","note":"PMID: 28711076","page":"370-377","source":"PubMed","title":"Pregnancy in Renal Transplant Recipients and Donors","volume":"37","author":[{"family":"Bramham","given":"Kate"}],"issued":{"date-parts":[["2017",7]]}}},{"id":18767,"uris":["http://zotero.org/users/3444308/items/SZ8GMGMT","http://zotero.org/users/3444308/items/3EXDLDFU"],"itemData":{"id":18767,"type":"article-journal","container-title":"BMC nephrology","DOI":"10.1186/s12882-019-1560-2","ISSN":"1471-2369","issue":"1","journalAbbreviation":"BMC Nephrol","language":"eng","note":"PMID: 31672135\nPMCID: PMC6822421","page":"401","source":"PubMed","title":"Clinical practice guideline on pregnancy and renal disease","volume":"20","author":[{"family":"Wiles","given":"Kate"},{"family":"Chappell","given":"Lucy"},{"family":"Clark","given":"Katherine"},{"family":"Elman","given":"Louise"},{"family":"Hall","given":"Matt"},{"family":"Lightstone","given":"Liz"},{"family":"Mohamed","given":"Germin"},{"family":"Mukherjee","given":"Durba"},{"family":"Nelson-Piercy","given":"Catherine"},{"family":"Webster","given":"Philip"},{"family":"Whybrow","given":"Rebecca"},{"family":"Bramham","given":"Kate"}],"issued":{"date-parts":[["2019",10,31]]}}},{"id":18794,"uris":["http://zotero.org/users/3444308/items/SXLA7VXB"],"itemData":{"id":18794,"type":"article-journal","abstract":"Although pregnancy remains exceptional in women after heart, liver or lung transplant, obstetricians and nephrologists are regularly confronted with pregnancy in renal transplant recipients. National and international registries have described the epidemiology of maternal, foetal and neonatal complications, and transplantation societies have published recommendations on the monitoring of these high-risk pregnancies. In this review, we summarize the existing data on maternal and foetal complications of pregnancies in women after renal transplant, especially the management of immunosuppression. We also describe the few available data on the middle- and long-term outcomes of their children who were exposed in utero to immunosuppressive drugs.","container-title":"Clinical Kidney Journal","DOI":"10.1093/ckj/sfab049","ISSN":"2048-8505","issue":"8","journalAbbreviation":"Clin Kidney J","language":"eng","note":"PMID: 34345409\nPMCID: PMC8323135","page":"1871-1878","source":"PubMed","title":"Maternal, foetal and child consequences of immunosuppressive drugs during pregnancy in women with organ transplant: a review","title-short":"Maternal, foetal and child consequences of immunosuppressive drugs during pregnancy in women with organ transplant","volume":"14","author":[{"family":"Boulay","given":"Hugoline"},{"family":"Mazaud-Guittot","given":"Séverine"},{"family":"Supervielle","given":"Jeanne"},{"family":"Chemouny","given":"Jonathan M."},{"family":"Dardier","given":"Virginie"},{"family":"Lacroix","given":"Agnes"},{"family":"Dion","given":"Ludivine"},{"family":"Vigneau","given":"Cécile"}],"issued":{"date-parts":[["2021",8]]}}}],"schema":"https://github.com/citation-style-language/schema/raw/master/csl-citation.json"} </w:instrText>
      </w:r>
      <w:r>
        <w:fldChar w:fldCharType="separate"/>
      </w:r>
      <w:r w:rsidR="002D20B5" w:rsidRPr="002D20B5">
        <w:rPr>
          <w:rFonts w:ascii="Aptos" w:hAnsi="Aptos" w:cs="Times New Roman"/>
          <w:sz w:val="22"/>
          <w:vertAlign w:val="superscript"/>
        </w:rPr>
        <w:t>414–419</w:t>
      </w:r>
      <w:r>
        <w:fldChar w:fldCharType="end"/>
      </w:r>
      <w:r w:rsidRPr="00FF3619">
        <w:t xml:space="preserve">. The risk of adverse maternal-foetal outcomes appears to be higher in multiple pregnancies and pregnancies following assisted reproductive techniques (ART) </w:t>
      </w:r>
      <w:r>
        <w:fldChar w:fldCharType="begin"/>
      </w:r>
      <w:r w:rsidR="002D20B5">
        <w:instrText xml:space="preserve"> ADDIN ZOTERO_ITEM CSL_CITATION {"citationID":"Zoyz3Ykk","properties":{"formattedCitation":"\\super 420\\nosupersub{}","plainCitation":"420","noteIndex":0},"citationItems":[{"id":18757,"uris":["http://zotero.org/users/3444308/items/R5SPXRWX"],"itemData":{"id":18757,"type":"article-journal","abstract":"A. Renal transplantation restores fertility, and successful pregnancies have been reported in renal transplant women. In women with normal graft function, pregnancy usually has no adverse effect on graft function and survival. Therefore, women of childbearing age who consider pregnancy should receive complete information and support from the transplant team. B. Pregnancy could be considered safe about 2 years after transplantation in women with good renal function, without proteinuria, without arterial hypertension, with no evidence of ongoing rejection and with normal allograft ultrasound. C. Pregnancy after transplantation should be considered a high-risk pregnancy and should be monitored by both an obstetrician and the transplant physician. Pregnancy should be diagnosed as early as possible. The principal risks are infection, proteinuria, anaemia, arterial hypertension and acute rejection for the mother, and prematurity and low birth weight for the foetus. D. Pregnant women and transplanted patients are at increased risk of infections, especially bacterial urinary tract infections and acute pyelonephritis of the graft. Urine cultures should be performed monthly and all asymptomatic infections should be treated. Monitoring of viral infections is also recommended. (Evidence level B) E. Acute rejection episodes are uncommon but may occur after delivery. Therefore, immunosuppression should be re-adjusted immediately after delivery. F. Because pre-eclampsia develops in 30% of pregnant patients, especially those with prior arterial transplant hypertension, blood pressure, renal function, proteinuria and weight should be monitored every 2-4 weeks, with more attention during the third trimester. Anti-hypertensive agents should be changed to those tolerated during pregnancy. ACE inhibitors and angiotensin II receptor antagonists are absolutely contra-indicated. G. Immunosuppressive therapy based on cyclosporine or tacrolimus with or without steroids and azathioprine may be continued in renal transplant women during pregnancy. Other drugs, such as mycophenolate mofetil and sirolimus, are not recommended based on current information available. Because of drug transfer into maternal milk, breastfeeding is not recommended. H. Vaginal delivery is recommended, but caesarean section is required in at least 50% of cases. Delivery should occur in a specialized centre. In the puerperium, renal function, proteinuria, blood pressure, cyclosporine/tacrolimus blood levels and fluid balance should be closely monitored.","container-title":"Nephrology, Dialysis, Transplantation: Official Publication of the European Dialysis and Transplant Association - European Renal Association","ISSN":"0931-0509","journalAbbreviation":"Nephrol Dial Transplant","language":"eng","note":"PMID: 12091650","page":"50-55","source":"PubMed","title":"European best practice guidelines for renal transplantation. Section IV: Long-term management of the transplant recipient. IV.10. Pregnancy in renal transplant recipients","title-short":"European best practice guidelines for renal transplantation. Section IV","volume":"17 Suppl 4","author":[{"literal":"EBPG Expert Group on Renal Transplantation"}],"issued":{"date-parts":[["2002"]]}}}],"schema":"https://github.com/citation-style-language/schema/raw/master/csl-citation.json"} </w:instrText>
      </w:r>
      <w:r>
        <w:fldChar w:fldCharType="separate"/>
      </w:r>
      <w:r w:rsidR="002D20B5" w:rsidRPr="002D20B5">
        <w:rPr>
          <w:rFonts w:ascii="Aptos" w:hAnsi="Aptos" w:cs="Times New Roman"/>
          <w:sz w:val="22"/>
          <w:vertAlign w:val="superscript"/>
        </w:rPr>
        <w:t>420</w:t>
      </w:r>
      <w:r>
        <w:fldChar w:fldCharType="end"/>
      </w:r>
      <w:r>
        <w:t>.</w:t>
      </w:r>
      <w:r w:rsidRPr="00FF3619">
        <w:t xml:space="preserve"> </w:t>
      </w:r>
    </w:p>
    <w:p w14:paraId="4862102A" w14:textId="5958B547" w:rsidR="00426BCE" w:rsidRPr="00FF3619" w:rsidRDefault="00426BCE" w:rsidP="001161CA">
      <w:r w:rsidRPr="00FF3619">
        <w:t xml:space="preserve">It is recommended that pregnancy should be postponed for at least a year after successful transplantation, as long as graft function is adequate and stable on pregnancy-safe medications before achieving conception </w:t>
      </w:r>
      <w:r>
        <w:fldChar w:fldCharType="begin"/>
      </w:r>
      <w:r w:rsidR="002D20B5">
        <w:instrText xml:space="preserve"> ADDIN ZOTERO_ITEM CSL_CITATION {"citationID":"p5wssAXq","properties":{"formattedCitation":"\\super 418\\nosupersub{}","plainCitation":"418","noteIndex":0},"citationItems":[{"id":18767,"uris":["http://zotero.org/users/3444308/items/SZ8GMGMT","http://zotero.org/users/3444308/items/3EXDLDFU"],"itemData":{"id":18767,"type":"article-journal","container-title":"BMC nephrology","DOI":"10.1186/s12882-019-1560-2","ISSN":"1471-2369","issue":"1","journalAbbreviation":"BMC Nephrol","language":"eng","note":"PMID: 31672135\nPMCID: PMC6822421","page":"401","source":"PubMed","title":"Clinical practice guideline on pregnancy and renal disease","volume":"20","author":[{"family":"Wiles","given":"Kate"},{"family":"Chappell","given":"Lucy"},{"family":"Clark","given":"Katherine"},{"family":"Elman","given":"Louise"},{"family":"Hall","given":"Matt"},{"family":"Lightstone","given":"Liz"},{"family":"Mohamed","given":"Germin"},{"family":"Mukherjee","given":"Durba"},{"family":"Nelson-Piercy","given":"Catherine"},{"family":"Webster","given":"Philip"},{"family":"Whybrow","given":"Rebecca"},{"family":"Bramham","given":"Kate"}],"issued":{"date-parts":[["2019",10,31]]}}}],"schema":"https://github.com/citation-style-language/schema/raw/master/csl-citation.json"} </w:instrText>
      </w:r>
      <w:r>
        <w:fldChar w:fldCharType="separate"/>
      </w:r>
      <w:r w:rsidR="002D20B5" w:rsidRPr="002D20B5">
        <w:rPr>
          <w:rFonts w:ascii="Aptos" w:hAnsi="Aptos" w:cs="Times New Roman"/>
          <w:sz w:val="22"/>
          <w:vertAlign w:val="superscript"/>
        </w:rPr>
        <w:t>418</w:t>
      </w:r>
      <w:r>
        <w:fldChar w:fldCharType="end"/>
      </w:r>
      <w:r w:rsidRPr="00FF3619">
        <w:t>.  Similar recommendations are echoed by the Italian Society of Nephrology</w:t>
      </w:r>
      <w:r>
        <w:t xml:space="preserve"> </w:t>
      </w:r>
      <w:r>
        <w:fldChar w:fldCharType="begin"/>
      </w:r>
      <w:r w:rsidR="002D20B5">
        <w:instrText xml:space="preserve"> ADDIN ZOTERO_ITEM CSL_CITATION {"citationID":"s5zUzU7i","properties":{"formattedCitation":"\\super 421\\nosupersub{}","plainCitation":"421","noteIndex":0},"citationItems":[{"id":18769,"uris":["http://zotero.org/users/3444308/items/QRTDG4DT","http://zotero.org/users/3444308/items/498KR6T9"],"itemData":{"id":18769,"type":"article-journal","abstract":"Kidney transplantation (KT) is often considered to be the method best able to restore fertility in a woman with chronic kidney disease (CKD). However, pregnancies in KT are not devoid of risks (in particular prematurity, small for gestational age babies, and the hypertensive disorders of pregnancy). An ideal profile of the potential KT mother includes \"normal\" or \"good\" kidney function (usually defined as glomerular filtration rate, GFR</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60</w:instrText>
      </w:r>
      <w:r w:rsidR="002D20B5">
        <w:rPr>
          <w:rFonts w:ascii="Aptos" w:hAnsi="Aptos" w:cs="Aptos"/>
        </w:rPr>
        <w:instrText> </w:instrText>
      </w:r>
      <w:r w:rsidR="002D20B5">
        <w:instrText>ml/min), scant or no proteinuria (usually defined as below 500</w:instrText>
      </w:r>
      <w:r w:rsidR="002D20B5">
        <w:rPr>
          <w:rFonts w:ascii="Aptos" w:hAnsi="Aptos" w:cs="Aptos"/>
        </w:rPr>
        <w:instrText> </w:instrText>
      </w:r>
      <w:r w:rsidR="002D20B5">
        <w:instrText xml:space="preserve">mg/dl), normal or well controlled blood pressure (one drug only and no sign of end-organ damage), no recent acute rejection, good compliance and low-dose immunosuppression, without the use of potentially teratogen drugs (mycophenolic acid and m-Tor inhibitors) and an interval of at least 1-2 years after transplantation. In this setting, there is little if any risk of worsening of the kidney function. Less is known about how to manage \"non-ideal\" situations, such as a pregnancy a short time after KT, or one in the context of hypertension or a failing kidney. The aim of this position statement by the Kidney and Pregnancy Group of the Italian Society of Nephrology is to review the literature and discuss what is known about the clinical management of CKD after KT, with particular attention to women who start a pregnancy in non-ideal conditions. While the experience in such cases is limited, the risks of worsening the renal function are probably higher in cases with markedly reduced kidney function, and in the presence of proteinuria. Well-controlled hypertension alone seems less relevant for outcomes, even if its effect is probably multiplicative if combined with low GFR and proteinuria. As in other settings of kidney disease, superimposed preeclampsia (PE) is differently defined and this impairs calculating its real incidence. No specific difference between non-teratogen immunosuppressive drugs has been shown, but calcineurin inhibitors have been associated with foetal growth restriction and low birth weight. The clinical choices in cases at high risk for malformations or kidney function impairment (pregnancies under mycophenolic acid or with severe kidney-function impairment) require merging clinical and ethical approaches in which, beside the mother and child dyad, the grafted kidney is a crucial \"third element\".","container-title":"Journal of Nephrology","DOI":"10.1007/s40620-018-0499-x","ISSN":"1724-6059","issue":"5","journalAbbreviation":"J Nephrol","language":"eng","note":"PMID: 29949013\nPMCID: PMC6182355","page":"665-681","source":"PubMed","title":"A best-practice position statement on pregnancy after kidney transplantation: focusing on the unsolved questions. The Kidney and Pregnancy Study Group of the Italian Society of Nephrology","title-short":"A best-practice position statement on pregnancy after kidney transplantation","volume":"31","author":[{"family":"Cabiddu","given":"Gianfranca"},{"family":"Spotti","given":"Donatella"},{"family":"Gernone","given":"Giuseppe"},{"family":"Santoro","given":"Domenico"},{"family":"Moroni","given":"Gabriella"},{"family":"Gregorini","given":"Gina"},{"family":"Giacchino","given":"Franca"},{"family":"Attini","given":"Rossella"},{"family":"Limardo","given":"Monica"},{"family":"Gammaro","given":"Linda"},{"family":"Todros","given":"Tullia"},{"family":"Piccoli","given":"Giorgina Barbara"},{"literal":"Kidney and Pregnancy Study Group of the Italian Society of Nephrology"}],"issued":{"date-parts":[["2018",10]]}}}],"schema":"https://github.com/citation-style-language/schema/raw/master/csl-citation.json"} </w:instrText>
      </w:r>
      <w:r>
        <w:fldChar w:fldCharType="separate"/>
      </w:r>
      <w:r w:rsidR="002D20B5" w:rsidRPr="002D20B5">
        <w:rPr>
          <w:rFonts w:ascii="Aptos" w:hAnsi="Aptos" w:cs="Times New Roman"/>
          <w:sz w:val="22"/>
          <w:vertAlign w:val="superscript"/>
        </w:rPr>
        <w:t>421</w:t>
      </w:r>
      <w:r>
        <w:fldChar w:fldCharType="end"/>
      </w:r>
      <w:r w:rsidRPr="00FF3619">
        <w:t xml:space="preserve">, European </w:t>
      </w:r>
      <w:r w:rsidRPr="00FF3619">
        <w:fldChar w:fldCharType="begin"/>
      </w:r>
      <w:r w:rsidR="002D20B5">
        <w:instrText xml:space="preserve"> ADDIN ZOTERO_ITEM CSL_CITATION {"citationID":"f5HqabyI","properties":{"formattedCitation":"\\super 422\\nosupersub{}","plainCitation":"422","noteIndex":0},"citationItems":[{"id":"zaI8DzWr/cp1ycODY","uris":["http://zotero.org/users/13576978/items/QU7FTC38"],"itemData":{"id":124,"type":"article-journal","abstract":"A. Renal transplantation restores fertility, and successful pregnancies have been reported in renal transplant women. In women with normal graft function, pregnancy usually has no adverse effect on graft function and survival. Therefore, women of childbearing age who consider pregnancy should receive complete information and support from the transplant team. B. Pregnancy could be considered safe about 2 years after transplantation in women with good renal function, without proteinuria, without arterial hypertension, with no evidence of ongoing rejection and with normal allograft ultrasound. C. Pregnancy after transplantation should be considered a high-risk pregnancy and should be monitored by both an obstetrician and the transplant physician. Pregnancy should be diagnosed as early as possible. The principal risks are infection, proteinuria, anaemia, arterial hypertension and acute rejection for the mother, and prematurity and low birth weight for the foetus. D. Pregnant women and transplanted patients are at increased risk of infections, especially bacterial urinary tract infections and acute pyelonephritis of the graft. Urine cultures should be performed monthly and all asymptomatic infections should be treated. Monitoring of viral infections is also recommended. (Evidence level B) E. Acute rejection episodes are uncommon but may occur after delivery. Therefore, immunosuppression should be re-adjusted immediately after delivery. F. Because pre-eclampsia develops in 30% of pregnant patients, especially those with prior arterial transplant hypertension, blood pressure, renal function, proteinuria and weight should be monitored every 2-4 weeks, with more attention during the third trimester. Anti-hypertensive agents should be changed to those tolerated during pregnancy. ACE inhibitors and angiotensin II receptor antagonists are absolutely contra-indicated. G. Immunosuppressive therapy based on cyclosporine or tacrolimus with or without steroids and azathioprine may be continued in renal transplant women during pregnancy. Other drugs, such as mycophenolate mofetil and sirolimus, are not recommended based on current information available. Because of drug transfer into maternal milk, breastfeeding is not recommended. H. Vaginal delivery is recommended, but caesarean section is required in at least 50% of cases. Delivery should occur in a specialized centre. In the puerperium, renal function, proteinuria, blood pressure, cyclosporine/tacrolimus blood levels and fluid balance should be closely monitored.","container-title":"Nephrology, Dialysis, Transplantation: Official Publication of the European Dialysis and Transplant Association - European Renal Association","ISSN":"0931-0509","journalAbbreviation":"Nephrol Dial Transplant","language":"eng","note":"PMID: 12091650","page":"50-55","source":"PubMed","title":"European best practice guidelines for renal transplantation. Section IV: Long-term management of the transplant recipient. IV.10. Pregnancy in renal transplant recipients","title-short":"European best practice guidelines for renal transplantation. Section IV","volume":"17 Suppl 4","author":[{"literal":"EBPG Expert Group on Renal Transplantation"}],"issued":{"date-parts":[["2002"]]}}}],"schema":"https://github.com/citation-style-language/schema/raw/master/csl-citation.json"} </w:instrText>
      </w:r>
      <w:r w:rsidRPr="00FF3619">
        <w:fldChar w:fldCharType="separate"/>
      </w:r>
      <w:r w:rsidR="002D20B5" w:rsidRPr="002D20B5">
        <w:rPr>
          <w:rFonts w:ascii="Aptos" w:hAnsi="Aptos" w:cs="Times New Roman"/>
          <w:sz w:val="22"/>
          <w:vertAlign w:val="superscript"/>
        </w:rPr>
        <w:t>422</w:t>
      </w:r>
      <w:r w:rsidRPr="00FF3619">
        <w:fldChar w:fldCharType="end"/>
      </w:r>
      <w:r w:rsidRPr="00FF3619">
        <w:t>, KDIGO</w:t>
      </w:r>
      <w:r>
        <w:t xml:space="preserve"> </w:t>
      </w:r>
      <w:r>
        <w:fldChar w:fldCharType="begin"/>
      </w:r>
      <w:r w:rsidR="006528EA">
        <w:instrText xml:space="preserve"> ADDIN ZOTERO_ITEM CSL_CITATION {"citationID":"jaMmqLma","properties":{"formattedCitation":"\\super 36\\nosupersub{}","plainCitation":"36","noteIndex":0},"citationItems":[{"id":18762,"uris":["http://zotero.org/users/3444308/items/XZCK9LB5","http://zotero.org/users/3444308/items/695WFW9B"],"itemData":{"id":18762,"type":"article-journal","abstract":"The 2009 Kidney Disease: Improving Global Outcomes (KDIGO) clinical practice guideline on the monitoring, management, and treatment of kidney transplant recipients is intended to assist the practitioner caring for adults and children after kidney transplantation. The guideline development process followed an evidence-based approach, and management recommendations are based on systematic reviews of relevant treatment trials. Critical appraisal of the quality of the evidence and the strength of recommendations followed the Grades of Recommendation Assessment, Development, and Evaluation (GRADE) approach. The guideline makes recommendations for immunosuppression, graft monitoring, as well as prevention and treatment of infection, cardiovascular disease, malignancy, and other complications that are common in kidney transplant recipients, including hematological and bone disorders. Limitations of the evidence, especially on the lack of definitive clinical outcome trials, are discussed and suggestions are provided for future research.","container-title":"American Journal of Transplantation: Official Journal of the American Society of Transplantation and the American Society of Transplant Surgeons","DOI":"10.1111/j.1600-6143.2009.02834.x","ISSN":"1600-6143","journalAbbreviation":"Am J Transplant","language":"eng","note":"PMID: 19845597","page":"S1-155","source":"PubMed","title":"KDIGO clinical practice guideline for the care of kidney transplant recipients","volume":"9 Suppl 3","author":[{"literal":"Kidney Disease: Improving Global Outcomes (KDIGO) Transplant Work Group"}],"issued":{"date-parts":[["2009",11]]}}}],"schema":"https://github.com/citation-style-language/schema/raw/master/csl-citation.json"} </w:instrText>
      </w:r>
      <w:r>
        <w:fldChar w:fldCharType="separate"/>
      </w:r>
      <w:r w:rsidR="001019BA" w:rsidRPr="001019BA">
        <w:rPr>
          <w:rFonts w:ascii="Aptos" w:hAnsi="Aptos" w:cs="Times New Roman"/>
          <w:sz w:val="22"/>
          <w:vertAlign w:val="superscript"/>
        </w:rPr>
        <w:t>36</w:t>
      </w:r>
      <w:r>
        <w:fldChar w:fldCharType="end"/>
      </w:r>
      <w:r w:rsidRPr="00FF3619">
        <w:t xml:space="preserve"> and American Society of Transplantation </w:t>
      </w:r>
      <w:r>
        <w:fldChar w:fldCharType="begin"/>
      </w:r>
      <w:r w:rsidR="002D20B5">
        <w:instrText xml:space="preserve"> ADDIN ZOTERO_ITEM CSL_CITATION {"citationID":"Gho9ojXX","properties":{"formattedCitation":"\\super 423\\nosupersub{}","plainCitation":"423","noteIndex":0},"citationItems":[{"id":18759,"uris":["http://zotero.org/users/3444308/items/DK3ZE3TN","http://zotero.org/users/3444308/items/9V5Z8PU8"],"itemData":{"id":18759,"type":"article-journal","abstract":"It has been almost 50 years since the first child was born to a female transplant recipient. Since that time pregnancy has become common after transplantation, but physicians have been left to rely on case reports, small series and data from voluntary registries to guide the care of their patients. Many uncertainties exist including the risks that pregnancy presents to the graft, the patient herself, and the long-term risks to the fetus. It is also unclear how to best modify immunosuppressive agents or treat rejection during pregnancy, especially in light of newer agents available where pregnancy safety has not been established. To begin to address uncertainties and define clinical practice guidelines for the transplant physician and obstetrical caregivers, a consensus conference was held in Bethesda, Md. The conferees summarized both what is known and important gaps in our knowledge. They also identified key areas of agreement, and posed a number of critical questions, the resolution of which is necessary in order to establish evidence-based guidelines. The manuscript summarizes the deliberations and conclusions of the conference as well as specific recommendations based on current knowledge in the field.","container-title":"American Journal of Transplantation: Official Journal of the American Society of Transplantation and the American Society of Transplant Surgeons","DOI":"10.1111/j.1600-6143.2005.00969.x","ISSN":"1600-6135","issue":"7","journalAbbreviation":"Am J Transplant","language":"eng","note":"PMID: 15943616","page":"1592-1599","source":"PubMed","title":"Reproduction and transplantation: report on the AST Consensus Conference on Reproductive Issues and Transplantation","title-short":"Reproduction and transplantation","volume":"5","author":[{"family":"McKay","given":"Dianne B."},{"family":"Josephson","given":"Michelle A."},{"family":"Armenti","given":"Vincent T."},{"family":"August","given":"Phyllis"},{"family":"Coscia","given":"Lisa A."},{"family":"Davis","given":"Connie L."},{"family":"Davison","given":"John M."},{"family":"Easterling","given":"Thomas"},{"family":"Friedman","given":"Jan E."},{"family":"Hou","given":"Susan"},{"family":"Karlix","given":"Janet"},{"family":"Lake","given":"Kathleen D."},{"family":"Lindheimer","given":"Marshall"},{"family":"Matas","given":"Arthur J."},{"family":"Moritz","given":"Michael J."},{"family":"Riely","given":"Caroline A."},{"family":"Ross","given":"Lainie Friedman"},{"family":"Scott","given":"James R."},{"family":"Wagoner","given":"Lynne E."},{"family":"Wrenshall","given":"Lucile"},{"family":"Adams","given":"Patricia L."},{"family":"Bumgardner","given":"Ginny L."},{"family":"Fine","given":"Richard N."},{"family":"Goral","given":"Simin"},{"family":"Krams","given":"Sheri M."},{"family":"Martinez","given":"Olivia M."},{"family":"Tolkoff-Rubin","given":"Nina"},{"family":"Pavlakis","given":"Martha"},{"family":"Scantlebury","given":"Velma"},{"literal":"Women's Health Committee of the American Society of Transplantation"}],"issued":{"date-parts":[["2005",7]]}}}],"schema":"https://github.com/citation-style-language/schema/raw/master/csl-citation.json"} </w:instrText>
      </w:r>
      <w:r>
        <w:fldChar w:fldCharType="separate"/>
      </w:r>
      <w:r w:rsidR="002D20B5" w:rsidRPr="002D20B5">
        <w:rPr>
          <w:rFonts w:ascii="Aptos" w:hAnsi="Aptos" w:cs="Times New Roman"/>
          <w:sz w:val="22"/>
          <w:vertAlign w:val="superscript"/>
        </w:rPr>
        <w:t>423</w:t>
      </w:r>
      <w:r>
        <w:fldChar w:fldCharType="end"/>
      </w:r>
      <w:r w:rsidRPr="00FF3619">
        <w:t>, which advise postponing pregnancy by at least one year after transplantation and defer conception further in KTRs with diabetes, uncontrolled hypertension, moderate or severe proteinuria, recurrent urinary tract infections, recurrent viral infections and/or use of antiviral agents, and so on</w:t>
      </w:r>
      <w:r>
        <w:t xml:space="preserve"> </w:t>
      </w:r>
      <w:r>
        <w:fldChar w:fldCharType="begin"/>
      </w:r>
      <w:r w:rsidR="002D20B5">
        <w:instrText xml:space="preserve"> ADDIN ZOTERO_ITEM CSL_CITATION {"citationID":"Sg9gnGSt","properties":{"formattedCitation":"\\super 424\\nosupersub{}","plainCitation":"424","noteIndex":0},"citationItems":[{"id":18791,"uris":["http://zotero.org/users/3444308/items/XBZVFN9U"],"itemData":{"id":18791,"type":"article-journal","abstract":"Successful pregnancy outcomes are possible among all solid organ transplant recipients. Patients should be fully counseled regarding the potential adverse fetal outcomes, including prematurity and low birth weight. Transplant recipients are at an increased risk for both maternal and neonatal complications and should be seen by a high-risk obstetrician in conjunction with their transplant teams. Ideally, preconception counseling begins during the pretransplantation evaluation process. Initiating contraception early after transplantation is ideal, and long-acting reversible methods such as intrauterine devices and subdermal implants may be preferred. Pregnancy should be avoided for at least 1 year after transplantation to limit the potential risks of early pregnancy that may adversely affect both allograft function and fetal well-being. Hypertension, diabetes, and infection should be monitored and treated to minimize fetal risks during pregnancy. Maintenance of current immunosuppression is usually recommended, with the exception of mycophenolic acid products, which (when possible) should be discontinued before conception and replaced with an alternative medication. Throughout pregnancy, immunosuppression must be maintained at appropriate dosing to avoid graft rejection. During labor and delivery, cesarean delivery should be performed for obstetric reasons only. A multidisciplinary team should manage pregnant transplant recipients before, during, and following pregnancy. Breastfeeding and long-term in utero exposure to immunosuppressants for offspring of transplant recipients continue to require further investigation but have been encouraged by recent reports. Continued reporting of post-transplantation pregnancy outcomes to the National Transplantation Pregnancy Registry is highly encouraged.","container-title":"Reviews in Obstetrics &amp; Gynecology","ISSN":"1941-2797","issue":"3-4","journalAbbreviation":"Rev Obstet Gynecol","language":"eng","note":"PMID: 24826201\nPMCID: PMC4002187","page":"116-125","source":"PubMed","title":"Pregnancy after solid organ transplantation: a guide for obstetric management","title-short":"Pregnancy after solid organ transplantation","volume":"6","author":[{"family":"Deshpande","given":"Neha A."},{"family":"Coscia","given":"Lisa A."},{"family":"Gomez-Lobo","given":"Veronica"},{"family":"Moritz","given":"Michael J."},{"family":"Armenti","given":"Vincent T."}],"issued":{"date-parts":[["2013"]]}}}],"schema":"https://github.com/citation-style-language/schema/raw/master/csl-citation.json"} </w:instrText>
      </w:r>
      <w:r>
        <w:fldChar w:fldCharType="separate"/>
      </w:r>
      <w:r w:rsidR="002D20B5" w:rsidRPr="002D20B5">
        <w:rPr>
          <w:rFonts w:ascii="Aptos" w:hAnsi="Aptos" w:cs="Times New Roman"/>
          <w:sz w:val="22"/>
          <w:vertAlign w:val="superscript"/>
        </w:rPr>
        <w:t>424</w:t>
      </w:r>
      <w:r>
        <w:fldChar w:fldCharType="end"/>
      </w:r>
      <w:r w:rsidRPr="00FF3619">
        <w:t xml:space="preserve">. We refer the reader to consult the Renal Association clinical practice guideline on pregnancy and renal disease for further guidance on the topic </w:t>
      </w:r>
      <w:r w:rsidRPr="00FF3619">
        <w:fldChar w:fldCharType="begin"/>
      </w:r>
      <w:r w:rsidR="002D20B5">
        <w:instrText xml:space="preserve"> ADDIN ZOTERO_ITEM CSL_CITATION {"citationID":"52L1Wv7M","properties":{"formattedCitation":"\\super 425\\nosupersub{}","plainCitation":"425","noteIndex":0},"citationItems":[{"id":"zaI8DzWr/FCk9RHAQ","uris":["http://zotero.org/users/13576978/items/98I4SA6Q"],"itemData":{"id":3,"type":"article-journal","container-title":"BMC Nephrology","DOI":"10.1186/s12882-019-1560-2","ISSN":"1471-2369","issue":"1","journalAbbreviation":"BMC Nephrol","language":"en","page":"401","source":"DOI.org (Crossref)","title":"Clinical practice guideline on pregnancy and renal disease","volume":"20","author":[{"family":"Wiles","given":"Kate"},{"family":"Chappell","given":"Lucy"},{"family":"Clark","given":"Katherine"},{"family":"Elman","given":"Louise"},{"family":"Hall","given":"Matt"},{"family":"Lightstone","given":"Liz"},{"family":"Mohamed","given":"Germin"},{"family":"Mukherjee","given":"Durba"},{"family":"Nelson-Piercy","given":"Catherine"},{"family":"Webster","given":"Philip"},{"family":"Whybrow","given":"Rebecca"},{"family":"Bramham","given":"Kate"}],"issued":{"date-parts":[["2019",12]]}}}],"schema":"https://github.com/citation-style-language/schema/raw/master/csl-citation.json"} </w:instrText>
      </w:r>
      <w:r w:rsidRPr="00FF3619">
        <w:fldChar w:fldCharType="separate"/>
      </w:r>
      <w:r w:rsidR="002D20B5" w:rsidRPr="002D20B5">
        <w:rPr>
          <w:rFonts w:ascii="Aptos" w:hAnsi="Aptos" w:cs="Times New Roman"/>
          <w:sz w:val="22"/>
          <w:vertAlign w:val="superscript"/>
        </w:rPr>
        <w:t>425</w:t>
      </w:r>
      <w:r w:rsidRPr="00FF3619">
        <w:fldChar w:fldCharType="end"/>
      </w:r>
      <w:r w:rsidRPr="00FF3619">
        <w:t xml:space="preserve">. </w:t>
      </w:r>
    </w:p>
    <w:p w14:paraId="7512E3C9" w14:textId="4E8DF1F8" w:rsidR="00426BCE" w:rsidRPr="00FF3619" w:rsidRDefault="00426BCE" w:rsidP="001161CA">
      <w:r w:rsidRPr="00FF3619">
        <w:t>The majority of KTR can be reassured that long-term graft function is unaffected by pregnancy, though acute kidney injury in the peri- or postpartum period is somewhat common. Prompt investigation and treatment of pre-eclampsia, transplant pyelonephritis, CNI toxicity, acute rejection and renal obstruction should be sought</w:t>
      </w:r>
      <w:r>
        <w:t xml:space="preserve"> </w:t>
      </w:r>
      <w:r>
        <w:fldChar w:fldCharType="begin"/>
      </w:r>
      <w:r w:rsidR="002D20B5">
        <w:instrText xml:space="preserve"> ADDIN ZOTERO_ITEM CSL_CITATION {"citationID":"yZQXEAqs","properties":{"formattedCitation":"\\super 416\\nosupersub{}","plainCitation":"416","noteIndex":0},"citationItems":[{"id":18792,"uris":["http://zotero.org/users/3444308/items/QGH5SQMU"],"itemData":{"id":18792,"type":"article-journal","abstract":"BACKGROUND AND OBJECTIVES: Most reports of pregnancy outcome in women with kidney transplants are single-center, retrospective, and include small numbers and few are compared with controls. The aim of this study was to collect information about pregnancy outcomes among all kidney transplant recipients in the United Kingdom, managed with current antenatal and nephrologic care, and to compare these data with a contemporaneous control group.\nDESIGN, SETTING, PARTICIPANTS, &amp; MEASUREMENTS: Pregnant women with a kidney transplant were identified through the UK Obstetric Surveillance System (UKOSS) between January 1, 2007 and December 31, 2009. Data on a comparison cohort were obtained from the UKOSS database, containing information on comparison women identified in previous studies. Outcomes were also compared with national data.\nRESULTS: There were 105 pregnancies identified in 101 recipients. Median prepregnancy creatinine was 118 μmol/L. Preeclampsia developed in 24% compared with 4% of the comparison group. Median gestation at delivery was 36 weeks, with 52% of women delivering at &lt;37 weeks, significantly higher than the national rate of 8%. Twenty-four infants (24%) were small for gestational age (&lt;10th centile). There were two (2%) cases of acute rejection. Potential predictive factors for poor pregnancy outcome included &gt;1 previous kidney transplant (P=0.03), first trimester serum creatinine &gt;125 μmol/L (P=0.001), and diastolic BP &gt;90 mmHg in the second (P=0.002) and third trimesters (P=0.05).\nCONCLUSIONS: Most pregnancies in the United Kingdom in women with kidney transplants are successful but rates of maternal and neonatal complications remain high.","container-title":"Clinical journal of the American Society of Nephrology: CJASN","DOI":"10.2215/CJN.06170612","ISSN":"1555-905X","issue":"2","journalAbbreviation":"Clin J Am Soc Nephrol","language":"eng","note":"PMID: 23085724\nPMCID: PMC3562860","page":"290-298","source":"PubMed","title":"Pregnancy in renal transplant recipients: a UK national cohort study","title-short":"Pregnancy in renal transplant recipients","volume":"8","author":[{"family":"Bramham","given":"Kate"},{"family":"Nelson-Piercy","given":"Cathy"},{"family":"Gao","given":"Haiyan"},{"family":"Pierce","given":"Matthias"},{"family":"Bush","given":"Naomi"},{"family":"Spark","given":"Patsy"},{"family":"Brocklehurst","given":"Peter"},{"family":"Kurinczuk","given":"Jennifer J."},{"family":"Knight","given":"Marian"}],"issued":{"date-parts":[["2013",2]]}}}],"schema":"https://github.com/citation-style-language/schema/raw/master/csl-citation.json"} </w:instrText>
      </w:r>
      <w:r>
        <w:fldChar w:fldCharType="separate"/>
      </w:r>
      <w:r w:rsidR="002D20B5" w:rsidRPr="002D20B5">
        <w:rPr>
          <w:rFonts w:ascii="Aptos" w:hAnsi="Aptos" w:cs="Times New Roman"/>
          <w:sz w:val="22"/>
          <w:vertAlign w:val="superscript"/>
        </w:rPr>
        <w:t>416</w:t>
      </w:r>
      <w:r>
        <w:fldChar w:fldCharType="end"/>
      </w:r>
      <w:r w:rsidRPr="00FF3619">
        <w:t xml:space="preserve">. Aspirin is now widely recommended for the prevention of pre-eclampsia in high-risk populations including women with CKD. Whilst there are no specific data to support its use in renal transplant recipients, it seems reasonable to follow this approach as stated in other guidelines </w:t>
      </w:r>
      <w:r>
        <w:fldChar w:fldCharType="begin"/>
      </w:r>
      <w:r w:rsidR="002D20B5">
        <w:instrText xml:space="preserve"> ADDIN ZOTERO_ITEM CSL_CITATION {"citationID":"zQOQ4jtX","properties":{"formattedCitation":"\\super 418\\nosupersub{}","plainCitation":"418","noteIndex":0},"citationItems":[{"id":18767,"uris":["http://zotero.org/users/3444308/items/SZ8GMGMT","http://zotero.org/users/3444308/items/3EXDLDFU"],"itemData":{"id":18767,"type":"article-journal","container-title":"BMC nephrology","DOI":"10.1186/s12882-019-1560-2","ISSN":"1471-2369","issue":"1","journalAbbreviation":"BMC Nephrol","language":"eng","note":"PMID: 31672135\nPMCID: PMC6822421","page":"401","source":"PubMed","title":"Clinical practice guideline on pregnancy and renal disease","volume":"20","author":[{"family":"Wiles","given":"Kate"},{"family":"Chappell","given":"Lucy"},{"family":"Clark","given":"Katherine"},{"family":"Elman","given":"Louise"},{"family":"Hall","given":"Matt"},{"family":"Lightstone","given":"Liz"},{"family":"Mohamed","given":"Germin"},{"family":"Mukherjee","given":"Durba"},{"family":"Nelson-Piercy","given":"Catherine"},{"family":"Webster","given":"Philip"},{"family":"Whybrow","given":"Rebecca"},{"family":"Bramham","given":"Kate"}],"issued":{"date-parts":[["2019",10,31]]}}}],"schema":"https://github.com/citation-style-language/schema/raw/master/csl-citation.json"} </w:instrText>
      </w:r>
      <w:r>
        <w:fldChar w:fldCharType="separate"/>
      </w:r>
      <w:r w:rsidR="002D20B5" w:rsidRPr="002D20B5">
        <w:rPr>
          <w:rFonts w:ascii="Aptos" w:hAnsi="Aptos" w:cs="Times New Roman"/>
          <w:sz w:val="22"/>
          <w:vertAlign w:val="superscript"/>
        </w:rPr>
        <w:t>418</w:t>
      </w:r>
      <w:r>
        <w:fldChar w:fldCharType="end"/>
      </w:r>
      <w:r w:rsidRPr="00FF3619">
        <w:t xml:space="preserve">. </w:t>
      </w:r>
    </w:p>
    <w:p w14:paraId="3E020B94" w14:textId="77777777" w:rsidR="00426BCE" w:rsidRPr="00FF3619" w:rsidRDefault="00426BCE" w:rsidP="001161CA">
      <w:pPr>
        <w:pStyle w:val="GuidelineSubheadings"/>
      </w:pPr>
      <w:r w:rsidRPr="00FF3619">
        <w:t xml:space="preserve">Immunosuppression </w:t>
      </w:r>
    </w:p>
    <w:p w14:paraId="6F83107E" w14:textId="6CE1C404" w:rsidR="00426BCE" w:rsidRPr="00FF3619" w:rsidRDefault="00426BCE" w:rsidP="001161CA">
      <w:r w:rsidRPr="00FF3619">
        <w:t xml:space="preserve">Immunosuppressive drugs can all affect the foetus, but subtherapeutic management of renal transplant recipients can be deleterious </w:t>
      </w:r>
      <w:proofErr w:type="gramStart"/>
      <w:r w:rsidRPr="00FF3619">
        <w:t>in itself due to</w:t>
      </w:r>
      <w:proofErr w:type="gramEnd"/>
      <w:r w:rsidRPr="00FF3619">
        <w:t xml:space="preserve"> the risk of rejection. Sirolimus, mycophenolate mofetil and its active metabolite mycophenolic acid (MPA) are teratogenic immunosuppressants </w:t>
      </w:r>
      <w:r>
        <w:t xml:space="preserve"> </w:t>
      </w:r>
      <w:r>
        <w:fldChar w:fldCharType="begin"/>
      </w:r>
      <w:r w:rsidR="002D20B5">
        <w:instrText xml:space="preserve"> ADDIN ZOTERO_ITEM CSL_CITATION {"citationID":"cw7ZdIef","properties":{"formattedCitation":"\\super 426\\nosupersub{}","plainCitation":"426","noteIndex":0},"citationItems":[{"id":18790,"uris":["http://zotero.org/users/3444308/items/TIMQLCDW"],"itemData":{"id":18790,"type":"article-journal","abstract":"BACKGROUND: Animal and limited human studies have raised concerns as to the safety of in utero exposure to mycophenolate mofetil (MMF) and sirolimus (SRL) in transplant recipients. This study examined the outcomes of pregnancies with exposure to MMF or SRL from 30 female transplant recipients (39 pregnancies) who have reported pregnancies to the National Transplantation Pregnancy Registry.\nMETHODS: Data were collected via questionnaires, phone interviews and medical records.\nRESULTS: There were 18 kidney recipients reporting 26 pregnancies with exposure to MMF: 15 livebirths (LB), 11 spontaneous abortions (SA). Structural malformations were reported in four of the 15 children (26.7%) including: hypoplastic nails and shortened fifth fingers (one), microtia with cleft lip and palate (one), microtia alone (one), and neonatal death with multiple malformations (one). One kidney/pancreas (K/P) recipient reported one SA. Three liver recipients reported three pregnancies; two LB (no malformations), and one second trimester SA. Two heart recipients reported one LB (no malformations) and two SA. SRL exposures included seven recipients (four kidney, one K/P and two liver) reporting four LB (one infant whose mother was switched from MMF to SRL during late pregnancy had cleft lip and palate and microtia) and three SA.\nCONCLUSIONS: A higher incidence of structural malformations was seen with MMF exposures during pregnancy compared to the overall kidney transplant recipient offspring, while no structural defects have as yet been reported with early pregnancy sirolimus exposures. Centers are encouraged to report all pregnancy exposures in transplant recipients.","container-title":"Transplantation","DOI":"10.1097/01.tp.0000252683.74584.29","ISSN":"0041-1337","issue":"12","journalAbbreviation":"Transplantation","language":"eng","note":"PMID: 17198262","page":"1698-1702","source":"PubMed","title":"Pregnancy outcomes in solid organ transplant recipients with exposure to mycophenolate mofetil or sirolimus","volume":"82","author":[{"family":"Sifontis","given":"Nicole M."},{"family":"Coscia","given":"Lisa A."},{"family":"Constantinescu","given":"Serban"},{"family":"Lavelanet","given":"Antonella F."},{"family":"Moritz","given":"Michael J."},{"family":"Armenti","given":"Vincent T."}],"issued":{"date-parts":[["2006",12,27]]}}}],"schema":"https://github.com/citation-style-language/schema/raw/master/csl-citation.json"} </w:instrText>
      </w:r>
      <w:r>
        <w:fldChar w:fldCharType="separate"/>
      </w:r>
      <w:r w:rsidR="002D20B5" w:rsidRPr="002D20B5">
        <w:rPr>
          <w:rFonts w:ascii="Aptos" w:hAnsi="Aptos" w:cs="Times New Roman"/>
          <w:sz w:val="22"/>
          <w:vertAlign w:val="superscript"/>
        </w:rPr>
        <w:t>426</w:t>
      </w:r>
      <w:r>
        <w:fldChar w:fldCharType="end"/>
      </w:r>
      <w:r w:rsidRPr="00FF3619">
        <w:t xml:space="preserve"> and should be avoided. </w:t>
      </w:r>
    </w:p>
    <w:p w14:paraId="121CA8EA" w14:textId="4868A952" w:rsidR="00426BCE" w:rsidRPr="00FF3619" w:rsidRDefault="00426BCE" w:rsidP="001161CA">
      <w:r w:rsidRPr="00FF3619">
        <w:t xml:space="preserve">The MHRA and UK teratology service state that MPA compounds should be stopped at least </w:t>
      </w:r>
      <w:r>
        <w:t>six</w:t>
      </w:r>
      <w:r w:rsidRPr="00FF3619">
        <w:t xml:space="preserve"> weeks in child-bearing females and 3 months in males before conception, with ideally two forms of effective contraception on board </w:t>
      </w:r>
      <w:r>
        <w:fldChar w:fldCharType="begin"/>
      </w:r>
      <w:r w:rsidR="002D20B5">
        <w:instrText xml:space="preserve"> ADDIN ZOTERO_ITEM CSL_CITATION {"citationID":"dM6yMMSY","properties":{"formattedCitation":"\\super 427,428\\nosupersub{}","plainCitation":"427,428","noteIndex":0},"citationItems":[{"id":18789,"uris":["http://zotero.org/users/3444308/items/33QZY4IG"],"itemData":{"id":18789,"type":"article-journal","abstract":"Fertility is commonly impaired in women with end-stage kidney and liver disease, although most women will have restoration of fertility within 1 year of transplant. Family planning is therefore critical to discuss with reproductive-aged transplant recipients in the early posttransplant period, in order to ensure timely initiation of contraception, and optimal timing for conception. For women seeking pregnancy, the risks to the mother, graft, and baby should be discussed, including evaluation of immunosuppression safety and potential for adjusting medications prior to conception. With an increasing number of transplant patients now breastfeeding, immunosuppression safety in lactation continues to carry great importance.","container-title":"American Journal of Transplantation: Official Journal of the American Society of Transplantation and the American Society of Transplant Surgeons","DOI":"10.1111/ajt.14697","ISSN":"1600-6143","issue":"5","journalAbbreviation":"Am J Transplant","language":"eng","note":"PMID: 29446243\nPMCID: PMC5935794","page":"1068-1076","source":"PubMed","title":"Reproductive health in women following abdominal organ transplant","volume":"18","author":[{"family":"Sarkar","given":"Monika"},{"family":"Bramham","given":"Kate"},{"family":"Moritz","given":"Michael J."},{"family":"Coscia","given":"Lisa"}],"issued":{"date-parts":[["2018",5]]}}},{"id":18788,"uris":["http://zotero.org/users/3444308/items/RVMFGMSH"],"itemData":{"id":18788,"type":"report","abstract":"Mycophenolate mofetil and its active metabolite mycophenolic acid, both used to prevent transplant rejection, are teratogenic and genotoxic. The available clinical evidence does not indicate an increased risk of malformations or miscarriage in pregnancies where the father was taking mycophenolate medicines, but there is insufficient evidence to rule out any risk. As a precautionary measure for male patients, it is now recommended that either the patient or their female partner use reliable contraception during treatment with mycophenolate medicines and for at least 90 days after stopping. Female patients of childbearing potential receiving mycophenolate should always use contraception.","language":"en","title":"Mycophenolate mofetil, mycophenolic acid: updated contraception advice for male patients","title-short":"Mycophenolate mofetil, mycophenolic acid","URL":"https://www.gov.uk/drug-safety-update/mycophenolate-mofetil-mycophenolic-acid-updated-contraception-advice-for-male-patients","author":[{"literal":"Medicines and Healthcare products Regulatory Agency"}],"accessed":{"date-parts":[["2025",10,25]]}}}],"schema":"https://github.com/citation-style-language/schema/raw/master/csl-citation.json"} </w:instrText>
      </w:r>
      <w:r>
        <w:fldChar w:fldCharType="separate"/>
      </w:r>
      <w:r w:rsidR="002D20B5" w:rsidRPr="002D20B5">
        <w:rPr>
          <w:rFonts w:ascii="Aptos" w:hAnsi="Aptos" w:cs="Times New Roman"/>
          <w:sz w:val="22"/>
          <w:vertAlign w:val="superscript"/>
        </w:rPr>
        <w:t>427,428</w:t>
      </w:r>
      <w:r>
        <w:fldChar w:fldCharType="end"/>
      </w:r>
      <w:r w:rsidRPr="00FF3619">
        <w:t xml:space="preserve">. Even though there is no registry data to confirm the risk of teratogenicity associated with males fathering whilst on MPA compounds, there is </w:t>
      </w:r>
      <w:r w:rsidRPr="00FF3619">
        <w:lastRenderedPageBreak/>
        <w:t xml:space="preserve">still a theoretical risk of foetal toxicity which needs to be balanced against the risk of graft dysfunction while changing of immunosuppression occurs. Graft stability on an alternative immunosuppressive agent is essential prior to conception </w:t>
      </w:r>
      <w:r>
        <w:fldChar w:fldCharType="begin"/>
      </w:r>
      <w:r w:rsidR="002D20B5">
        <w:instrText xml:space="preserve"> ADDIN ZOTERO_ITEM CSL_CITATION {"citationID":"M1xeC2W3","properties":{"formattedCitation":"\\super 417\\nosupersub{}","plainCitation":"417","noteIndex":0},"citationItems":[{"id":18795,"uris":["http://zotero.org/users/3444308/items/3IGG7A37"],"itemData":{"id":18795,"type":"article-journal","abstract":"Women with renal transplants have restoration of fertility with improved kidney function; however, pregnancy rates in renal transplant recipients appear to be lower than the general population, which might be influenced by patient choice. Women with renal transplants need to evaluate potential neonatal outcomes, graft outcomes, and risks to their own health to make informed decisions about conception. Pregnancy should be carefully planned in renal transplant recipients to reduce risk for graft loss, optimize pregnancy outcomes, and ensure immunosuppression regimes are nonteratogenic. Neonatal outcomes remain significantly worse for women with renal transplants than healthy controls, particularly for those with reduced graft function, hence prepregnancy, antenatal, and postpartum care of women with renal transplants should be guided by a multidisciplinary team of nephrologists and specialist obstetricians.","container-title":"Seminars in Nephrology","DOI":"10.1016/j.semnephrol.2017.05.009","ISSN":"1558-4488","issue":"4","journalAbbreviation":"Semin Nephrol","language":"eng","note":"PMID: 28711076","page":"370-377","source":"PubMed","title":"Pregnancy in Renal Transplant Recipients and Donors","volume":"37","author":[{"family":"Bramham","given":"Kate"}],"issued":{"date-parts":[["2017",7]]}}}],"schema":"https://github.com/citation-style-language/schema/raw/master/csl-citation.json"} </w:instrText>
      </w:r>
      <w:r>
        <w:fldChar w:fldCharType="separate"/>
      </w:r>
      <w:r w:rsidR="002D20B5" w:rsidRPr="002D20B5">
        <w:rPr>
          <w:rFonts w:ascii="Aptos" w:hAnsi="Aptos" w:cs="Times New Roman"/>
          <w:sz w:val="22"/>
          <w:vertAlign w:val="superscript"/>
        </w:rPr>
        <w:t>417</w:t>
      </w:r>
      <w:r>
        <w:fldChar w:fldCharType="end"/>
      </w:r>
      <w:r w:rsidRPr="00FF3619">
        <w:t xml:space="preserve">. </w:t>
      </w:r>
    </w:p>
    <w:p w14:paraId="7088C54A" w14:textId="2FC636CB" w:rsidR="00426BCE" w:rsidRPr="00FF3619" w:rsidRDefault="00426BCE" w:rsidP="001161CA">
      <w:r w:rsidRPr="00FF3619">
        <w:t>Sirolimus and presumably other m-TOR inhibitors are associated with oligospermia, which appears to be reversible on cessation of treatment</w:t>
      </w:r>
      <w:r>
        <w:t xml:space="preserve"> </w:t>
      </w:r>
      <w:r>
        <w:fldChar w:fldCharType="begin"/>
      </w:r>
      <w:r w:rsidR="002D20B5">
        <w:instrText xml:space="preserve"> ADDIN ZOTERO_ITEM CSL_CITATION {"citationID":"u84tUkde","properties":{"formattedCitation":"\\super 429\\uc0\\u8211{}431\\nosupersub{}","plainCitation":"429–431","noteIndex":0},"citationItems":[{"id":18786,"uris":["http://zotero.org/users/3444308/items/V2G2GSQQ"],"itemData":{"id":18786,"type":"article-journal","abstract":"Experience in the field of pregnancy posttransplantation has been gained through continued case reports, center reports, and registry data. The NTPR maintains an ongoing active database to study the safety of pregnancy and includes the outcomes of female transplant recipients as well as male recipients who father pregnancies. Analyses are ongoing and include long-term followup of recipients' graft status and of their offspring. For the most part, guidelines proposed in 1976 for counseling recipients remain applicable (30). While these counseling guidelines were formulated for kidney recipients, they may be extrapolated to other organ recipients as well. Organ-specific issues should also be considered in managing and counseling female transplant recipients. Recipients should be in general good health, and graft function should be stable and, ideally, rejection-free. There should be optimal control of comorbid conditions such as hypertension and diabetes prior to conception. While the shortest safe interval from transplant to conception has not been established, 1 year is a reasonable milestone, given the prerequisites of stable, adequate graft function and maintenance-level immunosuppression. During pregnancy, maintenance-medication regimens should be continued with vigilant monitoring for effective drug levels and drug side effects with appropriate dose adjustment. These pregnancies are high-risk and require close maternal and fetal surveillance through coordinated care among maternal-fetal medicine specialists and transplant personnel. Of the live born reported to the NTPR, a higher incidence of structural malformations has been seen with MMF exposures during pregnancy when compared with the overall kidney transplant recipient offspring group. Three of the four defects included microtia (ear deformity), suggesting a pattern of malformations. However, live-born outcomes without structural malformations have also been noted in the MMF cohort. No structural defects have yet been reported with early pregnancy sirolimus exposures in a limited number of recipients evaluated. Limitations in assessing congenital malformation risk and MMF exposure include methodology and potential reporting bias, small sample size, and our inability to exclude other comorbid factors such as non-immunosuppressive drug effects or other susceptibilities in this population. It is incumbent upon transplant professionals to be aware of any additional risk to the fetus from immunosuppressive medications relative to the potential improvement in maternal graft function/survival conferred by each of these agents. Given the ongoing concerns with the newer immunosuppressive agents, clinicians are responsible for providing pregnancy counseling in all pre- and post-transplant recipients of childbearing age. Centers are encouraged to report all pregnancy exposures in transplant recipients to the NTPR. Future analyses from the NTPR are directed at potential effects of these newer immunosuppressive regimens, not only from immediate exposure but also from continued exposure that may occur from breastfeeding. As the registry study design allows for contact between registry staff and recipients and their health care providers, efforts are ongoing to analyze the long-term outcomes of parents and children. Continued close collaboration among specialists will help to better identify potential pregnancy risks in these populations, particularly as new immunosuppressive agents are developed. The fiftieth anniversary of the first post-transplant pregnancy (reported by Joseph Murray et al.) (31) will be in March 2008. With this important date approaching and with ongoing pregnancy issues concerning post-transplant pregnancy safety, this is an ideal time to raise awareness of the need for continued worldwide cooperation for data collection. Enhanced assessment of pregnancy safety is essential to the development of guidelines for counseling and management of pregnancy in the transplant population.","container-title":"Clinical Transplants","ISSN":"0890-9016","journalAbbreviation":"Clin Transpl","language":"eng","note":"PMID: 18368705","page":"57-70","source":"PubMed","title":"Report from the National Transplantation Pregnancy Registry: outcomes of pregnancy after transplantation","title-short":"Report from the National Transplantation Pregnancy Registry","author":[{"family":"Armenti","given":"Vincent T."},{"family":"Daller","given":"John A."},{"family":"Constantinescu","given":"Serban"},{"family":"Silva","given":"Patricio"},{"family":"Radomski","given":"John S."},{"family":"Moritz","given":"Michael J."},{"family":"Gaughan","given":"William J."},{"family":"McGrory","given":"Carolyn H."},{"family":"Coscia","given":"Lisa A."}],"issued":{"date-parts":[["2006"]]}}},{"id":18784,"uris":["http://zotero.org/users/3444308/items/AAKRIULC"],"itemData":{"id":18784,"type":"article-journal","abstract":"BACKGROUND: Women undergoing solid organ transplantation are advised to avoid pregnancy for up to 24 months following transplant surgery.\nSTUDY DESIGN: We conducted a systematic review of the literature, from database (PubMed) inception through February 2009, to evaluate evidence on the safety and effectiveness of contraceptive use among women having undergone solid organ transplantation.\nRESULTS: From 643 articles, eight articles from seven studies satisfied review inclusion criteria; six articles pertained to kidney transplant patients, and two reported on liver transplant patients. Two reports of one prospective cohort of 36 kidney transplant recipients taking combined oral contraceptives (COCs) or using the transdermal contraceptive patch reported no significant changes in biochemical measures after 18 months of use for either group, although 13 women modified antihypertensive medication, and two women discontinued the study because of serious medical complications. Four case reports of five kidney recipients using intrauterine devices reported inconsistent findings, including both beneficial health effects and contraceptive failures. One retrospective, noncomparative study of 15 liver transplant recipients using COCs or the transdermal contraceptive patch found no significant changes in any biochemical measures obtained, no discontinuations or severe complications and no pregnancies after a 12-month follow up. One case report of a liver transplant recipient on cyclosporine and prednisone documented the development of cholestasis associated with high-dose (50 mcg ethinyl estradiol) COC use as treatment for heavy uterine bleeding.\nCONCLUSIONS: Very limited evidence on COC and transdermal contraceptive patch use among kidney and liver transplant recipients indicated no pregnancies and no overall changes in biochemical measures. Excluding case reports, evidence on other contraceptive methods or contraception among other types of solid organ transplants was not identified.","container-title":"Contraception","DOI":"10.1016/j.contraception.2010.02.007","ISSN":"1879-0518","issue":"1","journalAbbreviation":"Contraception","language":"eng","note":"PMID: 20682148","page":"102-112","source":"PubMed","title":"Contraceptive use among solid organ transplant patients: a systematic review","title-short":"Contraceptive use among solid organ transplant patients","volume":"82","author":[{"family":"Paulen","given":"Melissa E."},{"family":"Folger","given":"Suzanne G."},{"family":"Curtis","given":"Kathryn M."},{"family":"Jamieson","given":"Denise J."}],"issued":{"date-parts":[["2010",7]]}}},{"id":18785,"uris":["http://zotero.org/users/3444308/items/XVUYJ388"],"itemData":{"id":18785,"type":"article-journal","abstract":"STUDY QUESTION: What is the child morbidity after IVF in women who have received a kidney transplant?\nSUMMARY ANSWER: Overall, obstetric outcome and morbidity in children of women who had undergone renal transplantation and IVF treatment were favourable.\nWHAT IS KNOWN ALREADY: There are several studies of the obstetric outcome in women with spontaneous conception after solid organ transplantation as well as studies of obstetric outcome after IVF in general. There are only a few case reports of women with kidney or pancreas-kidney transplantation and deliveries after IVF treatment.\nSTUDY DESIGN, SIZE, DURATION: A population-based retrospective register study was carried out in Sweden including all women with solid organ transplantation and deliveries after IVF; however, only women with kidney transplants were recruited. It also included information on all singleton deliveries after kidney transplantation and spontaneous conception between 1973 and 2012.\nPARTICIPANTS/MATERIALS, SETTING AND METHODS: We cross-linked the IVF registers with the Medical Birth Register, the Patient Register and the Cause of Death Register. Study group 1 consisted of women with kidney transplantation and deliveries after IVF treatment. Study group 2 consisted of women with kidney transplantation and singleton deliveries after spontaneous conception. Group 3 (control group to singletons in study group 1) consisted of women without organ transplantation and with singleton deliveries after IVF, matched for maternal age, parity and date of birth. Group 4 (control group to study group 2) consisted of women without organ transplantation and with singleton deliveries after spontaneous conception, matched for maternal age, parity and year of birth.\nMAIN RESULTS AND THE ROLE OF CHANCE: Seven singletons and one set of twins were born after organ transplantation and IVF. All women in this group had renal transplants. Among singletons, two (28.6%) were preterm births (PTB), one (14.3%) had very low birthweight (VLBW) (672 g) and one (14.3%) was small for gestational age (SGA). Two infants had minor birth defects. One woman developed pre-eclampsia (14.3%). Mean age at follow-up of the children was 9.7 years (SD 4.2). Two children were diagnosed with hyperactivity disorders. There were 199 singletons born after renal transplantation and spontaneous conception. The rates of pre-eclampsia (23.6%), PTB (48.5%), LBW (43.7%) and SGA (21.2%) were significantly higher in pregnancies of women with renal transplants who had conceived spontaneously than in pregnancies where there was no transplantation and conception was spontaneous. Neonatal morbidity, early neonatal and infant mortality were all significantly higher. No increase in birth defects was seen. Mean age at follow-up of the children was 14.7 years (SD 9.4). Acute bronchitis, systemic lupus erythematosus and hyperactivity disorders were more common in children delivered to women with renal transplantation than in children delivered to women with no transplanted organs. Otherwise, long-term child morbidity was comparable.\nLIMITATIONS, REASONS FOR CAUTION: The women who had received renal transplants and who had given birth after IVF were a small group and may represent a selected group of comparatively healthy women.\nWIDER IMPLICATIONS OF THE FINDINGS: The results are important to transplant recipients with infertility problems. Neonatal outcomes after maternal renal transplantation and spontaneous conception were in agreement with the literature. Long-term follow-up of this group of children has long been asked for and findings are included in this report.\nSTUDY FUNDING/COMPETING INTERESTS: No conflict of interest was reported. The study was supported by grants from Swedish Association of Local Authorities and Regions and by grants from the University of Gothenburg/Sahlgrenska University hospital (LUA/ALF 70940).","container-title":"Human Reproduction (Oxford, England)","DOI":"10.1093/humrep/deu293","ISSN":"1460-2350","issue":"1","journalAbbreviation":"Hum Reprod","language":"eng","note":"PMID: 25376456","page":"205-213","source":"PubMed","title":"Pregnancy outcome and long-term follow-up after in vitro fertilization in women with renal transplantation","volume":"30","author":[{"family":"Norrman","given":"Emma"},{"family":"Bergh","given":"Christina"},{"family":"Wennerholm","given":"Ulla-Britt"}],"issued":{"date-parts":[["2015",1]]}}}],"schema":"https://github.com/citation-style-language/schema/raw/master/csl-citation.json"} </w:instrText>
      </w:r>
      <w:r>
        <w:fldChar w:fldCharType="separate"/>
      </w:r>
      <w:r w:rsidR="002D20B5" w:rsidRPr="002D20B5">
        <w:rPr>
          <w:rFonts w:ascii="Aptos" w:hAnsi="Aptos" w:cs="Times New Roman"/>
          <w:sz w:val="22"/>
          <w:vertAlign w:val="superscript"/>
        </w:rPr>
        <w:t>429–431</w:t>
      </w:r>
      <w:r>
        <w:fldChar w:fldCharType="end"/>
      </w:r>
      <w:r>
        <w:t>.</w:t>
      </w:r>
      <w:r w:rsidRPr="00FF3619">
        <w:t xml:space="preserve">. Drugs like valganciclovir have also shown to impact sperm concentration and motility in adult male kidney transplant recipients, but recovery occurs following 6 months of cessation of therapy </w:t>
      </w:r>
      <w:r>
        <w:fldChar w:fldCharType="begin"/>
      </w:r>
      <w:r w:rsidR="002D20B5">
        <w:instrText xml:space="preserve"> ADDIN ZOTERO_ITEM CSL_CITATION {"citationID":"vbpTPGpJ","properties":{"formattedCitation":"\\super 432\\nosupersub{}","plainCitation":"432","noteIndex":0},"citationItems":[{"id":18787,"uris":["http://zotero.org/users/3444308/items/6MTLDL5B"],"itemData":{"id":18787,"type":"article-journal","abstract":"Ganciclovir (GCV) inhibits spermatogenesis in preclinical studies but long-term effects on fertility in renal transplant patients are unknown. In a prospective, multicenter, open-label, nonrandomized study, male patients were assigned to Cohort A [valganciclovir (VGCV), a prodrug of GCV] (n = 38) or B (no VGCV) (n = 21) by cytomegalovirus prophylaxis requirement. Changes in semen parameters and DNA fragmentation were assessed via a mixed-effects linear regression model accounting for baseline differences. Sperm concentration increased post-transplant, but between baseline and treatment end (mean 164 days Cohort A, 211 days Cohort B), the model-based change was lower in Cohort A (difference: 43.82 × 106 /ml; P = 0.0038). Post-treatment, sperm concentration increased in Cohort A so that by end of follow-up (6 months post-treatment) changes were comparable between cohorts (difference: 2.09 × 106 /ml; P = 0.92). Most patients' sperm concentration improved by end of follow-up; none with normal baseline concentrations (≥20 × 106 /ml) were abnormal at end of follow-up. Changes in seminal volume, sperm motility/morphology, DNA fragmentation, and hormone levels were comparable between cohorts at end of follow-up. Improvement in semen parameters after renal transplant was delayed in men receiving VCGV, but 6 months post-treatment parameters were comparable between cohorts.","container-title":"Transplant International: Official Journal of the European Society for Organ Transplantation","DOI":"10.1111/tri.13558","ISSN":"1432-2277","issue":"3","journalAbbreviation":"Transpl Int","language":"eng","note":"PMID: 31729770\nPMCID: PMC7065128","page":"310-320","source":"PubMed","title":"Effects of valganciclovir on spermatogenesis in renal transplant patients - results of a multicenter prospective nonrandomized study","volume":"33","author":[{"family":"McLeroth","given":"Patrick"},{"family":"Paduch","given":"Darius A."},{"family":"Abt","given":"Markus"},{"family":"Hughes","given":"Richard"},{"family":"Moore","given":"Suzanne"},{"family":"Mudie","given":"Nadejda"}],"issued":{"date-parts":[["2020",3]]}}}],"schema":"https://github.com/citation-style-language/schema/raw/master/csl-citation.json"} </w:instrText>
      </w:r>
      <w:r>
        <w:fldChar w:fldCharType="separate"/>
      </w:r>
      <w:r w:rsidR="002D20B5" w:rsidRPr="002D20B5">
        <w:rPr>
          <w:rFonts w:ascii="Aptos" w:hAnsi="Aptos" w:cs="Times New Roman"/>
          <w:sz w:val="22"/>
          <w:vertAlign w:val="superscript"/>
        </w:rPr>
        <w:t>432</w:t>
      </w:r>
      <w:r>
        <w:fldChar w:fldCharType="end"/>
      </w:r>
      <w:r w:rsidRPr="00FF3619">
        <w:t xml:space="preserve">. </w:t>
      </w:r>
    </w:p>
    <w:p w14:paraId="5250F0E1" w14:textId="4FBC1527" w:rsidR="00426BCE" w:rsidRPr="00FF3619" w:rsidRDefault="00426BCE" w:rsidP="001161CA">
      <w:r w:rsidRPr="00FF3619">
        <w:t>Azathioprine is the preferred alternative to mycophenolate mofetil/ mycophenolic acid as it is not teratogenic. Calcineurin inhibitors (CNI) can also be used safely in pregnancy. Due to the increased volume of distribution in plasma and the upregulated activity of the cytochrome P450 during pregnancy, CNI levels drop significantly especially in the first trimesters, and therefore a 25-50% increase in CNI dose should be anticipated to maintain the target trough levels of immunosuppression</w:t>
      </w:r>
      <w:r>
        <w:t xml:space="preserve"> </w:t>
      </w:r>
      <w:r>
        <w:fldChar w:fldCharType="begin"/>
      </w:r>
      <w:r w:rsidR="002D20B5">
        <w:instrText xml:space="preserve"> ADDIN ZOTERO_ITEM CSL_CITATION {"citationID":"2tMQxIzF","properties":{"formattedCitation":"\\super 433,434\\nosupersub{}","plainCitation":"433,434","noteIndex":0},"citationItems":[{"id":18782,"uris":["http://zotero.org/users/3444308/items/7DWLNIIL"],"itemData":{"id":18782,"type":"article-journal","abstract":"BACKGROUND: Information on the pharmacokinetics of tacrolimus during pregnancy is limited to case reports despite the increasing number of pregnant women being prescribed tacrolimus for immunosuppression.\nMETHODS: Blood, plasma, and urine samples were collected over 1 steady-state dosing interval from women treated with oral tacrolimus during early to late pregnancy (n = 10) and postpartum (n = 5). Total and unbound tacrolimus as well as metabolite concentrations in blood and plasma were assayed by a validated liquid chromatography/mass spectrometry/mass spectrometry (LC/MS/MS) method. A mixed-effect linear model was used for comparison across gestational age and using postpartum as the reference group.\nRESULTS: The mean oral clearance (CL/F) based on whole-blood tacrolimus concentration was 39% higher during mid-pregnancy and late pregnancy compared with postpartum (47.4 ± 12.6 vs. 34.2 ± 14.8 L/h, P &lt; 0.03). Tacrolimus-free fraction increased by 91% in plasma (f(P)) and by 100% in blood (f(B)) during pregnancy (P = 0.0007 and 0.002, respectively). Increased fP was inversely associated with serum albumin concentration (r = -0.7, P = 0.003), which decreased by 27% during pregnancy. Pregnancy-related changes in f(P) and f(B) contributed significantly to the observed gestational increase in tacrolimus whole-blood CL/F (r² = 0.36 and 0.47, respectively, P &lt; 0.01). In addition, tacrolimus whole-blood CL/F was inversely correlated with both hematocrit and red blood cell counts, suggesting that binding of tacrolimus to erythrocytes restricts its availability for metabolism. Treating physicians increased tacrolimus dosages in study participants during pregnancy by an average of 45% to maintain tacrolimus whole-blood trough concentrations in the therapeutic range. This led to striking increases in unbound tacrolimus trough concentrations and unbound area under the concentration-time curve, by 112% and 173%, respectively, during pregnancy (P = 0.02 and 0.03, respectively).\nCONCLUSIONS: Tacrolimus pharmacokinetics are altered during pregnancy. Dose adjustment to maintain whole-blood tacrolimus concentration in the usual therapeutic range during pregnancy increases circulating free drug concentrations, which may impact clinical outcomes.","container-title":"Therapeutic Drug Monitoring","DOI":"10.1097/FTD.0b013e3182708edf","ISSN":"1536-3694","issue":"6","journalAbbreviation":"Ther Drug Monit","language":"eng","note":"PMID: 23007747\nPMCID: PMC3498613","page":"660-670","source":"PubMed","title":"Pharmacokinetics of tacrolimus during pregnancy","volume":"34","author":[{"family":"Zheng","given":"Songmao"},{"family":"Easterling","given":"Thomas R."},{"family":"Umans","given":"Jason G."},{"family":"Miodovnik","given":"Menachem"},{"family":"Calamia","given":"Justina C."},{"family":"Thummel","given":"Kenneth E."},{"family":"Shen","given":"Danny D."},{"family":"Davis","given":"Connie L."},{"family":"Hebert","given":"Mary F."}],"issued":{"date-parts":[["2012",12]]}}},{"id":18783,"uris":["http://zotero.org/users/3444308/items/B2K52B5K"],"itemData":{"id":18783,"type":"article-journal","abstract":"Pregnancy after solid organ transplantation, although considered high risk for maternal, fetal, and neonatal complications, has been quite successful. Tacrolimus pharmacokinetic changes during pregnancy make interpretation of whole blood trough concentrations particularly challenging. There are multiple factors that can increase the fraction of unbound tacrolimus, including but not limited to low albumin concentration and low red blood cell count. The clinical titration of dosage to maintain whole blood tacrolimus trough concentrations in the usual therapeutic range can lead to elevated unbound concentrations and possibly toxicity in pregnant women with anemia and hypoalbuminemia. Measurement of plasma or unbound tacrolimus concentrations for pregnant women might better reflect the active form of the drug, although these are technically challenging and often unavailable in usual clinical practice. Tacrolimus crosses the placenta with in utero exposure being approximately 71% of maternal blood concentrations. The lower fetal blood concentrations are likely due to active efflux transport of tacrolimus from the fetus toward the mother by placental P-glycoprotein. To date, tacrolimus has not been linked to congenital malformations but can cause reversible nephrotoxicity and hyperkalemia in the newborn. In contrast, very small amounts of tacrolimus are excreted in the breast milk and are unlikely to elicit adverse effects in the nursing infant.","container-title":"Transplantation","DOI":"10.1097/TP.0b013e318278d367","ISSN":"1534-6080","issue":"7","journalAbbreviation":"Transplantation","language":"eng","note":"PMID: 23274970\nPMCID: PMC3637974","page":"908-915","source":"PubMed","title":"Interpreting tacrolimus concentrations during pregnancy and postpartum","volume":"95","author":[{"family":"Hebert","given":"Mary F."},{"family":"Zheng","given":"Songmao"},{"family":"Hays","given":"Karen"},{"family":"Shen","given":"Danny D."},{"family":"Davis","given":"Connie L."},{"family":"Umans","given":"Jason G."},{"family":"Miodovnik","given":"Menachem"},{"family":"Thummel","given":"Kenneth E."},{"family":"Easterling","given":"Thomas R."}],"issued":{"date-parts":[["2013",4,15]]}}}],"schema":"https://github.com/citation-style-language/schema/raw/master/csl-citation.json"} </w:instrText>
      </w:r>
      <w:r>
        <w:fldChar w:fldCharType="separate"/>
      </w:r>
      <w:r w:rsidR="002D20B5" w:rsidRPr="002D20B5">
        <w:rPr>
          <w:rFonts w:ascii="Aptos" w:hAnsi="Aptos" w:cs="Times New Roman"/>
          <w:sz w:val="22"/>
          <w:vertAlign w:val="superscript"/>
        </w:rPr>
        <w:t>433,434</w:t>
      </w:r>
      <w:r>
        <w:fldChar w:fldCharType="end"/>
      </w:r>
      <w:r w:rsidRPr="00FF3619">
        <w:t xml:space="preserve">.  </w:t>
      </w:r>
    </w:p>
    <w:p w14:paraId="0635C64D" w14:textId="77777777" w:rsidR="00426BCE" w:rsidRPr="00FF3619" w:rsidRDefault="00426BCE" w:rsidP="001161CA">
      <w:pPr>
        <w:pStyle w:val="GuidelineSubheadings"/>
      </w:pPr>
      <w:r w:rsidRPr="00FF3619">
        <w:t xml:space="preserve">Breastfeeding </w:t>
      </w:r>
    </w:p>
    <w:p w14:paraId="5805344A" w14:textId="37BEF767" w:rsidR="00426BCE" w:rsidRPr="00FF3619" w:rsidRDefault="00426BCE" w:rsidP="001161CA">
      <w:r w:rsidRPr="00FF3619">
        <w:t>All immunosuppressants are excreted in breast milk, albeit in very small quantities. The US and European expert guidelines</w:t>
      </w:r>
      <w:r>
        <w:t xml:space="preserve"> </w:t>
      </w:r>
      <w:r>
        <w:fldChar w:fldCharType="begin"/>
      </w:r>
      <w:r w:rsidR="002D20B5">
        <w:instrText xml:space="preserve"> ADDIN ZOTERO_ITEM CSL_CITATION {"citationID":"ljn4iHkz","properties":{"formattedCitation":"\\super 435,436\\nosupersub{}","plainCitation":"435,436","noteIndex":0},"citationItems":[{"id":18780,"uris":["http://zotero.org/users/3444308/items/RKFEWZAH"],"itemData":{"id":18780,"type":"book","abstract":"The LactMed® database contains information on drugs and other chemicals to which breastfeeding mothers may be exposed. It includes information on the levels of such substances in breast milk and infant blood, and the possible adverse effects in the nursing infant. Suggested therapeutic alternatives to those drugs are provided, where appropriate. All data are derived from the scientific literature and fully referenced. A peer review panel reviews the data to assure scientific validity and currency.","publisher":"National Institute of Child Health and Human Development","source":"PubMed","title":"Drugs and Lactation Database (LactMed®)","issued":{"date-parts":[["2006"]]}}},{"id":18781,"uris":["http://zotero.org/users/3444308/items/9YKTSHUS"],"itemData":{"id":18781,"type":"article-journal","container-title":"Rheumatology (Oxford, England)","DOI":"10.1093/rheumatology/keac551","ISSN":"1462-0332","issue":"4","journalAbbreviation":"Rheumatology (Oxford)","language":"eng","note":"PMID: 36318966\nPMCID: PMC10070073","page":"e48-e88","source":"PubMed","title":"British Society for Rheumatology guideline on prescribing drugs in pregnancy and breastfeeding: immunomodulatory anti-rheumatic drugs and corticosteroids","title-short":"British Society for Rheumatology guideline on prescribing drugs in pregnancy and breastfeeding","volume":"62","author":[{"family":"Russell","given":"Mark D."},{"family":"Dey","given":"Mrinalini"},{"family":"Flint","given":"Julia"},{"family":"Davie","given":"Philippa"},{"family":"Allen","given":"Alexander"},{"family":"Crossley","given":"Amy"},{"family":"Frishman","given":"Margreta"},{"family":"Gayed","given":"Mary"},{"family":"Hodson","given":"Kenneth"},{"family":"Khamashta","given":"Munther"},{"family":"Moore","given":"Louise"},{"family":"Panchal","given":"Sonia"},{"family":"Piper","given":"Madeleine"},{"family":"Reid","given":"Clare"},{"family":"Saxby","given":"Katherine"},{"family":"Schreiber","given":"Karen"},{"family":"Senvar","given":"Naz"},{"family":"Tosounidou","given":"Sofia"},{"family":"Venne","given":"Maud","non-dropping-particle":"van de"},{"family":"Warburton","given":"Louise"},{"family":"Williams","given":"David"},{"family":"Yee","given":"Chee-Seng"},{"family":"Gordon","given":"Caroline"},{"family":"Giles","given":"Ian"},{"literal":"BSR Standards, Audit and Guidelines Working Group"}],"issued":{"date-parts":[["2023",4,3]]}}}],"schema":"https://github.com/citation-style-language/schema/raw/master/csl-citation.json"} </w:instrText>
      </w:r>
      <w:r>
        <w:fldChar w:fldCharType="separate"/>
      </w:r>
      <w:r w:rsidR="002D20B5" w:rsidRPr="002D20B5">
        <w:rPr>
          <w:rFonts w:ascii="Aptos" w:hAnsi="Aptos" w:cs="Times New Roman"/>
          <w:sz w:val="22"/>
          <w:vertAlign w:val="superscript"/>
        </w:rPr>
        <w:t>435,436</w:t>
      </w:r>
      <w:r>
        <w:fldChar w:fldCharType="end"/>
      </w:r>
      <w:r w:rsidRPr="00FF3619">
        <w:t xml:space="preserve"> and National Transplantation Pregnancy Registry Guidelines </w:t>
      </w:r>
      <w:r>
        <w:fldChar w:fldCharType="begin"/>
      </w:r>
      <w:r w:rsidR="002D20B5">
        <w:instrText xml:space="preserve"> ADDIN ZOTERO_ITEM CSL_CITATION {"citationID":"7yaQ5e3S","properties":{"formattedCitation":"\\super 415\\nosupersub{}","plainCitation":"415","noteIndex":0},"citationItems":[{"id":18755,"uris":["http://zotero.org/users/3444308/items/95KMNAVT","http://zotero.org/users/3444308/items/VTS5QDEL"],"itemData":{"id":18755,"type":"article-journal","abstract":"With the constant advent of new developments and modifications in immunosuppressive regimens, clinicians are responsible for providing pregnancy counseling to all pre and posttransplant recipients of childbearing age. As individual physicians and centers accrue experience with these major therapeutic decisions, it is critical that both positive and negative outcomes be reported in appropriate settings-symposia, meetings, publications, and registries. The NTPR has acquired experience with 2000 pregnancy outcomes in female transplant recipients. For the NTPR's largest group, female kidney recipients, 71-76% of the pregnancies produce a livebirth. For the other organs combined, the livebirth likelihood ranges from 50-86%. The incidence of birth defects in the liveborn appears similar to the general population, except for pregnancies with MPA exposure that have a 23% incidence of birth defects. Long-term follow-up of the offspring of transplant recipients has provided reassurance after 20 years of observation. The continued recording of data in registries such as the NTPR is essential for assessing the safety of pregnancy in solid organ transplant recipients. Key benefits of the NTPR are the personal contact between registry staff and participants, the wide range of pregnancy-related variables that are analyzed, and the opportunity for health-care providers to obtain information that helps them care for transplant recipients on a case-by-case basis.","container-title":"Clinical Transplants","ISSN":"0890-9016","journalAbbreviation":"Clin Transpl","language":"eng","note":"PMID: 21698831","page":"65-85","source":"PubMed","title":"Report from the National Transplantation Pregnancy Registry (NTPR): outcomes of pregnancy after transplantation","title-short":"Report from the National Transplantation Pregnancy Registry (NTPR)","author":[{"family":"Coscia","given":"Lisa A."},{"family":"Constantinescu","given":"Serban"},{"family":"Moritz","given":"Michael J."},{"family":"Frank","given":"Adam M."},{"family":"Ramirez","given":"Carlo B."},{"family":"Maley","given":"Warren R."},{"family":"Doria","given":"Cataldo"},{"family":"McGrory","given":"Carolyn H."},{"family":"Armenti","given":"Vincent T."}],"issued":{"date-parts":[["2010"]]}}}],"schema":"https://github.com/citation-style-language/schema/raw/master/csl-citation.json"} </w:instrText>
      </w:r>
      <w:r>
        <w:fldChar w:fldCharType="separate"/>
      </w:r>
      <w:r w:rsidR="002D20B5" w:rsidRPr="002D20B5">
        <w:rPr>
          <w:rFonts w:ascii="Aptos" w:hAnsi="Aptos" w:cs="Times New Roman"/>
          <w:sz w:val="22"/>
          <w:vertAlign w:val="superscript"/>
        </w:rPr>
        <w:t>415</w:t>
      </w:r>
      <w:r>
        <w:fldChar w:fldCharType="end"/>
      </w:r>
      <w:r w:rsidRPr="00FF3619">
        <w:t xml:space="preserve"> consider the use of tacrolimus, cyclosporine, prednisolone and azathioprine to be acceptable during breastfeeding. On the other hand, the paucity of safety data in lactating women precludes the use of MPA </w:t>
      </w:r>
      <w:r>
        <w:fldChar w:fldCharType="begin"/>
      </w:r>
      <w:r w:rsidR="002D20B5">
        <w:instrText xml:space="preserve"> ADDIN ZOTERO_ITEM CSL_CITATION {"citationID":"cYsTTMOH","properties":{"formattedCitation":"\\super 437\\nosupersub{}","plainCitation":"437","noteIndex":0},"citationItems":[{"id":18779,"uris":["http://zotero.org/users/3444308/items/E3U5BXUS"],"itemData":{"id":18779,"type":"article-journal","container-title":"Journal of Nephrology","DOI":"10.1007/s40620-023-01672-2","ISSN":"1724-6059","issue":"6","journalAbbreviation":"J Nephrol","language":"eng","note":"PMID: 37285005","page":"1715-1717","source":"PubMed","title":"Transfer of mycophenolic acid into human milk","volume":"36","author":[{"family":"Krutsch","given":"Kaytlin"},{"family":"Burkham","given":"Jordan"},{"family":"Datta","given":"Palika"},{"family":"Hale","given":"Thomas W."}],"issued":{"date-parts":[["2023",7]]}}}],"schema":"https://github.com/citation-style-language/schema/raw/master/csl-citation.json"} </w:instrText>
      </w:r>
      <w:r>
        <w:fldChar w:fldCharType="separate"/>
      </w:r>
      <w:r w:rsidR="002D20B5" w:rsidRPr="002D20B5">
        <w:rPr>
          <w:rFonts w:ascii="Aptos" w:hAnsi="Aptos" w:cs="Times New Roman"/>
          <w:sz w:val="22"/>
          <w:vertAlign w:val="superscript"/>
        </w:rPr>
        <w:t>437</w:t>
      </w:r>
      <w:r>
        <w:fldChar w:fldCharType="end"/>
      </w:r>
      <w:r w:rsidRPr="00FF3619">
        <w:t xml:space="preserve">, </w:t>
      </w:r>
      <w:proofErr w:type="spellStart"/>
      <w:r w:rsidRPr="00FF3619">
        <w:t>mTORi</w:t>
      </w:r>
      <w:proofErr w:type="spellEnd"/>
      <w:r w:rsidRPr="00FF3619">
        <w:t xml:space="preserve"> </w:t>
      </w:r>
      <w:r>
        <w:fldChar w:fldCharType="begin"/>
      </w:r>
      <w:r w:rsidR="002D20B5">
        <w:instrText xml:space="preserve"> ADDIN ZOTERO_ITEM CSL_CITATION {"citationID":"8YGvHGvn","properties":{"formattedCitation":"\\super 438\\nosupersub{}","plainCitation":"438","noteIndex":0},"citationItems":[{"id":18778,"uris":["http://zotero.org/users/3444308/items/C4B325GN"],"itemData":{"id":18778,"type":"article-journal","abstract":"Following successful kidney transplantation, recipients usually regain fertility. Post-engraftment pregnancies should be planned and the teratogenic mycophenolic acid should be replaced with azathioprine before conception. To avoid unintentional pregnancies, pre-conception counseling is mandatory in women of reproductive age who are scheduled for a kidney transplant. Counseling should be repeated after transplantation. Female recipients should receive advice to use long-acting reversible contraception and avoid pregnancy for a minimum of 1 year following transplantation. Conception should be deferred even longer in female recipients with moderate to severe proteinuria, uncontrolled hypertension or reduced graft function and be very carefully discussed in highly HLA-sensitized patients. The recipient wishes, values and acceptance of pregnancy-related risk should receive attention. Assisted fertilization increases the risk of pre-eclampsia, but still result in live births. Pregnancy management in kidney transplant recipients should be provided by a multidisciplinary team consisting of a nephrologist, a midwife and an obstetrician with expertise in high-risk pregnancies. Until measurement of unbound fraction of calcineurin inhibitors becomes clinically available, we recommend to adjust calcineurin inhibitor dose according to whole blood trough level, even though it overestimates the effective drug concentration during pregnancy. If nephrotoxicity is suspected, the calcineurin inhibitor dose should be reduced. Breastfeeding should be accepted after kidney transplantation since infant immunosuppressive drug exposure via breastmilk is extremely low. The prevalence of congenital malformations in children fathered by male recipients, including patients on mycophenolic acid therapy at the time of conception, is at level with the general population.","container-title":"Transplantation","DOI":"10.1097/TP.0000000000002903","ISSN":"1534-6080","issue":"11","journalAbbreviation":"Transplantation","language":"eng","note":"PMID: 31397802","page":"e325-e333","source":"PubMed","title":"Immunosuppression and Reproductive Health After Kidney Transplantation","volume":"103","author":[{"family":"Chandra","given":"Anupam"},{"family":"Midtvedt","given":"Karsten"},{"family":"Åsberg","given":"Anders"},{"family":"Eide","given":"Ivar Anders"}],"issued":{"date-parts":[["2019",11]]}}}],"schema":"https://github.com/citation-style-language/schema/raw/master/csl-citation.json"} </w:instrText>
      </w:r>
      <w:r>
        <w:fldChar w:fldCharType="separate"/>
      </w:r>
      <w:r w:rsidR="002D20B5" w:rsidRPr="002D20B5">
        <w:rPr>
          <w:rFonts w:ascii="Aptos" w:hAnsi="Aptos" w:cs="Times New Roman"/>
          <w:sz w:val="22"/>
          <w:vertAlign w:val="superscript"/>
        </w:rPr>
        <w:t>438</w:t>
      </w:r>
      <w:r>
        <w:fldChar w:fldCharType="end"/>
      </w:r>
      <w:r w:rsidRPr="00FF3619">
        <w:t xml:space="preserve">, </w:t>
      </w:r>
      <w:proofErr w:type="spellStart"/>
      <w:r w:rsidRPr="00FF3619">
        <w:t>belatacept</w:t>
      </w:r>
      <w:proofErr w:type="spellEnd"/>
      <w:r w:rsidRPr="00FF3619">
        <w:t xml:space="preserve"> therapy </w:t>
      </w:r>
      <w:r>
        <w:fldChar w:fldCharType="begin"/>
      </w:r>
      <w:r w:rsidR="002D20B5">
        <w:instrText xml:space="preserve"> ADDIN ZOTERO_ITEM CSL_CITATION {"citationID":"rCBPFrkv","properties":{"formattedCitation":"\\super 439\\nosupersub{}","plainCitation":"439","noteIndex":0},"citationItems":[{"id":18777,"uris":["http://zotero.org/users/3444308/items/64CR85NK"],"itemData":{"id":18777,"type":"article-journal","abstract":"BACKGROUND: Posttransplant fertility returns quickly, and female recipients of child-bearing age may conceive while on immunosuppression. However, pregnancy after transplantation confers risks to the recipient, transplant, and fetus, including gestational hypertension, preeclampsia, gestational diabetes, transplant dysfunction, preterm labor, and low birthweight infants. Additionally, mycophenolic acid (MPA) products are teratogenic. Literature evidence regarding belatacept, a selective T-cell costimulation blocker, during pregnancy and while breastfeeding is extremely limited. When female transplant recipients on a belatacept-based regimen are desirous of pregnancy or at the time of conception, transplant providers manage the immunosuppression regimen in 1 of 2 ways: (1) switch both belatacept and MPA to a calcineurin inhibitor-based regimen with or without azathioprine, which is the more common practice but requires several modifications, having potential negative outcomes; or (2) only switch MPA to azathioprine while continuing belatacept.\nMETHODS: This case series includes 16 pregnancies in 12 recipients with exposure to belatacept throughout pregnancy and while breastfeeding. Patient information was obtained from several sources, including Transplant Pregnancy Registry International, providers at Emory University, and Columbia University, as well as literature review.\nRESULTS: Pregnancy outcomes included 13 live births and 3 miscarriages. No birth defects or fetal deaths were reported in any of the live births. Seven infants were breastfed while their mothers continued belatacept. Outcomes appear comparable to those documented with the administration of calcineurin inhibitors.\nCONCLUSIONS: This case series provides data supporting the continued administration of belatacept during pregnancy. Additional research will assist in developing better guidelines to counsel female transplant recipients on belatacept desiring to pursue pregnancy.","container-title":"Transplantation","DOI":"10.1097/TP.0000000000004634","ISSN":"1534-6080","issue":"9","journalAbbreviation":"Transplantation","language":"eng","note":"PMID: 37287109\nPMCID: PMC10442140","page":"2047-2054","source":"PubMed","title":"Outcomes With Belatacept Exposure During Pregnancy in Kidney Transplant Recipients: A Case Series","title-short":"Outcomes With Belatacept Exposure During Pregnancy in Kidney Transplant Recipients","volume":"107","author":[{"family":"Coscia","given":"Lisa"},{"family":"Cohen","given":"David"},{"family":"Dube","given":"Geoffrey K."},{"family":"Hofmann","given":"R. Michael"},{"family":"Moritz","given":"Michael J."},{"family":"Gattis","given":"Sara"},{"family":"Basu","given":"Arpita"}],"issued":{"date-parts":[["2023",9,1]]}}}],"schema":"https://github.com/citation-style-language/schema/raw/master/csl-citation.json"} </w:instrText>
      </w:r>
      <w:r>
        <w:fldChar w:fldCharType="separate"/>
      </w:r>
      <w:r w:rsidR="002D20B5" w:rsidRPr="002D20B5">
        <w:rPr>
          <w:rFonts w:ascii="Aptos" w:hAnsi="Aptos" w:cs="Times New Roman"/>
          <w:sz w:val="22"/>
          <w:vertAlign w:val="superscript"/>
        </w:rPr>
        <w:t>439</w:t>
      </w:r>
      <w:r>
        <w:fldChar w:fldCharType="end"/>
      </w:r>
      <w:r w:rsidRPr="00FF3619">
        <w:t xml:space="preserve">, and rituximab </w:t>
      </w:r>
      <w:r>
        <w:fldChar w:fldCharType="begin"/>
      </w:r>
      <w:r w:rsidR="002D20B5">
        <w:instrText xml:space="preserve"> ADDIN ZOTERO_ITEM CSL_CITATION {"citationID":"Xa658gbJ","properties":{"formattedCitation":"\\super 423,436,440,441\\nosupersub{}","plainCitation":"423,436,440,441","noteIndex":0},"citationItems":[{"id":18759,"uris":["http://zotero.org/users/3444308/items/DK3ZE3TN","http://zotero.org/users/3444308/items/9V5Z8PU8"],"itemData":{"id":18759,"type":"article-journal","abstract":"It has been almost 50 years since the first child was born to a female transplant recipient. Since that time pregnancy has become common after transplantation, but physicians have been left to rely on case reports, small series and data from voluntary registries to guide the care of their patients. Many uncertainties exist including the risks that pregnancy presents to the graft, the patient herself, and the long-term risks to the fetus. It is also unclear how to best modify immunosuppressive agents or treat rejection during pregnancy, especially in light of newer agents available where pregnancy safety has not been established. To begin to address uncertainties and define clinical practice guidelines for the transplant physician and obstetrical caregivers, a consensus conference was held in Bethesda, Md. The conferees summarized both what is known and important gaps in our knowledge. They also identified key areas of agreement, and posed a number of critical questions, the resolution of which is necessary in order to establish evidence-based guidelines. The manuscript summarizes the deliberations and conclusions of the conference as well as specific recommendations based on current knowledge in the field.","container-title":"American Journal of Transplantation: Official Journal of the American Society of Transplantation and the American Society of Transplant Surgeons","DOI":"10.1111/j.1600-6143.2005.00969.x","ISSN":"1600-6135","issue":"7","journalAbbreviation":"Am J Transplant","language":"eng","note":"PMID: 15943616","page":"1592-1599","source":"PubMed","title":"Reproduction and transplantation: report on the AST Consensus Conference on Reproductive Issues and Transplantation","title-short":"Reproduction and transplantation","volume":"5","author":[{"family":"McKay","given":"Dianne B."},{"family":"Josephson","given":"Michelle A."},{"family":"Armenti","given":"Vincent T."},{"family":"August","given":"Phyllis"},{"family":"Coscia","given":"Lisa A."},{"family":"Davis","given":"Connie L."},{"family":"Davison","given":"John M."},{"family":"Easterling","given":"Thomas"},{"family":"Friedman","given":"Jan E."},{"family":"Hou","given":"Susan"},{"family":"Karlix","given":"Janet"},{"family":"Lake","given":"Kathleen D."},{"family":"Lindheimer","given":"Marshall"},{"family":"Matas","given":"Arthur J."},{"family":"Moritz","given":"Michael J."},{"family":"Riely","given":"Caroline A."},{"family":"Ross","given":"Lainie Friedman"},{"family":"Scott","given":"James R."},{"family":"Wagoner","given":"Lynne E."},{"family":"Wrenshall","given":"Lucile"},{"family":"Adams","given":"Patricia L."},{"family":"Bumgardner","given":"Ginny L."},{"family":"Fine","given":"Richard N."},{"family":"Goral","given":"Simin"},{"family":"Krams","given":"Sheri M."},{"family":"Martinez","given":"Olivia M."},{"family":"Tolkoff-Rubin","given":"Nina"},{"family":"Pavlakis","given":"Martha"},{"family":"Scantlebury","given":"Velma"},{"literal":"Women's Health Committee of the American Society of Transplantation"}],"issued":{"date-parts":[["2005",7]]}}},{"id":18775,"uris":["http://zotero.org/users/3444308/items/XK6FSLMG"],"itemData":{"id":18775,"type":"article-journal","abstract":"Transplantation affords recipients the potential for a full life and, for some, parenthood. Female transplant recipients must continue to take immunosuppression during pregnancy and breast-feeding. This article reviews case and series reports regarding breast-feeding in those taking transplant medications. Avoidance of breast-feeding has been the customary advice because of the potential adverse effects of immunosuppressive exposure on the infant. Subsequent studies have demonstrated that not all medication exposure translates to risk for the infant, that the exposure in utero is greater than via breast milk and that no lingering effects due to breast-feeding have been found to date in infants who were breast-fed while their mothers were taking prednisone, azathioprine, cyclosporine, and/or tacrolimus. Thus, except for those medications where clinical information is inadequate (mycophenolic acid products, sirolimus, everolimus, and belatacept), the recommendation for transplant recipients regarding breast-feeding has evolved into one that is cautiously optimistic.","container-title":"Best Practice &amp; Research. Clinical Obstetrics &amp; Gynaecology","DOI":"10.1016/j.bpobgyn.2014.09.001","ISSN":"1532-1932","issue":"8","journalAbbreviation":"Best Pract Res Clin Obstet Gynaecol","language":"eng","note":"PMID: 25271063","page":"1163-1173","source":"PubMed","title":"Breast-feeding after transplantation","volume":"28","author":[{"family":"Constantinescu","given":"Serban"},{"family":"Pai","given":"Akshta"},{"family":"Coscia","given":"Lisa A."},{"family":"Davison","given":"John M."},{"family":"Moritz","given":"Michael J."},{"family":"Armenti","given":"Vincent T."}],"issued":{"date-parts":[["2014",11]]}}},{"id":18776,"uris":["http://zotero.org/users/3444308/items/P6LWWSED"],"itemData":{"id":18776,"type":"article-journal","abstract":"Care of pregnant woman, including fertility and procreation counseling, has become a significant part of the nephrological practice in the last years. In this context, the management of immunosuppression assumes a primary role both for autoimmune diseases and for post-transplant follow up. The present review analyzes the latest evidence on immunosuppressive drugs of current use in nephrology and kidney transplantation. Although the placenta inactivates prednisone and prednisolone, it is advisable to limit the dose to the minimal effective one, to prevent side effects. Azathioprine is generally the immunosuppressive of choice in many high-risk pregnancies in autoimmune diseases because of the safety profile and its steroid-sparing property. In lupus nephropathy, hydroxychloroquine is a current indication in the prevention of flares. Cyclosporine and tacrolimus can also be used as steroid-sparing agents as well as in post-transplant maintenance therapy. Experience on mammalian target of rapamycin inhibitors is limited and its use during pregnancy is still controversial even if initial positive data are emerging. Intravenous immunoglobulins are safe and represent an important option for relapses of lupus and vasculitis. Mycophenolate mofetil and cyclophosphamide are to avoid. An important part is reserved to biologic agents, which are having a huge impact on therapy protocols for several pathologies. Data on the utilization of these molecules during pregnancy, however, are still scant and therefore they do not yet allow a definitive evaluation of their safety profile.","container-title":"Journal of Nephrology","DOI":"10.1007/s40620-018-0477-3","ISSN":"1724-6059","issue":"3","journalAbbreviation":"J Nephrol","language":"eng","note":"PMID: 29476421","page":"361-383","source":"PubMed","title":"Immunosuppression in pregnant women with renal disease: review of the latest evidence in the biologics era","title-short":"Immunosuppression in pregnant women with renal disease","volume":"31","author":[{"family":"Colla","given":"Loredana"},{"family":"Diena","given":"Davide"},{"family":"Rossetti","given":"Maura"},{"family":"Manzione","given":"Ana Maria"},{"family":"Marozio","given":"Luca"},{"family":"Benedetto","given":"Chiara"},{"family":"Biancone","given":"Luigi"}],"issued":{"date-parts":[["2018",6]]}}},{"id":18781,"uris":["http://zotero.org/users/3444308/items/9YKTSHUS"],"itemData":{"id":18781,"type":"article-journal","container-title":"Rheumatology (Oxford, England)","DOI":"10.1093/rheumatology/keac551","ISSN":"1462-0332","issue":"4","journalAbbreviation":"Rheumatology (Oxford)","language":"eng","note":"PMID: 36318966\nPMCID: PMC10070073","page":"e48-e88","source":"PubMed","title":"British Society for Rheumatology guideline on prescribing drugs in pregnancy and breastfeeding: immunomodulatory anti-rheumatic drugs and corticosteroids","title-short":"British Society for Rheumatology guideline on prescribing drugs in pregnancy and breastfeeding","volume":"62","author":[{"family":"Russell","given":"Mark D."},{"family":"Dey","given":"Mrinalini"},{"family":"Flint","given":"Julia"},{"family":"Davie","given":"Philippa"},{"family":"Allen","given":"Alexander"},{"family":"Crossley","given":"Amy"},{"family":"Frishman","given":"Margreta"},{"family":"Gayed","given":"Mary"},{"family":"Hodson","given":"Kenneth"},{"family":"Khamashta","given":"Munther"},{"family":"Moore","given":"Louise"},{"family":"Panchal","given":"Sonia"},{"family":"Piper","given":"Madeleine"},{"family":"Reid","given":"Clare"},{"family":"Saxby","given":"Katherine"},{"family":"Schreiber","given":"Karen"},{"family":"Senvar","given":"Naz"},{"family":"Tosounidou","given":"Sofia"},{"family":"Venne","given":"Maud","non-dropping-particle":"van de"},{"family":"Warburton","given":"Louise"},{"family":"Williams","given":"David"},{"family":"Yee","given":"Chee-Seng"},{"family":"Gordon","given":"Caroline"},{"family":"Giles","given":"Ian"},{"literal":"BSR Standards, Audit and Guidelines Working Group"}],"issued":{"date-parts":[["2023",4,3]]}}}],"schema":"https://github.com/citation-style-language/schema/raw/master/csl-citation.json"} </w:instrText>
      </w:r>
      <w:r>
        <w:fldChar w:fldCharType="separate"/>
      </w:r>
      <w:r w:rsidR="002D20B5" w:rsidRPr="002D20B5">
        <w:rPr>
          <w:rFonts w:ascii="Aptos" w:hAnsi="Aptos" w:cs="Times New Roman"/>
          <w:sz w:val="22"/>
          <w:vertAlign w:val="superscript"/>
        </w:rPr>
        <w:t>423,436,440,441</w:t>
      </w:r>
      <w:r>
        <w:fldChar w:fldCharType="end"/>
      </w:r>
      <w:r>
        <w:t>.</w:t>
      </w:r>
      <w:r w:rsidRPr="00FF3619">
        <w:t xml:space="preserve"> </w:t>
      </w:r>
    </w:p>
    <w:p w14:paraId="5AB3DD30" w14:textId="22FE410E" w:rsidR="00426BCE" w:rsidRPr="00FF3619" w:rsidRDefault="00426BCE" w:rsidP="001161CA">
      <w:r w:rsidRPr="00FF3619">
        <w:t xml:space="preserve">We advise health care professionals to consult the online LACTMED database </w:t>
      </w:r>
      <w:r>
        <w:fldChar w:fldCharType="begin"/>
      </w:r>
      <w:r w:rsidR="002D20B5">
        <w:instrText xml:space="preserve"> ADDIN ZOTERO_ITEM CSL_CITATION {"citationID":"ICSveZuL","properties":{"formattedCitation":"\\super 435\\nosupersub{}","plainCitation":"435","noteIndex":0},"citationItems":[{"id":18780,"uris":["http://zotero.org/users/3444308/items/RKFEWZAH"],"itemData":{"id":18780,"type":"book","abstract":"The LactMed® database contains information on drugs and other chemicals to which breastfeeding mothers may be exposed. It includes information on the levels of such substances in breast milk and infant blood, and the possible adverse effects in the nursing infant. Suggested therapeutic alternatives to those drugs are provided, where appropriate. All data are derived from the scientific literature and fully referenced. A peer review panel reviews the data to assure scientific validity and currency.","publisher":"National Institute of Child Health and Human Development","source":"PubMed","title":"Drugs and Lactation Database (LactMed®)","issued":{"date-parts":[["2006"]]}}}],"schema":"https://github.com/citation-style-language/schema/raw/master/csl-citation.json"} </w:instrText>
      </w:r>
      <w:r>
        <w:fldChar w:fldCharType="separate"/>
      </w:r>
      <w:r w:rsidR="002D20B5" w:rsidRPr="002D20B5">
        <w:rPr>
          <w:rFonts w:ascii="Aptos" w:hAnsi="Aptos" w:cs="Times New Roman"/>
          <w:sz w:val="22"/>
          <w:vertAlign w:val="superscript"/>
        </w:rPr>
        <w:t>435</w:t>
      </w:r>
      <w:r>
        <w:fldChar w:fldCharType="end"/>
      </w:r>
      <w:r w:rsidRPr="00FF3619">
        <w:t xml:space="preserve"> which uses updated registry and literature reviews to provide pharmacokinetic data and safety recommendations.</w:t>
      </w:r>
    </w:p>
    <w:p w14:paraId="68C10BE4" w14:textId="77777777" w:rsidR="00426BCE" w:rsidRPr="00FF3619" w:rsidRDefault="00426BCE" w:rsidP="001161CA">
      <w:pPr>
        <w:pStyle w:val="GuidelineSubheadings"/>
      </w:pPr>
      <w:r w:rsidRPr="00FF3619">
        <w:t xml:space="preserve">Contraception </w:t>
      </w:r>
    </w:p>
    <w:p w14:paraId="71F34CBA" w14:textId="0C2AFC9B" w:rsidR="00426BCE" w:rsidRPr="00FF3619" w:rsidRDefault="00426BCE" w:rsidP="001161CA">
      <w:r w:rsidRPr="00FF3619">
        <w:t>Progesterone-only contraceptive techniques (</w:t>
      </w:r>
      <w:proofErr w:type="spellStart"/>
      <w:r w:rsidRPr="00FF3619">
        <w:t>eg.</w:t>
      </w:r>
      <w:proofErr w:type="spellEnd"/>
      <w:r w:rsidRPr="00FF3619">
        <w:t xml:space="preserve"> progesterone only-pill, intra-uterine system/ device, subdermal implant) can be used safely and effectively in women with a kidney transplant</w:t>
      </w:r>
      <w:r>
        <w:t xml:space="preserve"> </w:t>
      </w:r>
      <w:r>
        <w:fldChar w:fldCharType="begin"/>
      </w:r>
      <w:r w:rsidR="002D20B5">
        <w:instrText xml:space="preserve"> ADDIN ZOTERO_ITEM CSL_CITATION {"citationID":"17Jdae2J","properties":{"formattedCitation":"\\super 442\\nosupersub{}","plainCitation":"442","noteIndex":0},"citationItems":[{"id":18774,"uris":["http://zotero.org/users/3444308/items/6SGA92BJ"],"itemData":{"id":18774,"type":"article-journal","abstract":"Chronic kidney disease (CKD) is associated with reduced fertility and an increased risk of adverse pregnancy outcomes. Rates of pre-eclampsia, fetal growth restriction and preterm delivery increase incrementally with the severity of CKD and proteinuria. Pre-pregnancy counselling can facilitate informed decision-making. Safe and effective contraception is required for women who wish to delay or avoid pregnancy. Pregnancy planning for women who wish to conceive involves appropriate substitution of known teratogens - including mycophenolate mofetil, angiotensin blockers and cyclophosphamide - and can aid optimization of disease control. However, pregnancy, which can occur in women with any stage of CKD, can exacerbate comorbidities such as anaemia, vitamin D deficiency and hypertension. Increased haemodialysis provision is associated with improved pregnancy outcomes for women on dialysis. Diagnosis of pre-eclampsia in women with CKD is complicated in patients with pre-existing hypertension and proteinuria but can be improved by the use of vasoactive biomarkers as well as placental and fetal Doppler ultrasound. Pregnancy data for newer drugs used in CKD are limited as pregnancy and CKD are common exclusion criteria for drug and intervention trials. Although prospective data may be available for older drugs, the use of most drugs in pregnancy is based on retrospective data and expert consensus.","container-title":"Nature Reviews. Nephrology","DOI":"10.1038/nrneph.2017.187","ISSN":"1759-507X","issue":"3","journalAbbreviation":"Nat Rev Nephrol","language":"eng","note":"PMID: 29355168","page":"165-184","source":"PubMed","title":"Reproductive health and pregnancy in women with chronic kidney disease","volume":"14","author":[{"family":"Wiles","given":"Kate S."},{"family":"Nelson-Piercy","given":"Catherine"},{"family":"Bramham","given":"Kate"}],"issued":{"date-parts":[["2018",3]]}}}],"schema":"https://github.com/citation-style-language/schema/raw/master/csl-citation.json"} </w:instrText>
      </w:r>
      <w:r>
        <w:fldChar w:fldCharType="separate"/>
      </w:r>
      <w:r w:rsidR="002D20B5" w:rsidRPr="002D20B5">
        <w:rPr>
          <w:rFonts w:ascii="Aptos" w:hAnsi="Aptos" w:cs="Times New Roman"/>
          <w:sz w:val="22"/>
          <w:vertAlign w:val="superscript"/>
        </w:rPr>
        <w:t>442</w:t>
      </w:r>
      <w:r>
        <w:fldChar w:fldCharType="end"/>
      </w:r>
      <w:r w:rsidRPr="00FF3619">
        <w:t xml:space="preserve">. Oestrogen-containing contraceptives confer an increased risk of hypertension, venous and arterial thromboembolism and therefore, should be avoided if at all possible in this subgroup of patients </w:t>
      </w:r>
      <w:r>
        <w:fldChar w:fldCharType="begin"/>
      </w:r>
      <w:r w:rsidR="002D20B5">
        <w:instrText xml:space="preserve"> ADDIN ZOTERO_ITEM CSL_CITATION {"citationID":"GV8zF8cq","properties":{"formattedCitation":"\\super 442,443\\nosupersub{}","plainCitation":"442,443","noteIndex":0},"citationItems":[{"id":18773,"uris":["http://zotero.org/users/3444308/items/NQEA9XHY"],"itemData":{"id":18773,"type":"article-journal","abstract":"Combined hormonal contraceptives [combined oral contraceptives (COCs)] have been available for over 50 years and the impact of this invention may not be overestimated. Today over 100 million women are current users and in Western Europe and the United States approximately 80% of women of fertile ages can be considered as ever-users. Over the years several drawbacks have been identified and media alarms on risks are frequently presented, resulting in suboptimal compliance and low compliance and continuation rates. Poor compliance and discontinuation is a big problem and is not generally identified by prescribers. During ideal use COCs offer very good protection against unwanted pregnancies, however there is a big problem with compliance and continuation and thus the 'real-life' efficacy is much lower. Reasons for poor compliance include side effects and fear of side effects and it is crucial that the prescriber gives the individual woman thorough and balanced information on the benefits and risks. Most well known is the increased risk of venous thromboembolism, but also an elevated risk of arterial thrombosis and several types of cancer has been reported. The risk estimates are low but according to the large number of users a substantial number of extra cases will occur. However, use of COCs also offers several additional health benefits with significant impact on morbidity and quality of life. COC use is associated with a substantial decrease in the risk of ovarian cancer, endometrial cancer and colorectal cancer. Moreover, COCs are a major option of treatment for women suffering from heavy menstrual bleeding and dysmenorrhea as well as hirsutism and acne vulgaris. The net effect of the additional health effects of COC- use may very well be positive, i.e. a slight increase in life expectancy.","container-title":"Therapeutic Advances in Drug Safety","DOI":"10.1177/2042098614548857","ISSN":"2042-0986","issue":"5","journalAbbreviation":"Ther Adv Drug Saf","language":"eng","note":"PMID: 25360241\nPMCID: PMC4212440","page":"201-213","source":"PubMed","title":"Combined hormonal contraceptives: prescribing patterns, compliance, and benefits versus risks","title-short":"Combined hormonal contraceptives","volume":"5","author":[{"family":"Brynhildsen","given":"Jan"}],"issued":{"date-parts":[["2014",10]]}}},{"id":18774,"uris":["http://zotero.org/users/3444308/items/6SGA92BJ"],"itemData":{"id":18774,"type":"article-journal","abstract":"Chronic kidney disease (CKD) is associated with reduced fertility and an increased risk of adverse pregnancy outcomes. Rates of pre-eclampsia, fetal growth restriction and preterm delivery increase incrementally with the severity of CKD and proteinuria. Pre-pregnancy counselling can facilitate informed decision-making. Safe and effective contraception is required for women who wish to delay or avoid pregnancy. Pregnancy planning for women who wish to conceive involves appropriate substitution of known teratogens - including mycophenolate mofetil, angiotensin blockers and cyclophosphamide - and can aid optimization of disease control. However, pregnancy, which can occur in women with any stage of CKD, can exacerbate comorbidities such as anaemia, vitamin D deficiency and hypertension. Increased haemodialysis provision is associated with improved pregnancy outcomes for women on dialysis. Diagnosis of pre-eclampsia in women with CKD is complicated in patients with pre-existing hypertension and proteinuria but can be improved by the use of vasoactive biomarkers as well as placental and fetal Doppler ultrasound. Pregnancy data for newer drugs used in CKD are limited as pregnancy and CKD are common exclusion criteria for drug and intervention trials. Although prospective data may be available for older drugs, the use of most drugs in pregnancy is based on retrospective data and expert consensus.","container-title":"Nature Reviews. Nephrology","DOI":"10.1038/nrneph.2017.187","ISSN":"1759-507X","issue":"3","journalAbbreviation":"Nat Rev Nephrol","language":"eng","note":"PMID: 29355168","page":"165-184","source":"PubMed","title":"Reproductive health and pregnancy in women with chronic kidney disease","volume":"14","author":[{"family":"Wiles","given":"Kate S."},{"family":"Nelson-Piercy","given":"Catherine"},{"family":"Bramham","given":"Kate"}],"issued":{"date-parts":[["2018",3]]}}}],"schema":"https://github.com/citation-style-language/schema/raw/master/csl-citation.json"} </w:instrText>
      </w:r>
      <w:r>
        <w:fldChar w:fldCharType="separate"/>
      </w:r>
      <w:r w:rsidR="002D20B5" w:rsidRPr="002D20B5">
        <w:rPr>
          <w:rFonts w:ascii="Aptos" w:hAnsi="Aptos" w:cs="Times New Roman"/>
          <w:sz w:val="22"/>
          <w:vertAlign w:val="superscript"/>
        </w:rPr>
        <w:t>442,443</w:t>
      </w:r>
      <w:r>
        <w:fldChar w:fldCharType="end"/>
      </w:r>
      <w:r w:rsidRPr="00FF3619">
        <w:t xml:space="preserve">. Barrier contraception provides protection against sexually transmitted infections, but it is not considered as an effective contraceptive option if used on its own due to the high chance of failure </w:t>
      </w:r>
      <w:r>
        <w:fldChar w:fldCharType="begin"/>
      </w:r>
      <w:r w:rsidR="002D20B5">
        <w:instrText xml:space="preserve"> ADDIN ZOTERO_ITEM CSL_CITATION {"citationID":"oSvVMH50","properties":{"formattedCitation":"\\super 444\\nosupersub{}","plainCitation":"444","noteIndex":0},"citationItems":[{"id":18772,"uris":["http://zotero.org/users/3444308/items/K74X8BNY"],"itemData":{"id":18772,"type":"article-journal","abstract":"This review provides an update of previous estimates of first-year probabilities of contraceptive failure for all methods of contraception available in the United States. Estimates are provided of probabilities of failure during typical use (which includes both incorrect and inconsistent use) and during perfect use (correct and consistent use). The difference between these two probabilities reveals the consequences of imperfect use; it depends both on how unforgiving of imperfect use a method is and on how hard it is to use that method perfectly. These revisions reflect new research on contraceptive failure both during perfect use and during typical use.","container-title":"Contraception","DOI":"10.1016/j.contraception.2011.01.021","ISSN":"1879-0518","issue":"5","journalAbbreviation":"Contraception","language":"eng","note":"PMID: 21477680\nPMCID: PMC3638209","page":"397-404","source":"PubMed","title":"Contraceptive failure in the United States","volume":"83","author":[{"family":"Trussell","given":"James"}],"issued":{"date-parts":[["2011",5]]}}}],"schema":"https://github.com/citation-style-language/schema/raw/master/csl-citation.json"} </w:instrText>
      </w:r>
      <w:r>
        <w:fldChar w:fldCharType="separate"/>
      </w:r>
      <w:r w:rsidR="002D20B5" w:rsidRPr="002D20B5">
        <w:rPr>
          <w:rFonts w:ascii="Aptos" w:hAnsi="Aptos" w:cs="Times New Roman"/>
          <w:sz w:val="22"/>
          <w:vertAlign w:val="superscript"/>
        </w:rPr>
        <w:t>444</w:t>
      </w:r>
      <w:r>
        <w:fldChar w:fldCharType="end"/>
      </w:r>
      <w:r w:rsidRPr="00FF3619">
        <w:t xml:space="preserve">. Therefore, both barrier and hormonal techniques are recommended when using teratogenic immunosuppression. </w:t>
      </w:r>
    </w:p>
    <w:p w14:paraId="1DD36F69" w14:textId="77777777" w:rsidR="00426BCE" w:rsidRPr="00FF3619" w:rsidRDefault="00426BCE" w:rsidP="001161CA">
      <w:pPr>
        <w:pStyle w:val="GuidelineSubheadings"/>
      </w:pPr>
      <w:r w:rsidRPr="00FF3619">
        <w:t xml:space="preserve">Assisted Reproductive Technology (ART) treatment </w:t>
      </w:r>
    </w:p>
    <w:p w14:paraId="5365E217" w14:textId="30BBDC13" w:rsidR="00426BCE" w:rsidRPr="00FF3619" w:rsidRDefault="00426BCE" w:rsidP="001161CA">
      <w:r w:rsidRPr="00FF3619">
        <w:t>Kidney transplant recipients may still suffer from subfertility or infertility, and more are seeking assisted reproductive techniques. Such techniques include ovulation induction, intrauterine insemination, in vitro fertilization and intracytoplasmic sperm injection</w:t>
      </w:r>
      <w:r>
        <w:t xml:space="preserve"> </w:t>
      </w:r>
      <w:r>
        <w:fldChar w:fldCharType="begin"/>
      </w:r>
      <w:r w:rsidR="002D20B5">
        <w:instrText xml:space="preserve"> ADDIN ZOTERO_ITEM CSL_CITATION {"citationID":"ZDvvlNK9","properties":{"formattedCitation":"\\super 445,446\\nosupersub{}","plainCitation":"445,446","noteIndex":0},"citationItems":[{"id":18771,"uris":["http://zotero.org/users/3444308/items/KNJTPF35"],"itemData":{"id":18771,"type":"article-journal","abstract":"BACKGROUND: As awareness around infertility is increasing among patients with chronic kidney disease (CKD), ever more of them are seeking Assisted Reproductive Technology (ART). Our aim was to perform a systematic review to describe obstetric and renal outcomes in women with CKD following ART.\nMETHODS: The following databases were searched from 1946 to May 2021: (1) Cochrane Central Register of Controlled Trials (CENTRAL), (2) Cumulative Index to Nursing and Allied Health Literature (CINAHL), (3) Embase and (4) MEDLINE.\nRESULTS: The database search identified 3520 records, of which 32 publications were suitable. A total of 84 fertility treatment cycles were analysed in 68 women. Median age at time of pregnancy was 32.5 years (IQR 30.0, 33.9 years). There were 60 clinical pregnancies resulting in 70 live births (including 16 multifetal births). Four women developed ovarian hyperstimulation syndrome which were associated with acute kidney injury. Hypertensive disorders complicated 26 pregnancies (38.3%), 24 (35.3%) pregnancies were preterm delivery, and low birth weight was present in 42.6% of pregnancies. Rates of live birth and miscarriage were similar for women with CKD requiring ART or having natural conception. However, more women with ART developed pre-eclampsia (p</w:instrText>
      </w:r>
      <w:r w:rsidR="002D20B5">
        <w:rPr>
          <w:rFonts w:ascii="Arial" w:hAnsi="Arial" w:cs="Arial"/>
        </w:rPr>
        <w:instrText> </w:instrText>
      </w:r>
      <w:r w:rsidR="002D20B5">
        <w:instrText>&lt;</w:instrText>
      </w:r>
      <w:r w:rsidR="002D20B5">
        <w:rPr>
          <w:rFonts w:ascii="Arial" w:hAnsi="Arial" w:cs="Arial"/>
        </w:rPr>
        <w:instrText> </w:instrText>
      </w:r>
      <w:r w:rsidR="002D20B5">
        <w:instrText>0.05) and had multifetal deliveries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furthermore the babies were lower gestational ages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and had lower birth weights (p</w:instrText>
      </w:r>
      <w:r w:rsidR="002D20B5">
        <w:rPr>
          <w:rFonts w:ascii="Arial" w:hAnsi="Arial" w:cs="Arial"/>
        </w:rPr>
        <w:instrText> </w:instrText>
      </w:r>
      <w:r w:rsidR="002D20B5">
        <w:instrText>&lt;</w:instrText>
      </w:r>
      <w:r w:rsidR="002D20B5">
        <w:rPr>
          <w:rFonts w:ascii="Arial" w:hAnsi="Arial" w:cs="Arial"/>
        </w:rPr>
        <w:instrText> </w:instrText>
      </w:r>
      <w:r w:rsidR="002D20B5">
        <w:instrText xml:space="preserve">0.001).\nCONCLUSION: This systematic review represents the most comprehensive assessment of fertility outcomes in patients with CKD following ART. However, the high reported live birth rate is likely related to reporting bias. Patient selection remains crucial in order to maximise patient safety, screen for adverse events and optimise fertility outcomes.","container-title":"Journal of Nephrology","DOI":"10.1007/s40620-022-01510-x","ISSN":"1724-6059","issue":"9","journalAbbreviation":"J Nephrol","language":"eng","note":"PMID: 36396849\nPMCID: PMC9700651","page":"2227-2236","source":"PubMed","title":"Systematic review of pregnancy and renal outcomes for women with chronic kidney disease receiving assisted reproductive therapy","volume":"35","author":[{"family":"Bhaduri","given":"Mahua"},{"family":"Gama","given":"Rouvick M."},{"family":"Copeland","given":"T."},{"family":"Balagamage","given":"Alokya"},{"family":"Patel","given":"Priya"},{"family":"Warmington","given":"Emily"},{"family":"Sarris","given":"Ippokratis"},{"family":"Nicholaides","given":"Kypros"},{"family":"Bramham","given":"Kate"}],"issued":{"date-parts":[["2022",12]]}}},{"id":18770,"uris":["http://zotero.org/users/3444308/items/ZBDDSWIM"],"itemData":{"id":18770,"type":"article-journal","abstract":"Fertility is known to be impaired more frequently in patients with chronic kidney disease than in the general population. A significant proportion of chronic kidney disease patients may therefore need Medically Assisted Reproduction. The paucity of information about medically assisted reproduction for chronic kidney disease patients complicates counselling for both nephrologists and gynaecologists, specifically for patients with advanced chronic kidney disease and those on dialysis or with a transplanted kidney. It is in this context that the Project Group on Kidney and Pregnancy of the Italian Society of Nephrology has drawn up these best practice guidelines, merging a literature review, nephrology expertise and the experience of obstetricians and gynaecologists involved in medically assisted reproduction. Although all medically assisted reproduction techniques can be used for chronic kidney disease patients, caution is warranted. Inducing a twin pregnancy should be avoided; the risk of bleeding, thrombosis and infection should be considered, especially in some categories of patients. In most cases, controlled ovarian stimulation is needed to obtain an adequate number of oocytes for medically assisted reproduction. Women with chronic kidney disease are at high risk of kidney damage in case of severe ovarian hyperstimulation syndrome, and great caution should be exercised so that it is avoided. The higher risks associated with the hypertensive disorders of pregnancy, and the consequent risk of chronic kidney disease progression, should likewise be considered if egg donation is chosen. Oocyte cryopreservation should be considered for patients with autoimmune diseases who need cytotoxic treatment. In summary, medically assisted reproduction is an option for chronic kidney disease patients, but the study group strongly advises extensive personalised counselling with a multidisciplinary healthcare team and close monitoring during the chosen medically assisted reproduction procedure and throughout the subsequent pregnancy.","container-title":"Journal of Nephrology","DOI":"10.1007/s40620-023-01670-4","ISSN":"1724-6059","issue":"5","journalAbbreviation":"J Nephrol","language":"eng","note":"PMID: 37354277\nPMCID: PMC11081994","page":"1239-1255","source":"PubMed","title":"Chronic kidney disease, female infertility, and medically assisted reproduction: a best practice position statement by the Kidney and Pregnancy Group of the Italian Society of Nephrology","title-short":"Chronic kidney disease, female infertility, and medically assisted reproduction","volume":"36","author":[{"family":"Attini","given":"Rossella"},{"family":"Cabiddu","given":"Gianfranca"},{"family":"Ciabatti","given":"Francesca"},{"family":"Montersino","given":"Benedetta"},{"family":"Carosso","given":"Andrea Roberto"},{"family":"Gernone","given":"Giuseppe"},{"family":"Gammaro","given":"Linda"},{"family":"Moroni","given":"Gabriella"},{"family":"Torreggiani","given":"Massimo"},{"family":"Masturzo","given":"Bianca"},{"family":"Santoro","given":"Domenico"},{"family":"Revelli","given":"Alberto"},{"family":"Piccoli","given":"Giorgina Barbara"},{"literal":"Italian Society of Nephrology’s Project Group on Kidney and Pregnancy"}],"issued":{"date-parts":[["2023",6]]}}}],"schema":"https://github.com/citation-style-language/schema/raw/master/csl-citation.json"} </w:instrText>
      </w:r>
      <w:r>
        <w:fldChar w:fldCharType="separate"/>
      </w:r>
      <w:r w:rsidR="002D20B5" w:rsidRPr="002D20B5">
        <w:rPr>
          <w:rFonts w:ascii="Aptos" w:hAnsi="Aptos" w:cs="Times New Roman"/>
          <w:sz w:val="22"/>
          <w:vertAlign w:val="superscript"/>
        </w:rPr>
        <w:t>445,446</w:t>
      </w:r>
      <w:r>
        <w:fldChar w:fldCharType="end"/>
      </w:r>
      <w:r>
        <w:t>.</w:t>
      </w:r>
    </w:p>
    <w:p w14:paraId="2C9078CB" w14:textId="7DA7CB99" w:rsidR="00426BCE" w:rsidRPr="00FF3619" w:rsidRDefault="00426BCE" w:rsidP="001161CA">
      <w:r w:rsidRPr="00FF3619">
        <w:t>Assisted fertilisation in the general population is associated with multiple gestations which increases the risk of adverse maternofoetal outcomes (</w:t>
      </w:r>
      <w:proofErr w:type="spellStart"/>
      <w:r w:rsidRPr="00FF3619">
        <w:t>eg.</w:t>
      </w:r>
      <w:proofErr w:type="spellEnd"/>
      <w:r w:rsidRPr="00FF3619">
        <w:t xml:space="preserve"> hypertensive disorders, IUGR, </w:t>
      </w:r>
      <w:r w:rsidRPr="00FF3619">
        <w:lastRenderedPageBreak/>
        <w:t>preterm delivery, low birth weight). In the presence of CKD</w:t>
      </w:r>
      <w:r>
        <w:t xml:space="preserve"> or</w:t>
      </w:r>
      <w:r w:rsidRPr="00FF3619">
        <w:t xml:space="preserve"> kidney transplant, the risk of such adverse events may be further increased</w:t>
      </w:r>
      <w:r>
        <w:t xml:space="preserve"> </w:t>
      </w:r>
      <w:r>
        <w:fldChar w:fldCharType="begin"/>
      </w:r>
      <w:r w:rsidR="002D20B5">
        <w:instrText xml:space="preserve"> ADDIN ZOTERO_ITEM CSL_CITATION {"citationID":"0urPZmRz","properties":{"formattedCitation":"\\super 421,445,446\\nosupersub{}","plainCitation":"421,445,446","noteIndex":0},"citationItems":[{"id":18769,"uris":["http://zotero.org/users/3444308/items/QRTDG4DT","http://zotero.org/users/3444308/items/498KR6T9"],"itemData":{"id":18769,"type":"article-journal","abstract":"Kidney transplantation (KT) is often considered to be the method best able to restore fertility in a woman with chronic kidney disease (CKD). However, pregnancies in KT are not devoid of risks (in particular prematurity, small for gestational age babies, and the hypertensive disorders of pregnancy). An ideal profile of the potential KT mother includes \"normal\" or \"good\" kidney function (usually defined as glomerular filtration rate, GFR</w:instrText>
      </w:r>
      <w:r w:rsidR="002D20B5">
        <w:rPr>
          <w:rFonts w:ascii="Arial" w:hAnsi="Arial" w:cs="Arial"/>
        </w:rPr>
        <w:instrText> </w:instrText>
      </w:r>
      <w:r w:rsidR="002D20B5">
        <w:rPr>
          <w:rFonts w:ascii="Aptos" w:hAnsi="Aptos" w:cs="Aptos"/>
        </w:rPr>
        <w:instrText>≥</w:instrText>
      </w:r>
      <w:r w:rsidR="002D20B5">
        <w:rPr>
          <w:rFonts w:ascii="Arial" w:hAnsi="Arial" w:cs="Arial"/>
        </w:rPr>
        <w:instrText> </w:instrText>
      </w:r>
      <w:r w:rsidR="002D20B5">
        <w:instrText>60</w:instrText>
      </w:r>
      <w:r w:rsidR="002D20B5">
        <w:rPr>
          <w:rFonts w:ascii="Aptos" w:hAnsi="Aptos" w:cs="Aptos"/>
        </w:rPr>
        <w:instrText> </w:instrText>
      </w:r>
      <w:r w:rsidR="002D20B5">
        <w:instrText>ml/min), scant or no proteinuria (usually defined as below 500</w:instrText>
      </w:r>
      <w:r w:rsidR="002D20B5">
        <w:rPr>
          <w:rFonts w:ascii="Aptos" w:hAnsi="Aptos" w:cs="Aptos"/>
        </w:rPr>
        <w:instrText> </w:instrText>
      </w:r>
      <w:r w:rsidR="002D20B5">
        <w:instrText>mg/dl), normal or well controlled blood pressure (one drug only and no sign of end-organ damage), no recent acute rejection, good compliance and low-dose immunosuppression, without the use of potentially teratogen drugs (mycophenolic acid and m-Tor inhibitors) and an interval of at least 1-2 years after transplantation. In this setting, there is little if any risk of worsening of the kidney function. Less is known about how to manage \"non-ideal\" situations, such as a pregnancy a short time after KT, or one in the context of hypertension or a failing kidney. The aim of this position statement by the Kidney and Pregnancy Group of the Italian Society of Nephrology is to review the literature and discuss what is known about the clinical management of CKD after KT, with particular attention to women who start a pregnancy in non-ideal conditions. While the experience in such cases is limited, the risks of worsening the renal function are probably higher in cases with markedly reduced kidney function, and in the presence of proteinuria. Well-controlled hypertension alone seems less relevant for outcomes, even if its effect is probably multiplicative if combined with low GFR and proteinuria. As in other settings of kidney disease, superimposed preeclampsia (PE) is differently defined and this impairs calculating its real incidence. No specific difference between non-teratogen immunosuppressive drugs has been shown, but calcineurin inhibitors have been associated with foetal growth restriction and low birth weight. The clinical choices in cases at high risk for malformations or kidney function impairment (pregnancies under mycophenolic acid or with severe kidney-function impairment) require merging clinical and ethical approaches in which, beside the mother and child dyad, the grafted kidney is a crucial \"third element\".","container-title":"Journal of Nephrology","DOI":"10.1007/s40620-018-0499-x","ISSN":"1724-6059","issue":"5","journalAbbreviation":"J Nephrol","language":"eng","note":"PMID: 29949013\nPMCID: PMC6182355","page":"665-681","source":"PubMed","title":"A best-practice position statement on pregnancy after kidney transplantation: focusing on the unsolved questions. The Kidney and Pregnancy Study Group of the Italian Society of Nephrology","title-short":"A best-practice position statement on pregnancy after kidney transplantation","volume":"31","author":[{"family":"Cabiddu","given":"Gianfranca"},{"family":"Spotti","given":"Donatella"},{"family":"Gernone","given":"Giuseppe"},{"family":"Santoro","given":"Domenico"},{"family":"Moroni","given":"Gabriella"},{"family":"Gregorini","given":"Gina"},{"family":"Giacchino","given":"Franca"},{"family":"Attini","given":"Rossella"},{"family":"Limardo","given":"Monica"},{"family":"Gammaro","given":"Linda"},{"family":"Todros","given":"Tullia"},{"family":"Piccoli","given":"Giorgina Barbara"},{"literal":"Kidney and Pregnancy Study Group of the Italian Society of Nephrology"}],"issued":{"date-parts":[["2018",10]]}}},{"id":18771,"uris":["http://zotero.org/users/3444308/items/KNJTPF35"],"itemData":{"id":18771,"type":"article-journal","abstract":"BACKGROUND: As awareness around infertility is increasing among patients with chronic kidney disease (CKD), ever more of them are seeking Assisted Reproductive Technology (ART). Our aim was to perform a systematic review to describe obstetric and renal outcomes in women with CKD following ART.\nMETHODS: The following databases were searched from 1946 to May 2021: (1) Cochrane Central Register of Controlled Trials (CENTRAL), (2) Cumulative Index to Nursing and Allied Health Literature (CINAHL), (3) Embase and (4) MEDLINE.\nRESULTS: The database search identified 3520 records, of which 32 publications were suitable. A total of 84 fertility treatment cycles were analysed in 68 women. Median age at time of pregnancy was 32.5 years (IQR 30.0, 33.9 years). There were 60 clinical pregnancies resulting in 70 live births (including 16 multifetal births). Four women developed ovarian hyperstimulation syndrome which were associated with acute kidney injury. Hypertensive disorders complicated 26 pregnancies (38.3%), 24 (35.3%) pregnancies were preterm delivery, and low birth weight was present in 42.6% of pregnancies. Rates of live birth and miscarriage were similar for women with CKD requiring ART or having natural conception. However, more women with ART developed pre-eclampsia (p</w:instrText>
      </w:r>
      <w:r w:rsidR="002D20B5">
        <w:rPr>
          <w:rFonts w:ascii="Arial" w:hAnsi="Arial" w:cs="Arial"/>
        </w:rPr>
        <w:instrText> </w:instrText>
      </w:r>
      <w:r w:rsidR="002D20B5">
        <w:instrText>&lt;</w:instrText>
      </w:r>
      <w:r w:rsidR="002D20B5">
        <w:rPr>
          <w:rFonts w:ascii="Arial" w:hAnsi="Arial" w:cs="Arial"/>
        </w:rPr>
        <w:instrText> </w:instrText>
      </w:r>
      <w:r w:rsidR="002D20B5">
        <w:instrText>0.05) and had multifetal deliveries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furthermore the babies were lower gestational ages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and had lower birth weights (p</w:instrText>
      </w:r>
      <w:r w:rsidR="002D20B5">
        <w:rPr>
          <w:rFonts w:ascii="Arial" w:hAnsi="Arial" w:cs="Arial"/>
        </w:rPr>
        <w:instrText> </w:instrText>
      </w:r>
      <w:r w:rsidR="002D20B5">
        <w:instrText>&lt;</w:instrText>
      </w:r>
      <w:r w:rsidR="002D20B5">
        <w:rPr>
          <w:rFonts w:ascii="Arial" w:hAnsi="Arial" w:cs="Arial"/>
        </w:rPr>
        <w:instrText> </w:instrText>
      </w:r>
      <w:r w:rsidR="002D20B5">
        <w:instrText xml:space="preserve">0.001).\nCONCLUSION: This systematic review represents the most comprehensive assessment of fertility outcomes in patients with CKD following ART. However, the high reported live birth rate is likely related to reporting bias. Patient selection remains crucial in order to maximise patient safety, screen for adverse events and optimise fertility outcomes.","container-title":"Journal of Nephrology","DOI":"10.1007/s40620-022-01510-x","ISSN":"1724-6059","issue":"9","journalAbbreviation":"J Nephrol","language":"eng","note":"PMID: 36396849\nPMCID: PMC9700651","page":"2227-2236","source":"PubMed","title":"Systematic review of pregnancy and renal outcomes for women with chronic kidney disease receiving assisted reproductive therapy","volume":"35","author":[{"family":"Bhaduri","given":"Mahua"},{"family":"Gama","given":"Rouvick M."},{"family":"Copeland","given":"T."},{"family":"Balagamage","given":"Alokya"},{"family":"Patel","given":"Priya"},{"family":"Warmington","given":"Emily"},{"family":"Sarris","given":"Ippokratis"},{"family":"Nicholaides","given":"Kypros"},{"family":"Bramham","given":"Kate"}],"issued":{"date-parts":[["2022",12]]}}},{"id":18770,"uris":["http://zotero.org/users/3444308/items/ZBDDSWIM"],"itemData":{"id":18770,"type":"article-journal","abstract":"Fertility is known to be impaired more frequently in patients with chronic kidney disease than in the general population. A significant proportion of chronic kidney disease patients may therefore need Medically Assisted Reproduction. The paucity of information about medically assisted reproduction for chronic kidney disease patients complicates counselling for both nephrologists and gynaecologists, specifically for patients with advanced chronic kidney disease and those on dialysis or with a transplanted kidney. It is in this context that the Project Group on Kidney and Pregnancy of the Italian Society of Nephrology has drawn up these best practice guidelines, merging a literature review, nephrology expertise and the experience of obstetricians and gynaecologists involved in medically assisted reproduction. Although all medically assisted reproduction techniques can be used for chronic kidney disease patients, caution is warranted. Inducing a twin pregnancy should be avoided; the risk of bleeding, thrombosis and infection should be considered, especially in some categories of patients. In most cases, controlled ovarian stimulation is needed to obtain an adequate number of oocytes for medically assisted reproduction. Women with chronic kidney disease are at high risk of kidney damage in case of severe ovarian hyperstimulation syndrome, and great caution should be exercised so that it is avoided. The higher risks associated with the hypertensive disorders of pregnancy, and the consequent risk of chronic kidney disease progression, should likewise be considered if egg donation is chosen. Oocyte cryopreservation should be considered for patients with autoimmune diseases who need cytotoxic treatment. In summary, medically assisted reproduction is an option for chronic kidney disease patients, but the study group strongly advises extensive personalised counselling with a multidisciplinary healthcare team and close monitoring during the chosen medically assisted reproduction procedure and throughout the subsequent pregnancy.","container-title":"Journal of Nephrology","DOI":"10.1007/s40620-023-01670-4","ISSN":"1724-6059","issue":"5","journalAbbreviation":"J Nephrol","language":"eng","note":"PMID: 37354277\nPMCID: PMC11081994","page":"1239-1255","source":"PubMed","title":"Chronic kidney disease, female infertility, and medically assisted reproduction: a best practice position statement by the Kidney and Pregnancy Group of the Italian Society of Nephrology","title-short":"Chronic kidney disease, female infertility, and medically assisted reproduction","volume":"36","author":[{"family":"Attini","given":"Rossella"},{"family":"Cabiddu","given":"Gianfranca"},{"family":"Ciabatti","given":"Francesca"},{"family":"Montersino","given":"Benedetta"},{"family":"Carosso","given":"Andrea Roberto"},{"family":"Gernone","given":"Giuseppe"},{"family":"Gammaro","given":"Linda"},{"family":"Moroni","given":"Gabriella"},{"family":"Torreggiani","given":"Massimo"},{"family":"Masturzo","given":"Bianca"},{"family":"Santoro","given":"Domenico"},{"family":"Revelli","given":"Alberto"},{"family":"Piccoli","given":"Giorgina Barbara"},{"literal":"Italian Society of Nephrology’s Project Group on Kidney and Pregnancy"}],"issued":{"date-parts":[["2023",6]]}}}],"schema":"https://github.com/citation-style-language/schema/raw/master/csl-citation.json"} </w:instrText>
      </w:r>
      <w:r>
        <w:fldChar w:fldCharType="separate"/>
      </w:r>
      <w:r w:rsidR="002D20B5" w:rsidRPr="002D20B5">
        <w:rPr>
          <w:rFonts w:ascii="Aptos" w:hAnsi="Aptos" w:cs="Times New Roman"/>
          <w:sz w:val="22"/>
          <w:vertAlign w:val="superscript"/>
        </w:rPr>
        <w:t>421,445,446</w:t>
      </w:r>
      <w:r>
        <w:fldChar w:fldCharType="end"/>
      </w:r>
      <w:r w:rsidRPr="00FF3619">
        <w:t xml:space="preserve">. Nonetheless, assisted reproductive technology treatment is feasible and has resulted in successful pregnancies in KTRs, but data </w:t>
      </w:r>
      <w:r>
        <w:t>are</w:t>
      </w:r>
      <w:r w:rsidRPr="00FF3619">
        <w:t xml:space="preserve"> limited to case reports, single-centre studies and voluntary registries with possible selection bias</w:t>
      </w:r>
      <w:r>
        <w:t xml:space="preserve"> </w:t>
      </w:r>
      <w:r w:rsidRPr="00FF3619">
        <w:fldChar w:fldCharType="begin"/>
      </w:r>
      <w:r w:rsidR="006528EA">
        <w:instrText xml:space="preserve"> ADDIN ZOTERO_ITEM CSL_CITATION {"citationID":"yR7ZuUPe","properties":{"formattedCitation":"(24,26)","plainCitation":"(24,26)","dontUpdate":true,"noteIndex":0},"citationItems":[{"id":"zaI8DzWr/1fVJ4uFE","uris":["http://zotero.org/users/13576978/items/GX4Z3JAI"],"itemData":{"id":110,"type":"article-journal","abstract":"Background\nTo present a successful case of in vitro fertilization (IVF) and single embryo transfer (SET) in a kidney transplant (NTX) patient and review of the literature.\n\nMethods\nCase report and review of the literature.\n\nSetting\nIVF-Unit in a university medical center.\n\nPatient(s)\nA 31 year-old nulliparous woman with primary infertility and a history of two kidney transplants.\n\nIntervention(s)\nIVF-SET\n\nMain outcome measure(s)\nLive birth, renal transplant function.\n\nResults(s)\nIVF-SET resulted in a pregnancy with labor induction and cesarean delivery in the 37th week of gestation due to rising serum creatinine. There was no significant maternal or fetal morbidity.\n\nConclusion(s)\nSuccessful IVF-SET is possible in NTX patients. To date, including this case, five cases of IVF in NTX patients have been reported in the literature without an apparently increased renal morbidity.","container-title":"Journal of Assisted Reproduction and Genetics","DOI":"10.1007/s10815-010-9521-5","ISSN":"1058-0468","issue":"4","journalAbbreviation":"J Assist Reprod Genet","note":"PMID: 21161364\nPMCID: PMC3114966","page":"351-353","source":"PubMed Central","title":"Live birth after in vitro fertilization and single embryo transfer in a kidney transplant patient: a case report and review of the literature","title-short":"Live birth after in vitro fertilization and single embryo transfer in a kidney transplant patient","volume":"28","author":[{"family":"Nouri","given":"Kazem"},{"family":"Bader","given":"Yvonne"},{"family":"Helmy","given":"Samir"},{"family":"Ott","given":"Johannes"},{"family":"Jirecek","given":"Stefan"},{"family":"Tempfer","given":"Clemens B."}],"issued":{"date-parts":[["2011",4]]}},"label":"page"},{"id":"zaI8DzWr/82tKm5KV","uris":["http://zotero.org/users/13576978/items/9NG4ACJ7"],"itemData":{"id":9,"type":"article-journal","abstract":"Background  As awareness around infertility is increasing among patients with chronic kidney disease (CKD), ever more of them are seeking Assisted Reproductive Technology (ART). Our aim was to perform a systematic review to describe obstetric and renal outcomes in women with CKD following ART.\nMethods  The following databases were searched from 1946 to May 2021: (1) Cochrane Central Register of Controlled Trials (CENTRAL), (2) Cumulative Index to Nursing and Allied Health Literature (CINAHL), (3) Embase and (4) MEDLINE.\nResults  The database search identified 3520 records, of which 32 publications were suitable. A total of 84 fertility treatment cycles were analysed in 68 women. Median age at time of pregnancy was 32.5 years (IQR 30.0, 33.9 years). There were 60 clinical pregnancies resulting in 70 live births (including 16 multifetal births). Four women developed ovarian hyperstimulation syndrome which were associated with acute kidney injury. Hypertensive disorders complicated 26 pregnancies (38.3%), 24 (35.3%) pregnancies were preterm delivery, and low birth weight was present in 42.6% of pregnancies. Rates of live birth and miscarriage were similar for women with CKD requiring ART or having natural conception. However, more women with ART developed pre-eclampsia (p</w:instrText>
      </w:r>
      <w:r w:rsidR="006528EA">
        <w:rPr>
          <w:rFonts w:ascii="Arial" w:hAnsi="Arial" w:cs="Arial"/>
        </w:rPr>
        <w:instrText> </w:instrText>
      </w:r>
      <w:r w:rsidR="006528EA">
        <w:instrText>&lt;</w:instrText>
      </w:r>
      <w:r w:rsidR="006528EA">
        <w:rPr>
          <w:rFonts w:ascii="Arial" w:hAnsi="Arial" w:cs="Arial"/>
        </w:rPr>
        <w:instrText> </w:instrText>
      </w:r>
      <w:r w:rsidR="006528EA">
        <w:instrText>0.05) and had multifetal deliveries (p</w:instrText>
      </w:r>
      <w:r w:rsidR="006528EA">
        <w:rPr>
          <w:rFonts w:ascii="Arial" w:hAnsi="Arial" w:cs="Arial"/>
        </w:rPr>
        <w:instrText> </w:instrText>
      </w:r>
      <w:r w:rsidR="006528EA">
        <w:instrText>&lt;</w:instrText>
      </w:r>
      <w:r w:rsidR="006528EA">
        <w:rPr>
          <w:rFonts w:ascii="Arial" w:hAnsi="Arial" w:cs="Arial"/>
        </w:rPr>
        <w:instrText> </w:instrText>
      </w:r>
      <w:r w:rsidR="006528EA">
        <w:instrText>0.001), furthermore the babies were lower gestational ages (p</w:instrText>
      </w:r>
      <w:r w:rsidR="006528EA">
        <w:rPr>
          <w:rFonts w:ascii="Arial" w:hAnsi="Arial" w:cs="Arial"/>
        </w:rPr>
        <w:instrText> </w:instrText>
      </w:r>
      <w:r w:rsidR="006528EA">
        <w:instrText>&lt;</w:instrText>
      </w:r>
      <w:r w:rsidR="006528EA">
        <w:rPr>
          <w:rFonts w:ascii="Arial" w:hAnsi="Arial" w:cs="Arial"/>
        </w:rPr>
        <w:instrText> </w:instrText>
      </w:r>
      <w:r w:rsidR="006528EA">
        <w:instrText>0.001) and had lower birth weights (p</w:instrText>
      </w:r>
      <w:r w:rsidR="006528EA">
        <w:rPr>
          <w:rFonts w:ascii="Arial" w:hAnsi="Arial" w:cs="Arial"/>
        </w:rPr>
        <w:instrText> </w:instrText>
      </w:r>
      <w:r w:rsidR="006528EA">
        <w:instrText>&lt;</w:instrText>
      </w:r>
      <w:r w:rsidR="006528EA">
        <w:rPr>
          <w:rFonts w:ascii="Arial" w:hAnsi="Arial" w:cs="Arial"/>
        </w:rPr>
        <w:instrText> </w:instrText>
      </w:r>
      <w:r w:rsidR="006528EA">
        <w:instrText>0.001).\nConclusion  This systematic review represents the most comprehensive assessment of fertility outcomes in patients with CKD following ART. However, the high reported live birth rate is likely related to reporting bias. Patient selection remains crucial in order to maximise patient safety, screen for adverse events and optimise fertility outcomes.","container-title":"Journal of Nephrology","DOI":"10.1007/s40620-022-01510-x","ISSN":"1724-6059","issue":"9","journalAbbreviation":"J Nephrol","language":"en","page":"2227-2236","source":"DOI.org (Crossref)","title":"Systematic review of pregnancy and renal outcomes for women with chronic kidney disease receiving assisted reproductive therapy","volume":"35","author":[{"family":"Bhaduri","given":"Mahua"},{"family":"Gama","given":"Rouvick M."},{"family":"Copeland","given":"T."},{"family":"Balagamage","given":"Alokya"},{"family":"Patel","given":"Priya"},{"family":"Warmington","given":"Emily"},{"family":"Sarris","given":"Ippokratis"},{"family":"Nicholaides","given":"Kypros"},{"family":"Bramham","given":"Kate"}],"issued":{"date-parts":[["2022",11,18]]}},"label":"page"},{"id":18753,"uris":["http://zotero.org/users/3444308/items/6TRYBIR5"],"itemData":{"id":18753,"type":"article-journal","abstract":"BACKGROUND: To present a successful case of in vitro fertilization (IVF) and single embryo transfer (SET) in a kidney transplant (NTX) patient and review of the literature.\nMETHODS: Case report and review of the literature.\nSETTING: IVF-Unit in a university medical center.\nPATIENT(S): A 31 year-old nulliparous woman with primary infertility and a history of two kidney transplants.\nINTERVENTION(S): IVF-SET MAIN OUTCOME MEASURE(S): Live birth, renal transplant function.\nRESULTS(S): IVF-SET resulted in a pregnancy with labor induction and cesarean delivery in the 37th week of gestation due to rising serum creatinine. There was no significant maternal or fetal morbidity.\nCONCLUSION(S): Successful IVF-SET is possible in NTX patients. To date, including this case, five cases of IVF in NTX patients have been reported in the literature without an apparently increased renal morbidity.","container-title":"Journal of Assisted Reproduction and Genetics","DOI":"10.1007/s10815-010-9521-5","ISSN":"1573-7330","issue":"4","journalAbbreviation":"J Assist Reprod Genet","language":"eng","note":"PMID: 21161364\nPMCID: PMC3114966","page":"351-353","source":"PubMed","title":"Live birth after in vitro fertilization and single embryo transfer in a kidney transplant patient: a case report and review of the literature","title-short":"Live birth after in vitro fertilization and single embryo transfer in a kidney transplant patient","volume":"28","author":[{"family":"Nouri","given":"Kazem"},{"family":"Bader","given":"Yvonne"},{"family":"Helmy","given":"Samir"},{"family":"Ott","given":"Johannes"},{"family":"Jirecek","given":"Stefan"},{"family":"Tempfer","given":"Clemens B."}],"issued":{"date-parts":[["2011",4]]}}},{"id":18771,"uris":["http://zotero.org/users/3444308/items/KNJTPF35"],"itemData":{"id":18771,"type":"article-journal","abstract":"BACKGROUND: As awareness around infertility is increasing among patients with chronic kidney disease (CKD), ever more of them are seeking Assisted Reproductive Technology (ART). Our aim was to perform a systematic review to describe obstetric and renal outcomes in women with CKD following ART.\nMETHODS: The following databases were searched from 1946 to May 2021: (1) Cochrane Central Register of Controlled Trials (CENTRAL), (2) Cumulative Index to Nursing and Allied Health Literature (CINAHL), (3) Embase and (4) MEDLINE.\nRESULTS: The database search identified 3520 records, of which 32 publications were suitable. A total of 84 fertility treatment cycles were analysed in 68 women. Median age at time of pregnancy was 32.5 years (IQR 30.0, 33.9 years). There were 60 clinical pregnancies resulting in 70 live births (including 16 multifetal births). Four women developed ovarian hyperstimulation syndrome which were associated with acute kidney injury. Hypertensive disorders complicated 26 pregnancies (38.3%), 24 (35.3%) pregnancies were preterm delivery, and low birth weight was present in 42.6% of pregnancies. Rates of live birth and miscarriage were similar for women with CKD requiring ART or having natural conception. However, more women with ART developed pre-eclampsia (p</w:instrText>
      </w:r>
      <w:r w:rsidR="006528EA">
        <w:rPr>
          <w:rFonts w:ascii="Arial" w:hAnsi="Arial" w:cs="Arial"/>
        </w:rPr>
        <w:instrText> </w:instrText>
      </w:r>
      <w:r w:rsidR="006528EA">
        <w:instrText>&lt;</w:instrText>
      </w:r>
      <w:r w:rsidR="006528EA">
        <w:rPr>
          <w:rFonts w:ascii="Arial" w:hAnsi="Arial" w:cs="Arial"/>
        </w:rPr>
        <w:instrText> </w:instrText>
      </w:r>
      <w:r w:rsidR="006528EA">
        <w:instrText>0.05) and had multifetal deliveries (p</w:instrText>
      </w:r>
      <w:r w:rsidR="006528EA">
        <w:rPr>
          <w:rFonts w:ascii="Arial" w:hAnsi="Arial" w:cs="Arial"/>
        </w:rPr>
        <w:instrText> </w:instrText>
      </w:r>
      <w:r w:rsidR="006528EA">
        <w:instrText>&lt;</w:instrText>
      </w:r>
      <w:r w:rsidR="006528EA">
        <w:rPr>
          <w:rFonts w:ascii="Arial" w:hAnsi="Arial" w:cs="Arial"/>
        </w:rPr>
        <w:instrText> </w:instrText>
      </w:r>
      <w:r w:rsidR="006528EA">
        <w:instrText>0.001), furthermore the babies were lower gestational ages (p</w:instrText>
      </w:r>
      <w:r w:rsidR="006528EA">
        <w:rPr>
          <w:rFonts w:ascii="Arial" w:hAnsi="Arial" w:cs="Arial"/>
        </w:rPr>
        <w:instrText> </w:instrText>
      </w:r>
      <w:r w:rsidR="006528EA">
        <w:instrText>&lt;</w:instrText>
      </w:r>
      <w:r w:rsidR="006528EA">
        <w:rPr>
          <w:rFonts w:ascii="Arial" w:hAnsi="Arial" w:cs="Arial"/>
        </w:rPr>
        <w:instrText> </w:instrText>
      </w:r>
      <w:r w:rsidR="006528EA">
        <w:instrText>0.001) and had lower birth weights (p</w:instrText>
      </w:r>
      <w:r w:rsidR="006528EA">
        <w:rPr>
          <w:rFonts w:ascii="Arial" w:hAnsi="Arial" w:cs="Arial"/>
        </w:rPr>
        <w:instrText> </w:instrText>
      </w:r>
      <w:r w:rsidR="006528EA">
        <w:instrText>&lt;</w:instrText>
      </w:r>
      <w:r w:rsidR="006528EA">
        <w:rPr>
          <w:rFonts w:ascii="Arial" w:hAnsi="Arial" w:cs="Arial"/>
        </w:rPr>
        <w:instrText> </w:instrText>
      </w:r>
      <w:r w:rsidR="006528EA">
        <w:instrText xml:space="preserve">0.001).\nCONCLUSION: This systematic review represents the most comprehensive assessment of fertility outcomes in patients with CKD following ART. However, the high reported live birth rate is likely related to reporting bias. Patient selection remains crucial in order to maximise patient safety, screen for adverse events and optimise fertility outcomes.","container-title":"Journal of Nephrology","DOI":"10.1007/s40620-022-01510-x","ISSN":"1724-6059","issue":"9","journalAbbreviation":"J Nephrol","language":"eng","note":"PMID: 36396849\nPMCID: PMC9700651","page":"2227-2236","source":"PubMed","title":"Systematic review of pregnancy and renal outcomes for women with chronic kidney disease receiving assisted reproductive therapy","volume":"35","author":[{"family":"Bhaduri","given":"Mahua"},{"family":"Gama","given":"Rouvick M."},{"family":"Copeland","given":"T."},{"family":"Balagamage","given":"Alokya"},{"family":"Patel","given":"Priya"},{"family":"Warmington","given":"Emily"},{"family":"Sarris","given":"Ippokratis"},{"family":"Nicholaides","given":"Kypros"},{"family":"Bramham","given":"Kate"}],"issued":{"date-parts":[["2022",12]]}}}],"schema":"https://github.com/citation-style-language/schema/raw/master/csl-citation.json"} </w:instrText>
      </w:r>
      <w:r w:rsidRPr="00FF3619">
        <w:fldChar w:fldCharType="separate"/>
      </w:r>
      <w:r w:rsidRPr="00FF3619">
        <w:fldChar w:fldCharType="end"/>
      </w:r>
      <w:r w:rsidRPr="00FF3619">
        <w:t xml:space="preserve">. Such cases should be managed in expert centres and offered very regular monitoring. With the advent of single embryo transfer in the last decade, maternal and neonatal outcomes have improved, though specific data on KTRs remains scarce </w:t>
      </w:r>
      <w:r>
        <w:fldChar w:fldCharType="begin"/>
      </w:r>
      <w:r w:rsidR="002D20B5">
        <w:instrText xml:space="preserve"> ADDIN ZOTERO_ITEM CSL_CITATION {"citationID":"kmh9j2pb","properties":{"formattedCitation":"\\super 448\\nosupersub{}","plainCitation":"448","noteIndex":0},"citationItems":[{"id":"zaI8DzWr/82tKm5KV","uris":["http://zotero.org/users/13576978/items/9NG4ACJ7"],"itemData":{"id":"zJ4mTQFU/QHXSbpCb","type":"article-journal","abstract":"Background  As awareness around infertility is increasing among patients with chronic kidney disease (CKD), ever more of them are seeking Assisted Reproductive Technology (ART). Our aim was to perform a systematic review to describe obstetric and renal outcomes in women with CKD following ART.\nMethods  The following databases were searched from 1946 to May 2021: (1) Cochrane Central Register of Controlled Trials (CENTRAL), (2) Cumulative Index to Nursing and Allied Health Literature (CINAHL), (3) Embase and (4) MEDLINE.\nResults  The database search identified 3520 records, of which 32 publications were suitable. A total of 84 fertility treatment cycles were analysed in 68 women. Median age at time of pregnancy was 32.5 years (IQR 30.0, 33.9 years). There were 60 clinical pregnancies resulting in 70 live births (including 16 multifetal births). Four women developed ovarian hyperstimulation syndrome which were associated with acute kidney injury. Hypertensive disorders complicated 26 pregnancies (38.3%), 24 (35.3%) pregnancies were preterm delivery, and low birth weight was present in 42.6% of pregnancies. Rates of live birth and miscarriage were similar for women with CKD requiring ART or having natural conception. However, more women with ART developed pre-eclampsia (p</w:instrText>
      </w:r>
      <w:r w:rsidR="002D20B5">
        <w:rPr>
          <w:rFonts w:ascii="Arial" w:hAnsi="Arial" w:cs="Arial"/>
        </w:rPr>
        <w:instrText> </w:instrText>
      </w:r>
      <w:r w:rsidR="002D20B5">
        <w:instrText>&lt;</w:instrText>
      </w:r>
      <w:r w:rsidR="002D20B5">
        <w:rPr>
          <w:rFonts w:ascii="Arial" w:hAnsi="Arial" w:cs="Arial"/>
        </w:rPr>
        <w:instrText> </w:instrText>
      </w:r>
      <w:r w:rsidR="002D20B5">
        <w:instrText>0.05) and had multifetal deliveries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furthermore the babies were lower gestational ages (p</w:instrText>
      </w:r>
      <w:r w:rsidR="002D20B5">
        <w:rPr>
          <w:rFonts w:ascii="Arial" w:hAnsi="Arial" w:cs="Arial"/>
        </w:rPr>
        <w:instrText> </w:instrText>
      </w:r>
      <w:r w:rsidR="002D20B5">
        <w:instrText>&lt;</w:instrText>
      </w:r>
      <w:r w:rsidR="002D20B5">
        <w:rPr>
          <w:rFonts w:ascii="Arial" w:hAnsi="Arial" w:cs="Arial"/>
        </w:rPr>
        <w:instrText> </w:instrText>
      </w:r>
      <w:r w:rsidR="002D20B5">
        <w:instrText>0.001) and had lower birth weights (p</w:instrText>
      </w:r>
      <w:r w:rsidR="002D20B5">
        <w:rPr>
          <w:rFonts w:ascii="Arial" w:hAnsi="Arial" w:cs="Arial"/>
        </w:rPr>
        <w:instrText> </w:instrText>
      </w:r>
      <w:r w:rsidR="002D20B5">
        <w:instrText>&lt;</w:instrText>
      </w:r>
      <w:r w:rsidR="002D20B5">
        <w:rPr>
          <w:rFonts w:ascii="Arial" w:hAnsi="Arial" w:cs="Arial"/>
        </w:rPr>
        <w:instrText> </w:instrText>
      </w:r>
      <w:r w:rsidR="002D20B5">
        <w:instrText xml:space="preserve">0.001).\nConclusion  This systematic review represents the most comprehensive assessment of fertility outcomes in patients with CKD following ART. However, the high reported live birth rate is likely related to reporting bias. Patient selection remains crucial in order to maximise patient safety, screen for adverse events and optimise fertility outcomes.","container-title":"Journal of Nephrology","DOI":"10.1007/s40620-022-01510-x","ISSN":"1724-6059","issue":"9","journalAbbreviation":"J Nephrol","language":"en","page":"2227-2236","source":"DOI.org (Crossref)","title":"Systematic review of pregnancy and renal outcomes for women with chronic kidney disease receiving assisted reproductive therapy","volume":"35","author":[{"family":"Bhaduri","given":"Mahua"},{"family":"Gama","given":"Rouvick M."},{"family":"Copeland","given":"T."},{"family":"Balagamage","given":"Alokya"},{"family":"Patel","given":"Priya"},{"family":"Warmington","given":"Emily"},{"family":"Sarris","given":"Ippokratis"},{"family":"Nicholaides","given":"Kypros"},{"family":"Bramham","given":"Kate"}],"issued":{"date-parts":[["2022",11,18]]}}}],"schema":"https://github.com/citation-style-language/schema/raw/master/csl-citation.json"} </w:instrText>
      </w:r>
      <w:r>
        <w:fldChar w:fldCharType="separate"/>
      </w:r>
      <w:r w:rsidR="002D20B5" w:rsidRPr="002D20B5">
        <w:rPr>
          <w:rFonts w:ascii="Aptos" w:hAnsi="Aptos" w:cs="Times New Roman"/>
          <w:sz w:val="22"/>
          <w:vertAlign w:val="superscript"/>
        </w:rPr>
        <w:t>448</w:t>
      </w:r>
      <w:r>
        <w:fldChar w:fldCharType="end"/>
      </w:r>
      <w:r w:rsidRPr="00FF3619">
        <w:t xml:space="preserve">. </w:t>
      </w:r>
    </w:p>
    <w:p w14:paraId="3D76D5DE" w14:textId="77777777" w:rsidR="00426BCE" w:rsidRPr="00FF3619" w:rsidRDefault="00426BCE" w:rsidP="001161CA">
      <w:pPr>
        <w:pStyle w:val="GuidelineSubheadings"/>
      </w:pPr>
      <w:r w:rsidRPr="00FF3619">
        <w:t>Hormone replacement therapy</w:t>
      </w:r>
    </w:p>
    <w:p w14:paraId="12F7827D" w14:textId="24439951" w:rsidR="00426BCE" w:rsidRDefault="00426BCE" w:rsidP="001161CA">
      <w:r w:rsidRPr="00FF3619">
        <w:t>Treatment with HRT in menopausal KTRs should be individualised, with a careful discussion and assessment of the woman’s baseline cardiovascular risks, and breast/ uterine/ ovarian cancer risks prior to initiating therapy. Non-hormonal methods of symptom control can also be considered prior to prescribing systemic therapy. Co-administration of CNI with oestrogen requires close monitoring of tacrolimus trough levels and kidney function due to CYP450 interaction</w:t>
      </w:r>
      <w:r>
        <w:t xml:space="preserve"> </w:t>
      </w:r>
      <w:r>
        <w:fldChar w:fldCharType="begin"/>
      </w:r>
      <w:r w:rsidR="002D20B5">
        <w:instrText xml:space="preserve"> ADDIN ZOTERO_ITEM CSL_CITATION {"citationID":"uI96oish","properties":{"formattedCitation":"\\super 450\\nosupersub{}","plainCitation":"450","noteIndex":0},"citationItems":[{"id":18752,"uris":["http://zotero.org/users/3444308/items/M4MWIVN4"],"itemData":{"id":18752,"type":"article-journal","container-title":"NDT plus","DOI":"10.1093/ndtplus/sfn035","ISSN":"1753-0784","issue":"4","journalAbbreviation":"NDT Plus","language":"eng","note":"PMID: 25983910\nPMCID: PMC4421203","page":"277-278","source":"PubMed","title":"Interaction between estradiol and tacrolimus in kidney-transplanted menopausal women","volume":"1","author":[{"family":"Migali","given":"Gabriela"},{"family":"Tintillier","given":"Michel"}],"issued":{"date-parts":[["2008",8]]}}}],"schema":"https://github.com/citation-style-language/schema/raw/master/csl-citation.json"} </w:instrText>
      </w:r>
      <w:r>
        <w:fldChar w:fldCharType="separate"/>
      </w:r>
      <w:r w:rsidR="002D20B5" w:rsidRPr="002D20B5">
        <w:rPr>
          <w:rFonts w:ascii="Aptos" w:hAnsi="Aptos" w:cs="Times New Roman"/>
          <w:sz w:val="22"/>
          <w:vertAlign w:val="superscript"/>
        </w:rPr>
        <w:t>450</w:t>
      </w:r>
      <w:r>
        <w:fldChar w:fldCharType="end"/>
      </w:r>
      <w:r w:rsidRPr="00FF3619">
        <w:t xml:space="preserve">. </w:t>
      </w:r>
    </w:p>
    <w:p w14:paraId="31B12F03" w14:textId="77777777" w:rsidR="00ED6CD4" w:rsidRDefault="00ED6CD4" w:rsidP="00076320">
      <w:pPr>
        <w:pStyle w:val="NoSpacing"/>
        <w:rPr>
          <w:rFonts w:eastAsia="Arial Unicode MS" w:cstheme="minorHAnsi"/>
          <w:sz w:val="24"/>
          <w:szCs w:val="24"/>
        </w:rPr>
      </w:pPr>
    </w:p>
    <w:p w14:paraId="56111F02" w14:textId="65564379" w:rsidR="00841808" w:rsidRDefault="00841808" w:rsidP="00841808">
      <w:pPr>
        <w:pStyle w:val="Heading1"/>
      </w:pPr>
      <w:r>
        <w:t xml:space="preserve">Lay Summary </w:t>
      </w:r>
    </w:p>
    <w:p w14:paraId="6A1C09F4" w14:textId="77777777" w:rsidR="00841808" w:rsidRDefault="00841808" w:rsidP="00841808"/>
    <w:p w14:paraId="28E210C3" w14:textId="6578E5FD" w:rsidR="00841808" w:rsidRDefault="00841808" w:rsidP="00841808">
      <w:pPr>
        <w:pStyle w:val="Heading5"/>
      </w:pPr>
      <w:r>
        <w:t>Why do we need these guidelines?</w:t>
      </w:r>
    </w:p>
    <w:p w14:paraId="03A9CEE7" w14:textId="77777777" w:rsidR="00841808" w:rsidRDefault="00841808" w:rsidP="00841808">
      <w:r>
        <w:t>After a kidney transplant, patients need ongoing care to keep the new kidney working well and to stay healthy. This involves taking the right combination of medicines to prevent the body from rejecting the kidney, while also reducing the risk of infections, heart disease, cancer and other health problems. Because kidney transplant patients have specific and sometimes complex needs, their care is usually provided by a team of specialists working together. Reviewing the available best evidence and creating a set of recommendations is very useful for day-to-day care.</w:t>
      </w:r>
    </w:p>
    <w:p w14:paraId="24732107" w14:textId="77777777" w:rsidR="00841808" w:rsidRDefault="00841808" w:rsidP="00841808">
      <w:pPr>
        <w:pStyle w:val="Heading5"/>
      </w:pPr>
      <w:r>
        <w:t>Who is this guideline for?</w:t>
      </w:r>
    </w:p>
    <w:p w14:paraId="6FC6CA5A" w14:textId="77777777" w:rsidR="00841808" w:rsidRDefault="00841808" w:rsidP="00841808">
      <w:r>
        <w:t>This guidance is for all healthcare professionals involved in looking after kidney transplant patients, including doctors, surgeons, nurses, pharmacists, dietitians, physiotherapists and community healthcare providers. It may also be useful for patients, healthcare managers and policy makers.</w:t>
      </w:r>
    </w:p>
    <w:p w14:paraId="384DE378" w14:textId="77777777" w:rsidR="00841808" w:rsidRDefault="00841808" w:rsidP="00841808">
      <w:pPr>
        <w:pStyle w:val="Heading5"/>
      </w:pPr>
      <w:r>
        <w:t>How does these guidelines help?</w:t>
      </w:r>
    </w:p>
    <w:p w14:paraId="1F1C4757" w14:textId="77777777" w:rsidR="00841808" w:rsidRDefault="00841808" w:rsidP="00841808">
      <w:r>
        <w:t>This document provides evidence-based recommendations on the best long</w:t>
      </w:r>
      <w:r>
        <w:rPr>
          <w:rFonts w:ascii="Cambria Math" w:hAnsi="Cambria Math" w:cs="Cambria Math"/>
        </w:rPr>
        <w:t>‑</w:t>
      </w:r>
      <w:r>
        <w:t xml:space="preserve">term treatments to protect the transplanted kidney, how to manage rejection, and how to prevent or treat common complications such as heart disease, infections, cancer, bone problems, blood disorders and reproductive health issues. </w:t>
      </w:r>
    </w:p>
    <w:p w14:paraId="1AE998CB" w14:textId="77777777" w:rsidR="00841808" w:rsidRDefault="00841808" w:rsidP="00841808">
      <w:pPr>
        <w:pStyle w:val="Heading5"/>
      </w:pPr>
      <w:r>
        <w:lastRenderedPageBreak/>
        <w:t>Who prepared these guidelines?</w:t>
      </w:r>
    </w:p>
    <w:p w14:paraId="0E976277" w14:textId="19FCE087" w:rsidR="00841808" w:rsidRDefault="00841808" w:rsidP="00841808">
      <w:r>
        <w:t xml:space="preserve">The evidence was reviewed and assessed </w:t>
      </w:r>
      <w:r w:rsidR="00583AE0">
        <w:t xml:space="preserve">by </w:t>
      </w:r>
      <w:r>
        <w:t>a group of experts, including adult and children</w:t>
      </w:r>
      <w:r>
        <w:rPr>
          <w:rFonts w:ascii="Aptos" w:hAnsi="Aptos" w:cs="Aptos"/>
        </w:rPr>
        <w:t>’</w:t>
      </w:r>
      <w:r>
        <w:t>s transplant specialists, pharmacists, nurses, dietitians, physiotherapists and patients. The expert group then discussed and prepared guidance on specific topics.</w:t>
      </w:r>
    </w:p>
    <w:p w14:paraId="60A923FA" w14:textId="77777777" w:rsidR="00841808" w:rsidRDefault="00841808" w:rsidP="00841808">
      <w:pPr>
        <w:pStyle w:val="Heading5"/>
      </w:pPr>
      <w:r>
        <w:t>Can this be used outside of the UK National Health Service?</w:t>
      </w:r>
    </w:p>
    <w:p w14:paraId="53D6293A" w14:textId="77777777" w:rsidR="00841808" w:rsidRDefault="00841808" w:rsidP="00841808">
      <w:r>
        <w:t>Although the guidance is designed mainly for use within the National Health Service (NHS), it may also be helpful internationally. Its aim is to support high</w:t>
      </w:r>
      <w:r>
        <w:rPr>
          <w:rFonts w:ascii="Cambria Math" w:hAnsi="Cambria Math" w:cs="Cambria Math"/>
        </w:rPr>
        <w:t>‑</w:t>
      </w:r>
      <w:r>
        <w:t>quality, consistent care for all kidney transplant patients and to help reduce inequalities by making the best use of available evidence and resources.</w:t>
      </w:r>
    </w:p>
    <w:p w14:paraId="5007BDEE" w14:textId="77777777" w:rsidR="00841808" w:rsidRDefault="00841808" w:rsidP="00841808"/>
    <w:p w14:paraId="4051249C" w14:textId="77777777" w:rsidR="00841808" w:rsidRPr="00841808" w:rsidRDefault="00841808" w:rsidP="00841808"/>
    <w:p w14:paraId="49A5C718" w14:textId="36259104" w:rsidR="00426BCE" w:rsidRDefault="00426BCE">
      <w:pPr>
        <w:rPr>
          <w:rFonts w:eastAsia="Arial Unicode MS" w:cstheme="minorHAnsi"/>
          <w:color w:val="0E2841" w:themeColor="text2"/>
          <w:lang w:val="en-US"/>
          <w14:ligatures w14:val="none"/>
        </w:rPr>
      </w:pPr>
      <w:r>
        <w:rPr>
          <w:rFonts w:eastAsia="Arial Unicode MS" w:cstheme="minorHAnsi"/>
          <w:color w:val="0E2841" w:themeColor="text2"/>
          <w:lang w:val="en-US"/>
          <w14:ligatures w14:val="none"/>
        </w:rPr>
        <w:br w:type="page"/>
      </w:r>
    </w:p>
    <w:p w14:paraId="71753A05" w14:textId="382F0FD7" w:rsidR="00076320" w:rsidRPr="00214185" w:rsidRDefault="00076320" w:rsidP="009314E9">
      <w:pPr>
        <w:pStyle w:val="Heading1"/>
      </w:pPr>
      <w:bookmarkStart w:id="34" w:name="_Toc213749044"/>
      <w:r w:rsidRPr="00214185">
        <w:lastRenderedPageBreak/>
        <w:t>References</w:t>
      </w:r>
      <w:bookmarkEnd w:id="34"/>
    </w:p>
    <w:p w14:paraId="45573C7E" w14:textId="77777777" w:rsidR="002D20B5" w:rsidRDefault="00076320" w:rsidP="002D20B5">
      <w:pPr>
        <w:pStyle w:val="Bibliography"/>
      </w:pPr>
      <w:r w:rsidRPr="00045092">
        <w:rPr>
          <w:rFonts w:eastAsia="Arial Unicode MS" w:cstheme="minorHAnsi"/>
        </w:rPr>
        <w:fldChar w:fldCharType="begin" w:fldLock="1"/>
      </w:r>
      <w:r w:rsidR="001019BA">
        <w:rPr>
          <w:rFonts w:eastAsia="Arial Unicode MS" w:cstheme="minorHAnsi"/>
        </w:rPr>
        <w:instrText xml:space="preserve"> ADDIN ZOTERO_BIBL {"uncited":[],"omitted":[],"custom":[]} CSL_BIBLIOGRAPHY </w:instrText>
      </w:r>
      <w:r w:rsidRPr="00045092">
        <w:rPr>
          <w:rFonts w:eastAsia="Arial Unicode MS" w:cstheme="minorHAnsi"/>
        </w:rPr>
        <w:fldChar w:fldCharType="separate"/>
      </w:r>
      <w:r w:rsidR="002D20B5">
        <w:t xml:space="preserve">1. </w:t>
      </w:r>
      <w:r w:rsidR="002D20B5">
        <w:tab/>
        <w:t xml:space="preserve">Department of Health. Achieving Excellence in Kidney Care: Delivering the National Service Framework for Renal Services. 2009 Dec. </w:t>
      </w:r>
    </w:p>
    <w:p w14:paraId="3EB8904E" w14:textId="77777777" w:rsidR="002D20B5" w:rsidRDefault="002D20B5" w:rsidP="002D20B5">
      <w:pPr>
        <w:pStyle w:val="Bibliography"/>
      </w:pPr>
      <w:r>
        <w:t xml:space="preserve">2. </w:t>
      </w:r>
      <w:r>
        <w:tab/>
        <w:t xml:space="preserve">The Kidney Health Advisory Group. Kidney Health: Delivering Excellence. 2013. </w:t>
      </w:r>
    </w:p>
    <w:p w14:paraId="4984D4B4" w14:textId="77777777" w:rsidR="002D20B5" w:rsidRDefault="002D20B5" w:rsidP="002D20B5">
      <w:pPr>
        <w:pStyle w:val="Bibliography"/>
      </w:pPr>
      <w:r>
        <w:t xml:space="preserve">3. </w:t>
      </w:r>
      <w:r>
        <w:tab/>
        <w:t xml:space="preserve">Lempinen M, Stenman J, Kyllönen L, Salmela K. Surgical complications following 1670 consecutive adult renal transplantations: A single center study. Scand J Surg SJS Off Organ Finn Surg Soc Scand Surg Soc. 2015 Dec;104(4):254–9. </w:t>
      </w:r>
    </w:p>
    <w:p w14:paraId="07E0EB77" w14:textId="77777777" w:rsidR="002D20B5" w:rsidRDefault="002D20B5" w:rsidP="002D20B5">
      <w:pPr>
        <w:pStyle w:val="Bibliography"/>
      </w:pPr>
      <w:r>
        <w:t xml:space="preserve">4. </w:t>
      </w:r>
      <w:r>
        <w:tab/>
        <w:t xml:space="preserve">Reece SM, Harden PN, Smith AG, Ramsay HM. A model for nurse-led skin cancer surveillance following renal transplantation. Nephrol Nurs J J Am Nephrol Nurses Assoc. 2002 Jun;29(3):257–9, 267. </w:t>
      </w:r>
    </w:p>
    <w:p w14:paraId="5AB5E130" w14:textId="77777777" w:rsidR="002D20B5" w:rsidRDefault="002D20B5" w:rsidP="002D20B5">
      <w:pPr>
        <w:pStyle w:val="Bibliography"/>
      </w:pPr>
      <w:r>
        <w:t xml:space="preserve">5. </w:t>
      </w:r>
      <w:r>
        <w:tab/>
        <w:t xml:space="preserve">Short CD, Russell S, Valentine A. Clinical audit and long-term evaluation of renal transplant recipients. Transplantation. 2001 Dec 27;72(12 Suppl):S94-98. </w:t>
      </w:r>
    </w:p>
    <w:p w14:paraId="0E8CC7AE" w14:textId="77777777" w:rsidR="002D20B5" w:rsidRDefault="002D20B5" w:rsidP="002D20B5">
      <w:pPr>
        <w:pStyle w:val="Bibliography"/>
      </w:pPr>
      <w:r>
        <w:t xml:space="preserve">6. </w:t>
      </w:r>
      <w:r>
        <w:tab/>
        <w:t xml:space="preserve">Butler JA, Roderick P, Mullee M, Mason JC, Peveler RC. Frequency and impact of nonadherence to immunosuppressants after renal transplantation: a systematic review. Transplantation. 2004 Mar 15;77(5):769–76. </w:t>
      </w:r>
    </w:p>
    <w:p w14:paraId="49D51E80" w14:textId="77777777" w:rsidR="002D20B5" w:rsidRDefault="002D20B5" w:rsidP="002D20B5">
      <w:pPr>
        <w:pStyle w:val="Bibliography"/>
      </w:pPr>
      <w:r>
        <w:t xml:space="preserve">7. </w:t>
      </w:r>
      <w:r>
        <w:tab/>
        <w:t xml:space="preserve">Gandolfini I, Palmisano A, Fiaccadori E, Cravedi P, Maggiore U. Detecting, preventing and treating non-adherence to immunosuppression after kidney transplantation. Clin Kidney J. 2022 Jul;15(7):1253–74. </w:t>
      </w:r>
    </w:p>
    <w:p w14:paraId="0FFFE87F" w14:textId="77777777" w:rsidR="002D20B5" w:rsidRDefault="002D20B5" w:rsidP="002D20B5">
      <w:pPr>
        <w:pStyle w:val="Bibliography"/>
      </w:pPr>
      <w:r>
        <w:t xml:space="preserve">8. </w:t>
      </w:r>
      <w:r>
        <w:tab/>
        <w:t xml:space="preserve">Pendergrast J, Armali C, Cserti-Gazdewich C, Hansen M, Kiss A, Lieberman L, et al. Transfusion-associated circulatory overload: best eliminated with lasix®? results of a pilot, double-blind randomized controlled trial (taco-bel). Vox Sang. 2018;113:313. </w:t>
      </w:r>
    </w:p>
    <w:p w14:paraId="67871B5D" w14:textId="77777777" w:rsidR="002D20B5" w:rsidRDefault="002D20B5" w:rsidP="002D20B5">
      <w:pPr>
        <w:pStyle w:val="Bibliography"/>
      </w:pPr>
      <w:r>
        <w:t xml:space="preserve">9. </w:t>
      </w:r>
      <w:r>
        <w:tab/>
        <w:t xml:space="preserve">van Gelder T. Within-patient variability in immunosuppressive drug exposure as a predictor for poor outcome after transplantation. Kidney Int. 2014 Jun;85(6):1267–8. </w:t>
      </w:r>
    </w:p>
    <w:p w14:paraId="4531A6B6" w14:textId="77777777" w:rsidR="002D20B5" w:rsidRDefault="002D20B5" w:rsidP="002D20B5">
      <w:pPr>
        <w:pStyle w:val="Bibliography"/>
      </w:pPr>
      <w:r>
        <w:t xml:space="preserve">10. </w:t>
      </w:r>
      <w:r>
        <w:tab/>
        <w:t xml:space="preserve">Garcia MFFM, Bravin AM, Garcia PD, Contti MM, Nga HS, Takase HM, et al. Behavioral measures to reduce non-adherence in renal transplant recipients: a prospective randomized controlled trial. Int Urol Nephrol. 2015 Nov;47(11):1899–905. </w:t>
      </w:r>
    </w:p>
    <w:p w14:paraId="1CD56B7C" w14:textId="77777777" w:rsidR="002D20B5" w:rsidRDefault="002D20B5" w:rsidP="002D20B5">
      <w:pPr>
        <w:pStyle w:val="Bibliography"/>
      </w:pPr>
      <w:r>
        <w:t xml:space="preserve">11. </w:t>
      </w:r>
      <w:r>
        <w:tab/>
        <w:t xml:space="preserve">Russell C, Conn V, Ashbaugh C, Madsen R, Wakefield M, Webb A, et al. Taking immunosuppressive medications effectively (TIMELink): a pilot randomized controlled trial in adult kidney transplant recipients. Clin Transplant. 2011;25(6):864–70. </w:t>
      </w:r>
    </w:p>
    <w:p w14:paraId="428945F2" w14:textId="77777777" w:rsidR="002D20B5" w:rsidRDefault="002D20B5" w:rsidP="002D20B5">
      <w:pPr>
        <w:pStyle w:val="Bibliography"/>
      </w:pPr>
      <w:r>
        <w:t xml:space="preserve">12. </w:t>
      </w:r>
      <w:r>
        <w:tab/>
        <w:t xml:space="preserve">Lim W, Chadban S, Campbell S, Dent H, Russ G, McDonald S. Effect of interleukin-2 receptor antibody therapy on acute rejection risk and severity, long-term renal function, infection and malignancy-related mortality in renal transplant recipients. Transpl Int Off J Eur Soc Organ Transplant. 2010 Dec;23(12):1207–15. </w:t>
      </w:r>
    </w:p>
    <w:p w14:paraId="274D1CD9" w14:textId="77777777" w:rsidR="002D20B5" w:rsidRDefault="002D20B5" w:rsidP="002D20B5">
      <w:pPr>
        <w:pStyle w:val="Bibliography"/>
      </w:pPr>
      <w:r>
        <w:t xml:space="preserve">13. </w:t>
      </w:r>
      <w:r>
        <w:tab/>
        <w:t>National Institute for Health and Care Excellence. Immunosuppressive therapy for kidney transplant in adults [Internet]. NICE; 2017 [cited 2025 Oct 21]. Available from: https://www.nice.org.uk/guidance/ta481</w:t>
      </w:r>
    </w:p>
    <w:p w14:paraId="545872B1" w14:textId="77777777" w:rsidR="002D20B5" w:rsidRDefault="002D20B5" w:rsidP="002D20B5">
      <w:pPr>
        <w:pStyle w:val="Bibliography"/>
      </w:pPr>
      <w:r>
        <w:lastRenderedPageBreak/>
        <w:t xml:space="preserve">14. </w:t>
      </w:r>
      <w:r>
        <w:tab/>
        <w:t xml:space="preserve">Ponticelli C. Basiliximab: efficacy and safety evaluation in kidney transplantation. Expert Opin Drug Saf. 2014 Mar;13(3):373–81. </w:t>
      </w:r>
    </w:p>
    <w:p w14:paraId="6034E38A" w14:textId="77777777" w:rsidR="002D20B5" w:rsidRDefault="002D20B5" w:rsidP="002D20B5">
      <w:pPr>
        <w:pStyle w:val="Bibliography"/>
      </w:pPr>
      <w:r>
        <w:t xml:space="preserve">15. </w:t>
      </w:r>
      <w:r>
        <w:tab/>
        <w:t xml:space="preserve">3C Study Collaborative Group, Haynes R, Harden P, Judge P, Blackwell L, Emberson J, et al. Alemtuzumab-based induction treatment versus basiliximab-based induction treatment in kidney transplantation (the 3C Study): a randomised trial. Lancet Lond Engl. 2014 Nov 8;384(9955):1684–90. </w:t>
      </w:r>
    </w:p>
    <w:p w14:paraId="680A0CE8" w14:textId="77777777" w:rsidR="002D20B5" w:rsidRDefault="002D20B5" w:rsidP="002D20B5">
      <w:pPr>
        <w:pStyle w:val="Bibliography"/>
      </w:pPr>
      <w:r>
        <w:t xml:space="preserve">16. </w:t>
      </w:r>
      <w:r>
        <w:tab/>
        <w:t xml:space="preserve">Chan K, Taube D, Roufosse C, Cook T, Brookes P, Goodall D, et al. Kidney transplantation with minimized maintenance: alemtuzumab induction with tacrolimus monotherapy--an open label, randomized trial. Transplantation. 2011 Oct 15;92(7):774–80. </w:t>
      </w:r>
    </w:p>
    <w:p w14:paraId="649E1013" w14:textId="77777777" w:rsidR="002D20B5" w:rsidRDefault="002D20B5" w:rsidP="002D20B5">
      <w:pPr>
        <w:pStyle w:val="Bibliography"/>
      </w:pPr>
      <w:r>
        <w:t xml:space="preserve">17. </w:t>
      </w:r>
      <w:r>
        <w:tab/>
        <w:t xml:space="preserve">Hanaway MJ, Woodle ES, Mulgaonkar S, Peddi VR, Kaufman DB, First MR, et al. Alemtuzumab induction in renal transplantation. N Engl J Med. 2011 May 19;364(20):1909–19. </w:t>
      </w:r>
    </w:p>
    <w:p w14:paraId="1EDB830B" w14:textId="77777777" w:rsidR="002D20B5" w:rsidRDefault="002D20B5" w:rsidP="002D20B5">
      <w:pPr>
        <w:pStyle w:val="Bibliography"/>
      </w:pPr>
      <w:r>
        <w:t xml:space="preserve">18. </w:t>
      </w:r>
      <w:r>
        <w:tab/>
        <w:t xml:space="preserve">Welberry Smith MP, Cherukuri A, Newstead CG, Lewington AJP, Ahmad N, Menon K, et al. Alemtuzumab induction in renal transplantation permits safe steroid avoidance with tacrolimus monotherapy: a randomized controlled trial. Transplantation. 2013 Dec 27;96(12):1082–8. </w:t>
      </w:r>
    </w:p>
    <w:p w14:paraId="663F042D" w14:textId="77777777" w:rsidR="002D20B5" w:rsidRDefault="002D20B5" w:rsidP="002D20B5">
      <w:pPr>
        <w:pStyle w:val="Bibliography"/>
      </w:pPr>
      <w:r>
        <w:t xml:space="preserve">19. </w:t>
      </w:r>
      <w:r>
        <w:tab/>
        <w:t xml:space="preserve">Lentine KL, Schnitzler MA, Xiao H, Brennan DC. Long-term safety and efficacy of antithymocyte globulin induction: use of integrated national registry data to achieve ten-year follow-up of 10-10 Study participants. Trials. 2015 Aug 19;16:365. </w:t>
      </w:r>
    </w:p>
    <w:p w14:paraId="1A90219E" w14:textId="77777777" w:rsidR="002D20B5" w:rsidRDefault="002D20B5" w:rsidP="002D20B5">
      <w:pPr>
        <w:pStyle w:val="Bibliography"/>
      </w:pPr>
      <w:r>
        <w:t xml:space="preserve">20. </w:t>
      </w:r>
      <w:r>
        <w:tab/>
        <w:t xml:space="preserve">Hellemans R, Hazzan M, Durand D, Mourad G, Lang P, Kessler M, et al. Daclizumab Versus Rabbit Antithymocyte Globulin in High-Risk Renal Transplants: Five-Year Follow-up of a Randomized Study. Am J Transplant Off J Am Soc Transplant Am Soc Transpl Surg. 2015 Jul;15(7):1923–32. </w:t>
      </w:r>
    </w:p>
    <w:p w14:paraId="26667A20" w14:textId="77777777" w:rsidR="002D20B5" w:rsidRDefault="002D20B5" w:rsidP="002D20B5">
      <w:pPr>
        <w:pStyle w:val="Bibliography"/>
      </w:pPr>
      <w:r>
        <w:t xml:space="preserve">21. </w:t>
      </w:r>
      <w:r>
        <w:tab/>
        <w:t xml:space="preserve">Brokhof MM, Sollinger HW, Hager DR, Muth BL, Pirsch JD, Fernandez LA, et al. Antithymocyte globulin is associated with a lower incidence of de novo donor-specific antibodies in moderately sensitized renal transplant recipients. Transplantation. 2014 Mar 27;97(6):612–7. </w:t>
      </w:r>
    </w:p>
    <w:p w14:paraId="4467DB4B" w14:textId="77777777" w:rsidR="002D20B5" w:rsidRDefault="002D20B5" w:rsidP="002D20B5">
      <w:pPr>
        <w:pStyle w:val="Bibliography"/>
      </w:pPr>
      <w:r>
        <w:t xml:space="preserve">22. </w:t>
      </w:r>
      <w:r>
        <w:tab/>
        <w:t xml:space="preserve">Pilch NA, Taber DJ, Moussa O, Thomas B, Denmark S, Meadows HB, et al. Prospective randomized controlled trial of rabbit antithymocyte globulin compared with IL-2 receptor antagonist induction therapy in kidney transplantation. Ann Surg. 2014 May;259(5):888–93. </w:t>
      </w:r>
    </w:p>
    <w:p w14:paraId="5F549287" w14:textId="77777777" w:rsidR="002D20B5" w:rsidRDefault="002D20B5" w:rsidP="002D20B5">
      <w:pPr>
        <w:pStyle w:val="Bibliography"/>
      </w:pPr>
      <w:r>
        <w:t xml:space="preserve">23. </w:t>
      </w:r>
      <w:r>
        <w:tab/>
        <w:t xml:space="preserve">Kirk AD, Cherikh WS, Ring M, Burke G, Kaufman D, Knechtle SJ, et al. Dissociation of depletional induction and posttransplant lymphoproliferative disease in kidney recipients treated with alemtuzumab. Am J Transplant Off J Am Soc Transplant Am Soc Transpl Surg. 2007 Nov;7(11):2619–25. </w:t>
      </w:r>
    </w:p>
    <w:p w14:paraId="4A862D6B" w14:textId="77777777" w:rsidR="002D20B5" w:rsidRDefault="002D20B5" w:rsidP="002D20B5">
      <w:pPr>
        <w:pStyle w:val="Bibliography"/>
      </w:pPr>
      <w:r>
        <w:lastRenderedPageBreak/>
        <w:t xml:space="preserve">24. </w:t>
      </w:r>
      <w:r>
        <w:tab/>
        <w:t xml:space="preserve">Clatworthy MR, Watson CJE, Plotnek G, Bardsley V, Chaudhry AN, Bradley JA, et al. B-cell-depleting induction therapy and acute cellular rejection. N Engl J Med. 2009 Jun 18;360(25):2683–5. </w:t>
      </w:r>
    </w:p>
    <w:p w14:paraId="18893CB0" w14:textId="77777777" w:rsidR="002D20B5" w:rsidRDefault="002D20B5" w:rsidP="002D20B5">
      <w:pPr>
        <w:pStyle w:val="Bibliography"/>
      </w:pPr>
      <w:r>
        <w:t xml:space="preserve">25. </w:t>
      </w:r>
      <w:r>
        <w:tab/>
        <w:t xml:space="preserve">Macklin PS, Morris PJ, Knight SR. A systematic review of the use of rituximab as induction therapy in renal transplantation. Transplant Rev Orlando Fla. 2015 Apr;29(2):103–8. </w:t>
      </w:r>
    </w:p>
    <w:p w14:paraId="63E9E51B" w14:textId="77777777" w:rsidR="002D20B5" w:rsidRDefault="002D20B5" w:rsidP="002D20B5">
      <w:pPr>
        <w:pStyle w:val="Bibliography"/>
      </w:pPr>
      <w:r>
        <w:t xml:space="preserve">26. </w:t>
      </w:r>
      <w:r>
        <w:tab/>
        <w:t xml:space="preserve">Lo P, Sharma A, Craig JC, Wyburn K, Lim W, Chapman JR, et al. Preconditioning Therapy in ABO-Incompatible Living Kidney Transplantation: A Systematic Review and Meta-Analysis. Transplantation. 2016 Apr;100(4):933–42. </w:t>
      </w:r>
    </w:p>
    <w:p w14:paraId="1F072D5A" w14:textId="77777777" w:rsidR="002D20B5" w:rsidRDefault="002D20B5" w:rsidP="002D20B5">
      <w:pPr>
        <w:pStyle w:val="Bibliography"/>
      </w:pPr>
      <w:r>
        <w:t xml:space="preserve">27. </w:t>
      </w:r>
      <w:r>
        <w:tab/>
        <w:t xml:space="preserve">Ekberg H, Bernasconi C, Tedesco-Silva H, Vítko S, Hugo C, Demirbas A, et al. Calcineurin inhibitor minimization in the Symphony study: observational results 3 years after transplantation. Am J Transplant Off J Am Soc Transplant Am Soc Transpl Surg. 2009 Aug;9(8):1876–85. </w:t>
      </w:r>
    </w:p>
    <w:p w14:paraId="7163A8CA" w14:textId="77777777" w:rsidR="002D20B5" w:rsidRDefault="002D20B5" w:rsidP="002D20B5">
      <w:pPr>
        <w:pStyle w:val="Bibliography"/>
      </w:pPr>
      <w:r>
        <w:t xml:space="preserve">28. </w:t>
      </w:r>
      <w:r>
        <w:tab/>
        <w:t xml:space="preserve">Ekberg H, Tedesco-Silva H, Demirbas A, Vítko S, Nashan B, Gürkan A, et al. Reduced exposure to calcineurin inhibitors in renal transplantation. N Engl J Med. 2007 Dec 20;357(25):2562–75. </w:t>
      </w:r>
    </w:p>
    <w:p w14:paraId="174F3815" w14:textId="77777777" w:rsidR="002D20B5" w:rsidRDefault="002D20B5" w:rsidP="002D20B5">
      <w:pPr>
        <w:pStyle w:val="Bibliography"/>
      </w:pPr>
      <w:r>
        <w:t xml:space="preserve">29. </w:t>
      </w:r>
      <w:r>
        <w:tab/>
        <w:t xml:space="preserve">Webster AC, Woodroffe RC, Taylor RS, Chapman JR, Craig JC. Tacrolimus versus ciclosporin as primary immunosuppression for kidney transplant recipients: meta-analysis and meta-regression of randomised trial data. BMJ. 2005 Oct 8;331(7520):810. </w:t>
      </w:r>
    </w:p>
    <w:p w14:paraId="55274A48" w14:textId="77777777" w:rsidR="002D20B5" w:rsidRDefault="002D20B5" w:rsidP="002D20B5">
      <w:pPr>
        <w:pStyle w:val="Bibliography"/>
      </w:pPr>
      <w:r>
        <w:t xml:space="preserve">30. </w:t>
      </w:r>
      <w:r>
        <w:tab/>
        <w:t xml:space="preserve">Rowshani AT, Scholten EM, Bemelman F, Eikmans M, Idu M, Roos-van Groningen MC, et al. No difference in degree of interstitial Sirius red-stained area in serial biopsies from area under concentration-over-time curves-guided cyclosporine versus tacrolimus-treated renal transplant recipients at one year. J Am Soc Nephrol JASN. 2006 Jan;17(1):305–12. </w:t>
      </w:r>
    </w:p>
    <w:p w14:paraId="5F597F06" w14:textId="77777777" w:rsidR="002D20B5" w:rsidRDefault="002D20B5" w:rsidP="002D20B5">
      <w:pPr>
        <w:pStyle w:val="Bibliography"/>
      </w:pPr>
      <w:r>
        <w:t xml:space="preserve">31. </w:t>
      </w:r>
      <w:r>
        <w:tab/>
        <w:t xml:space="preserve">Woodward RS, Schnitzler MA, Baty J, Lowell JA, Lopez-Rocafort L, Haider S, et al. Incidence and cost of new onset diabetes mellitus among U.S. wait-listed and transplanted renal allograft recipients. Am J Transplant Off J Am Soc Transplant Am Soc Transpl Surg. 2003 May;3(5):590–8. </w:t>
      </w:r>
    </w:p>
    <w:p w14:paraId="076B0557" w14:textId="77777777" w:rsidR="002D20B5" w:rsidRDefault="002D20B5" w:rsidP="002D20B5">
      <w:pPr>
        <w:pStyle w:val="Bibliography"/>
      </w:pPr>
      <w:r>
        <w:t xml:space="preserve">32. </w:t>
      </w:r>
      <w:r>
        <w:tab/>
        <w:t xml:space="preserve">Vincenti F, Friman S, Scheuermann E, Rostaing L, Jenssen T, Campistol JM, et al. Results of an international, randomized trial comparing glucose metabolism disorders and outcome with cyclosporine versus tacrolimus. Am J Transplant Off J Am Soc Transplant Am Soc Transpl Surg. 2007 Jun;7(6):1506–14. </w:t>
      </w:r>
    </w:p>
    <w:p w14:paraId="2FB88D42" w14:textId="77777777" w:rsidR="002D20B5" w:rsidRDefault="002D20B5" w:rsidP="002D20B5">
      <w:pPr>
        <w:pStyle w:val="Bibliography"/>
      </w:pPr>
      <w:r>
        <w:t xml:space="preserve">33. </w:t>
      </w:r>
      <w:r>
        <w:tab/>
        <w:t xml:space="preserve">Yang K, Zhang M, Zhang B, Zhang Y, Zhao Q. Systematic review and meta-analysis of calcineurin inhibitors on long-term prognosis of renal transplant patients. Transpl Immunol. 2022 Dec;75:101741. </w:t>
      </w:r>
    </w:p>
    <w:p w14:paraId="560FEEB9" w14:textId="77777777" w:rsidR="002D20B5" w:rsidRDefault="002D20B5" w:rsidP="002D20B5">
      <w:pPr>
        <w:pStyle w:val="Bibliography"/>
      </w:pPr>
      <w:r>
        <w:t xml:space="preserve">34. </w:t>
      </w:r>
      <w:r>
        <w:tab/>
        <w:t xml:space="preserve">Langone A, Steinberg SM, Gedaly R, Chan LK, Shah T, Sethi KD, et al. Switching STudy of Kidney TRansplant PAtients with Tremor to LCP-TacrO (STRATO): an open-label, multicenter, prospective phase 3b study. Clin Transplant. 2015 Sep;29(9):796–805. </w:t>
      </w:r>
    </w:p>
    <w:p w14:paraId="3C460F91" w14:textId="77777777" w:rsidR="002D20B5" w:rsidRDefault="002D20B5" w:rsidP="002D20B5">
      <w:pPr>
        <w:pStyle w:val="Bibliography"/>
      </w:pPr>
      <w:r>
        <w:lastRenderedPageBreak/>
        <w:t xml:space="preserve">35. </w:t>
      </w:r>
      <w:r>
        <w:tab/>
        <w:t xml:space="preserve">Knight SR, Morris PJ. Does the evidence support the use of mycophenolate mofetil therapeutic drug monitoring in clinical practice? A systematic review. Transplantation. 2008 Jun 27;85(12):1675–85. </w:t>
      </w:r>
    </w:p>
    <w:p w14:paraId="66CFF7C7" w14:textId="77777777" w:rsidR="002D20B5" w:rsidRDefault="002D20B5" w:rsidP="002D20B5">
      <w:pPr>
        <w:pStyle w:val="Bibliography"/>
      </w:pPr>
      <w:r>
        <w:t xml:space="preserve">36. </w:t>
      </w:r>
      <w:r>
        <w:tab/>
        <w:t xml:space="preserve">Kidney Disease: Improving Global Outcomes (KDIGO) Transplant Work Group. KDIGO clinical practice guideline for the care of kidney transplant recipients. Am J Transplant Off J Am Soc Transplant Am Soc Transpl Surg. 2009 Nov;9 Suppl 3:S1-155. </w:t>
      </w:r>
    </w:p>
    <w:p w14:paraId="53617FC8" w14:textId="77777777" w:rsidR="002D20B5" w:rsidRDefault="002D20B5" w:rsidP="002D20B5">
      <w:pPr>
        <w:pStyle w:val="Bibliography"/>
      </w:pPr>
      <w:r>
        <w:t xml:space="preserve">37. </w:t>
      </w:r>
      <w:r>
        <w:tab/>
        <w:t xml:space="preserve">Lloberas N, Grinyó JM, Colom H, Vidal-Alabró A, Fontova P, Rigo-Bonnin R, et al. A prospective controlled, randomized clinical trial of kidney transplant recipients developed personalized tacrolimus dosing using model-based Bayesian Prediction. Kidney Int. 2023 Oct;104(4):840–50. </w:t>
      </w:r>
    </w:p>
    <w:p w14:paraId="5E700A79" w14:textId="77777777" w:rsidR="002D20B5" w:rsidRDefault="002D20B5" w:rsidP="002D20B5">
      <w:pPr>
        <w:pStyle w:val="Bibliography"/>
      </w:pPr>
      <w:r>
        <w:t xml:space="preserve">38. </w:t>
      </w:r>
      <w:r>
        <w:tab/>
        <w:t xml:space="preserve">Mycophenolate Mofetil Acute Renal Rejection Study Group. Mycophenolate mofetil for the treatment of a first acute renal allograft rejection: three-year follow-up. The Mycophenolate Mofetil Acute Renal Rejection Study Group. Transplantation. 2001 Apr 27;71(8):1091–7. </w:t>
      </w:r>
    </w:p>
    <w:p w14:paraId="0B4EB69A" w14:textId="77777777" w:rsidR="002D20B5" w:rsidRDefault="002D20B5" w:rsidP="002D20B5">
      <w:pPr>
        <w:pStyle w:val="Bibliography"/>
      </w:pPr>
      <w:r>
        <w:t xml:space="preserve">39. </w:t>
      </w:r>
      <w:r>
        <w:tab/>
        <w:t xml:space="preserve">Wagner M, Earley AK, Webster AC, Schmid CH, Balk EM, Uhlig K. Mycophenolic acid versus azathioprine as primary immunosuppression for kidney transplant recipients. Cochrane Database Syst Rev. 2015 Dec 3;2015(12):CD007746. </w:t>
      </w:r>
    </w:p>
    <w:p w14:paraId="65BFE1F9" w14:textId="77777777" w:rsidR="002D20B5" w:rsidRDefault="002D20B5" w:rsidP="002D20B5">
      <w:pPr>
        <w:pStyle w:val="Bibliography"/>
      </w:pPr>
      <w:r>
        <w:t xml:space="preserve">40. </w:t>
      </w:r>
      <w:r>
        <w:tab/>
        <w:t xml:space="preserve">Shehata M, Bhandari S, Venkat-Raman G, Moore R, D’Souza R, Riad H, et al. Effect of conversion from mycophenolate mofetil to enteric-coated mycophenolate sodium on maximum tolerated dose and gastrointestinal symptoms following kidney transplantation. Transpl Int Off J Eur Soc Organ Transplant. 2009 Aug;22(8):821–30. </w:t>
      </w:r>
    </w:p>
    <w:p w14:paraId="0D4CF7DC" w14:textId="77777777" w:rsidR="002D20B5" w:rsidRDefault="002D20B5" w:rsidP="002D20B5">
      <w:pPr>
        <w:pStyle w:val="Bibliography"/>
      </w:pPr>
      <w:r>
        <w:t xml:space="preserve">41. </w:t>
      </w:r>
      <w:r>
        <w:tab/>
        <w:t>Medicines and Healthcare products Regulatory Agency. Mycophenolate mofetil, mycophenolic acid: new pregnancy-prevention advice for women and men [Internet]. 2015 Dec [cited 2025 Oct 21]. Available from: https://www.gov.uk/drug-safety-update/mycophenolate-mofetil-mycophenolic-acid-new-pregnancy-prevention-advice-for-women-and-men</w:t>
      </w:r>
    </w:p>
    <w:p w14:paraId="5CCD63B3" w14:textId="77777777" w:rsidR="002D20B5" w:rsidRDefault="002D20B5" w:rsidP="002D20B5">
      <w:pPr>
        <w:pStyle w:val="Bibliography"/>
      </w:pPr>
      <w:r>
        <w:t xml:space="preserve">42. </w:t>
      </w:r>
      <w:r>
        <w:tab/>
        <w:t xml:space="preserve">Midtvedt K, Hjelmesaeth J, Hartmann A, Lund K, Paulsen D, Egeland T, et al. Insulin resistance after renal transplantation: the effect of steroid dose reduction and withdrawal. J Am Soc Nephrol JASN. 2004 Dec;15(12):3233–9. </w:t>
      </w:r>
    </w:p>
    <w:p w14:paraId="4E76AD62" w14:textId="77777777" w:rsidR="002D20B5" w:rsidRDefault="002D20B5" w:rsidP="002D20B5">
      <w:pPr>
        <w:pStyle w:val="Bibliography"/>
      </w:pPr>
      <w:r>
        <w:t xml:space="preserve">43. </w:t>
      </w:r>
      <w:r>
        <w:tab/>
        <w:t xml:space="preserve">Matas AJ, Gillingham K, Kandaswamy R, Dunn TB, Payne WD, Sutherland DER, et al. Kidney transplant half-life (t[1/2]) after rapid discontinuation of prednisone. Transplantation. 2009 Jan 15;87(1):100–2. </w:t>
      </w:r>
    </w:p>
    <w:p w14:paraId="39E65CE6" w14:textId="77777777" w:rsidR="002D20B5" w:rsidRDefault="002D20B5" w:rsidP="002D20B5">
      <w:pPr>
        <w:pStyle w:val="Bibliography"/>
      </w:pPr>
      <w:r>
        <w:t xml:space="preserve">44. </w:t>
      </w:r>
      <w:r>
        <w:tab/>
        <w:t xml:space="preserve">Matas AJ, Kandaswamy R, Gillingham KJ, McHugh L, Ibrahim H, Kasiske B, et al. Prednisone-free maintenance immunosuppression-a 5-year experience. Am J Transplant Off J Am Soc Transplant Am Soc Transpl Surg. 2005 Oct;5(10):2473–8. </w:t>
      </w:r>
    </w:p>
    <w:p w14:paraId="5586A44B" w14:textId="77777777" w:rsidR="002D20B5" w:rsidRDefault="002D20B5" w:rsidP="002D20B5">
      <w:pPr>
        <w:pStyle w:val="Bibliography"/>
      </w:pPr>
      <w:r>
        <w:t xml:space="preserve">45. </w:t>
      </w:r>
      <w:r>
        <w:tab/>
        <w:t xml:space="preserve">Woodle ES, First MR, Pirsch J, Shihab F, Gaber AO, Van Veldhuisen P, et al. A prospective, randomized, double-blind, placebo-controlled multicenter trial comparing </w:t>
      </w:r>
      <w:r>
        <w:lastRenderedPageBreak/>
        <w:t xml:space="preserve">early (7 day) corticosteroid cessation versus long-term, low-dose corticosteroid therapy. Ann Surg. 2008 Oct;248(4):564–77. </w:t>
      </w:r>
    </w:p>
    <w:p w14:paraId="2959A8B0" w14:textId="77777777" w:rsidR="002D20B5" w:rsidRDefault="002D20B5" w:rsidP="002D20B5">
      <w:pPr>
        <w:pStyle w:val="Bibliography"/>
      </w:pPr>
      <w:r>
        <w:t xml:space="preserve">46. </w:t>
      </w:r>
      <w:r>
        <w:tab/>
        <w:t xml:space="preserve">Humar A, Gillingham K, Kandaswamy R, Payne W, Matas A. Steroid avoidance regimens: a comparison of outcomes with maintenance steroids versus continued steroid avoidance in recipients having an acute rejection episode. Am J Transplant Off J Am Soc Transplant Am Soc Transpl Surg. 2007 Aug;7(8):1948–53. </w:t>
      </w:r>
    </w:p>
    <w:p w14:paraId="6FA940CD" w14:textId="77777777" w:rsidR="002D20B5" w:rsidRDefault="002D20B5" w:rsidP="002D20B5">
      <w:pPr>
        <w:pStyle w:val="Bibliography"/>
      </w:pPr>
      <w:r>
        <w:t xml:space="preserve">47. </w:t>
      </w:r>
      <w:r>
        <w:tab/>
        <w:t xml:space="preserve">Cheungpasitporn W, Lentine KL, Tan JC, Kaufmann M, Caliskan Y, Bunnapradist S, et al. Immunosuppression Considerations for Older Kidney Transplant Recipients. Curr Transplant Rep. 2021 Jun;8(2):100–10. </w:t>
      </w:r>
    </w:p>
    <w:p w14:paraId="4B27E2A5" w14:textId="77777777" w:rsidR="002D20B5" w:rsidRDefault="002D20B5" w:rsidP="002D20B5">
      <w:pPr>
        <w:pStyle w:val="Bibliography"/>
      </w:pPr>
      <w:r>
        <w:t xml:space="preserve">48. </w:t>
      </w:r>
      <w:r>
        <w:tab/>
        <w:t xml:space="preserve">Lentine KL, Cheungpasitporn W, Xiao H, McAdams-DeMarco M, Lam NN, Segev DL, et al. Immunosuppression Regimen Use and Outcomes in Older and Younger Adult Kidney Transplant Recipients: A National Registry Analysis. Transplantation. 2021 Aug 1;105(8):1840–9. </w:t>
      </w:r>
    </w:p>
    <w:p w14:paraId="542EBC9E" w14:textId="77777777" w:rsidR="002D20B5" w:rsidRDefault="002D20B5" w:rsidP="002D20B5">
      <w:pPr>
        <w:pStyle w:val="Bibliography"/>
      </w:pPr>
      <w:r>
        <w:t xml:space="preserve">49. </w:t>
      </w:r>
      <w:r>
        <w:tab/>
        <w:t xml:space="preserve">Hahn D, Hodson EM, Hamiwka LA, Lee VW, Chapman JR, Craig JC, et al. Target of rapamycin inhibitors (TOR-I; sirolimus and everolimus) for primary immunosuppression in kidney transplant recipients. Cochrane Database Syst Rev. 2019 Dec 16;12(12):CD004290. </w:t>
      </w:r>
    </w:p>
    <w:p w14:paraId="2006C9B9" w14:textId="77777777" w:rsidR="002D20B5" w:rsidRDefault="002D20B5" w:rsidP="002D20B5">
      <w:pPr>
        <w:pStyle w:val="Bibliography"/>
      </w:pPr>
      <w:r>
        <w:t xml:space="preserve">50. </w:t>
      </w:r>
      <w:r>
        <w:tab/>
        <w:t xml:space="preserve">Budde K, Lehner F, Sommerer C, Reinke P, Arns W, Eisenberger U, et al. Five-year outcomes in kidney transplant patients converted from cyclosporine to everolimus: the randomized ZEUS study. Am J Transplant Off J Am Soc Transplant Am Soc Transpl Surg. 2015 Jan;15(1):119–28. </w:t>
      </w:r>
    </w:p>
    <w:p w14:paraId="3F758D42" w14:textId="77777777" w:rsidR="002D20B5" w:rsidRDefault="002D20B5" w:rsidP="002D20B5">
      <w:pPr>
        <w:pStyle w:val="Bibliography"/>
      </w:pPr>
      <w:r>
        <w:t xml:space="preserve">51. </w:t>
      </w:r>
      <w:r>
        <w:tab/>
        <w:t xml:space="preserve">Budde K, Becker T, Arns W, Sommerer C, Reinke P, Eisenberger U, et al. Everolimus-based, calcineurin-inhibitor-free regimen in recipients of de-novo kidney transplants: an open-label, randomised, controlled trial. Lancet Lond Engl. 2011 Mar 5;377(9768):837–47. </w:t>
      </w:r>
    </w:p>
    <w:p w14:paraId="1BB8E8A8" w14:textId="77777777" w:rsidR="002D20B5" w:rsidRDefault="002D20B5" w:rsidP="002D20B5">
      <w:pPr>
        <w:pStyle w:val="Bibliography"/>
      </w:pPr>
      <w:r>
        <w:t xml:space="preserve">52. </w:t>
      </w:r>
      <w:r>
        <w:tab/>
        <w:t xml:space="preserve">Weir MR, Mulgaonkar S, Chan L, Shidban H, Waid TH, Preston D, et al. Mycophenolate mofetil-based immunosuppression with sirolimus in renal transplantation: a randomized, controlled Spare-the-Nephron trial. Kidney Int. 2011 Apr;79(8):897–907. </w:t>
      </w:r>
    </w:p>
    <w:p w14:paraId="1FC23A0B" w14:textId="77777777" w:rsidR="002D20B5" w:rsidRDefault="002D20B5" w:rsidP="002D20B5">
      <w:pPr>
        <w:pStyle w:val="Bibliography"/>
      </w:pPr>
      <w:r>
        <w:t xml:space="preserve">53. </w:t>
      </w:r>
      <w:r>
        <w:tab/>
        <w:t xml:space="preserve">Knoll GA, Kokolo MB, Mallick R, Beck A, Buenaventura CD, Ducharme R, et al. Effect of sirolimus on malignancy and survival after kidney transplantation: systematic review and meta-analysis of individual patient data. BMJ. 2014 Nov 24;349:g6679. </w:t>
      </w:r>
    </w:p>
    <w:p w14:paraId="793976A2" w14:textId="77777777" w:rsidR="002D20B5" w:rsidRDefault="002D20B5" w:rsidP="002D20B5">
      <w:pPr>
        <w:pStyle w:val="Bibliography"/>
      </w:pPr>
      <w:r>
        <w:t xml:space="preserve">54. </w:t>
      </w:r>
      <w:r>
        <w:tab/>
        <w:t xml:space="preserve">Vincenti F, Larsen C, Durrbach A, Wekerle T, Nashan B, Blancho G, et al. Costimulation blockade with belatacept in renal transplantation. N Engl J Med. 2005 Aug 25;353(8):770–81. </w:t>
      </w:r>
    </w:p>
    <w:p w14:paraId="2C891F5C" w14:textId="77777777" w:rsidR="002D20B5" w:rsidRDefault="002D20B5" w:rsidP="002D20B5">
      <w:pPr>
        <w:pStyle w:val="Bibliography"/>
      </w:pPr>
      <w:r>
        <w:t xml:space="preserve">55. </w:t>
      </w:r>
      <w:r>
        <w:tab/>
        <w:t xml:space="preserve">Abu Jawdeh BG, Me HM. Immunosuppression in Kidney Transplant Recipients: An Update for the General Nephrologist. Adv Kidney Dis Health. 2024 Sep;31(5):408–15. </w:t>
      </w:r>
    </w:p>
    <w:p w14:paraId="2384E5AA" w14:textId="77777777" w:rsidR="002D20B5" w:rsidRDefault="002D20B5" w:rsidP="002D20B5">
      <w:pPr>
        <w:pStyle w:val="Bibliography"/>
      </w:pPr>
      <w:r>
        <w:lastRenderedPageBreak/>
        <w:t xml:space="preserve">56. </w:t>
      </w:r>
      <w:r>
        <w:tab/>
        <w:t xml:space="preserve">Durrbach A, Pestana JM, Florman S, Del Carmen Rial M, Rostaing L, Kuypers D, et al. Long-Term Outcomes in Belatacept- Versus Cyclosporine-Treated Recipients of Extended Criteria Donor Kidneys: Final Results From BENEFIT-EXT, a Phase III Randomized Study. Am J Transplant Off J Am Soc Transplant Am Soc Transpl Surg. 2016 Nov;16(11):3192–201. </w:t>
      </w:r>
    </w:p>
    <w:p w14:paraId="3C6B6B0C" w14:textId="77777777" w:rsidR="002D20B5" w:rsidRDefault="002D20B5" w:rsidP="002D20B5">
      <w:pPr>
        <w:pStyle w:val="Bibliography"/>
      </w:pPr>
      <w:r>
        <w:t xml:space="preserve">57. </w:t>
      </w:r>
      <w:r>
        <w:tab/>
        <w:t xml:space="preserve">Florman S, Vincenti F, Durrbach A, Abouljoud M, Bresnahan B, Garcia VD, et al. Outcomes at 7 years post-transplant in black vs nonblack kidney transplant recipients administered belatacept or cyclosporine in BENEFIT and BENEFIT-EXT. Clin Transplant. 2018 Apr;32(4):e13225. </w:t>
      </w:r>
    </w:p>
    <w:p w14:paraId="7FF67F5A" w14:textId="77777777" w:rsidR="002D20B5" w:rsidRDefault="002D20B5" w:rsidP="002D20B5">
      <w:pPr>
        <w:pStyle w:val="Bibliography"/>
      </w:pPr>
      <w:r>
        <w:t xml:space="preserve">58. </w:t>
      </w:r>
      <w:r>
        <w:tab/>
        <w:t xml:space="preserve">Masson P, Henderson L, Chapman JR, Craig JC, Webster AC. Belatacept for kidney transplant recipients. Cochrane Database Syst Rev. 2014 Nov 24;2014(11):CD010699. </w:t>
      </w:r>
    </w:p>
    <w:p w14:paraId="2E80914A" w14:textId="77777777" w:rsidR="002D20B5" w:rsidRDefault="002D20B5" w:rsidP="002D20B5">
      <w:pPr>
        <w:pStyle w:val="Bibliography"/>
      </w:pPr>
      <w:r>
        <w:t xml:space="preserve">59. </w:t>
      </w:r>
      <w:r>
        <w:tab/>
        <w:t xml:space="preserve">van Gelder T. Mycophenolate blood level monitoring: recent progress. Am J Transplant Off J Am Soc Transplant Am Soc Transpl Surg. 2009 Jul;9(7):1495–9. </w:t>
      </w:r>
    </w:p>
    <w:p w14:paraId="15528573" w14:textId="77777777" w:rsidR="002D20B5" w:rsidRDefault="002D20B5" w:rsidP="002D20B5">
      <w:pPr>
        <w:pStyle w:val="Bibliography"/>
      </w:pPr>
      <w:r>
        <w:t xml:space="preserve">60. </w:t>
      </w:r>
      <w:r>
        <w:tab/>
        <w:t xml:space="preserve">Bergan S, Brunet M, Hesselink DA, Johnson-Davis KL, Kunicki PK, Lemaitre F, et al. Personalized Therapy for Mycophenolate: Consensus Report by the International Association of Therapeutic Drug Monitoring and Clinical Toxicology. Ther Drug Monit. 2021 Apr 1;43(2):150–200. </w:t>
      </w:r>
    </w:p>
    <w:p w14:paraId="19D63DC8" w14:textId="77777777" w:rsidR="002D20B5" w:rsidRDefault="002D20B5" w:rsidP="002D20B5">
      <w:pPr>
        <w:pStyle w:val="Bibliography"/>
      </w:pPr>
      <w:r>
        <w:t xml:space="preserve">61. </w:t>
      </w:r>
      <w:r>
        <w:tab/>
        <w:t xml:space="preserve">Kahan BD, Camardo JS. Rapamycin: clinical results and future opportunities. Transplantation. 2001 Oct 15;72(7):1181–93. </w:t>
      </w:r>
    </w:p>
    <w:p w14:paraId="4B0CF38D" w14:textId="77777777" w:rsidR="002D20B5" w:rsidRDefault="002D20B5" w:rsidP="002D20B5">
      <w:pPr>
        <w:pStyle w:val="Bibliography"/>
      </w:pPr>
      <w:r>
        <w:t xml:space="preserve">62. </w:t>
      </w:r>
      <w:r>
        <w:tab/>
        <w:t xml:space="preserve">Johnston A. Equivalence and interchangeability of narrow therapeutic index drugs in organ transplantation. Eur J Hosp Pharm Sci Pract. 2013 Oct;20(5):302–7. </w:t>
      </w:r>
    </w:p>
    <w:p w14:paraId="4AE85684" w14:textId="77777777" w:rsidR="002D20B5" w:rsidRDefault="002D20B5" w:rsidP="002D20B5">
      <w:pPr>
        <w:pStyle w:val="Bibliography"/>
      </w:pPr>
      <w:r>
        <w:t xml:space="preserve">63. </w:t>
      </w:r>
      <w:r>
        <w:tab/>
        <w:t xml:space="preserve">Rampersad C, Balshaw R, Gibson IW, Ho J, Shaw J, Karpinski M, et al. The negative impact of T cell-mediated rejection on renal allograft survival in the modern era. Am J Transplant Off J Am Soc Transplant Am Soc Transpl Surg. 2022 Mar;22(3):761–71. </w:t>
      </w:r>
    </w:p>
    <w:p w14:paraId="4E4BEE2E" w14:textId="77777777" w:rsidR="002D20B5" w:rsidRDefault="002D20B5" w:rsidP="002D20B5">
      <w:pPr>
        <w:pStyle w:val="Bibliography"/>
      </w:pPr>
      <w:r>
        <w:t xml:space="preserve">64. </w:t>
      </w:r>
      <w:r>
        <w:tab/>
        <w:t xml:space="preserve">Colvin RB, Cohen AH, Saiontz C, Bonsib S, Buick M, Burke B, et al. Evaluation of pathologic criteria for acute renal allograft rejection: reproducibility, sensitivity, and clinical correlation. J Am Soc Nephrol JASN. 1997 Dec;8(12):1930–41. </w:t>
      </w:r>
    </w:p>
    <w:p w14:paraId="51FD2796" w14:textId="77777777" w:rsidR="002D20B5" w:rsidRDefault="002D20B5" w:rsidP="002D20B5">
      <w:pPr>
        <w:pStyle w:val="Bibliography"/>
      </w:pPr>
      <w:r>
        <w:t xml:space="preserve">65. </w:t>
      </w:r>
      <w:r>
        <w:tab/>
        <w:t xml:space="preserve">Nicholson ML, Wheatley TJ, Doughman TM, White SA, Morgan JD, Veitch PS, et al. A prospective randomized trial of three different sizes of core-cutting needle for renal transplant biopsy. Kidney Int. 2000 Jul;58(1):390–5. </w:t>
      </w:r>
    </w:p>
    <w:p w14:paraId="77E48D44" w14:textId="77777777" w:rsidR="002D20B5" w:rsidRDefault="002D20B5" w:rsidP="002D20B5">
      <w:pPr>
        <w:pStyle w:val="Bibliography"/>
      </w:pPr>
      <w:r>
        <w:t xml:space="preserve">66. </w:t>
      </w:r>
      <w:r>
        <w:tab/>
        <w:t xml:space="preserve">Peters B, Andersson Y, Stegmayr B, Mölne J, Jensen G, Dahlberg P, et al. A study of clinical complications and risk factors in 1,001 native and transplant kidney biopsies in Sweden. Acta Radiol Stockh Swed 1987. 2014 Sep;55(7):890–6. </w:t>
      </w:r>
    </w:p>
    <w:p w14:paraId="160C5980" w14:textId="77777777" w:rsidR="002D20B5" w:rsidRDefault="002D20B5" w:rsidP="002D20B5">
      <w:pPr>
        <w:pStyle w:val="Bibliography"/>
      </w:pPr>
      <w:r>
        <w:t xml:space="preserve">67. </w:t>
      </w:r>
      <w:r>
        <w:tab/>
        <w:t xml:space="preserve">Rush D, Arlen D, Boucher A, Busque S, Cockfield SM, Girardin C, et al. Lack of benefit of early protocol biopsies in renal transplant patients receiving TAC and MMF: a randomized study. Am J Transplant Off J Am Soc Transplant Am Soc Transpl Surg. 2007 Nov;7(11):2538–45. </w:t>
      </w:r>
    </w:p>
    <w:p w14:paraId="72D23746" w14:textId="77777777" w:rsidR="002D20B5" w:rsidRDefault="002D20B5" w:rsidP="002D20B5">
      <w:pPr>
        <w:pStyle w:val="Bibliography"/>
      </w:pPr>
      <w:r>
        <w:lastRenderedPageBreak/>
        <w:t xml:space="preserve">68. </w:t>
      </w:r>
      <w:r>
        <w:tab/>
        <w:t xml:space="preserve">Loupy A, Haas M, Roufosse C, Naesens M, Adam B, Afrouzian M, et al. The Banff 2019 Kidney Meeting Report (I): Updates on and clarification of criteria for T cell- and antibody-mediated rejection. Am J Transplant Off J Am Soc Transplant Am Soc Transpl Surg. 2020 Sep;20(9):2318–31. </w:t>
      </w:r>
    </w:p>
    <w:p w14:paraId="059F65FB" w14:textId="77777777" w:rsidR="002D20B5" w:rsidRDefault="002D20B5" w:rsidP="002D20B5">
      <w:pPr>
        <w:pStyle w:val="Bibliography"/>
      </w:pPr>
      <w:r>
        <w:t xml:space="preserve">69. </w:t>
      </w:r>
      <w:r>
        <w:tab/>
        <w:t xml:space="preserve">Koshy P, Furian L, Nickerson P, Zaza G, Haller M, de Vries APJ, et al. European Survey on Clinical Practice of Detecting and Treating T-Cell Mediated Kidney Transplant Rejection. Transpl Int Off J Eur Soc Organ Transplant. 2024;37:12283. </w:t>
      </w:r>
    </w:p>
    <w:p w14:paraId="4F17F0E0" w14:textId="77777777" w:rsidR="002D20B5" w:rsidRDefault="002D20B5" w:rsidP="002D20B5">
      <w:pPr>
        <w:pStyle w:val="Bibliography"/>
      </w:pPr>
      <w:r>
        <w:t xml:space="preserve">70. </w:t>
      </w:r>
      <w:r>
        <w:tab/>
        <w:t xml:space="preserve">Helanterä I, Dörje C, Ortiz F, Varberg Reisæter A, Hammarström C, Lauronen J, et al. Very Low Frequency of Pathological Findings in One-year Protocol Biopsies of Uneventful Standard Risk Kidney Transplant Recipients: Results From the Nordic Protocol Biopsy Study. Transplant Direct. 2024 May;10(5):e1621. </w:t>
      </w:r>
    </w:p>
    <w:p w14:paraId="64809F09" w14:textId="77777777" w:rsidR="002D20B5" w:rsidRDefault="002D20B5" w:rsidP="002D20B5">
      <w:pPr>
        <w:pStyle w:val="Bibliography"/>
      </w:pPr>
      <w:r>
        <w:t xml:space="preserve">71. </w:t>
      </w:r>
      <w:r>
        <w:tab/>
        <w:t xml:space="preserve">Qureshi F, Rabb H, Kasiske BL. Silent acute rejection during prolonged delayed graft function reduces kidney allograft survival. Transplantation. 2002 Nov 27;74(10):1400–4. </w:t>
      </w:r>
    </w:p>
    <w:p w14:paraId="3561F80F" w14:textId="77777777" w:rsidR="002D20B5" w:rsidRDefault="002D20B5" w:rsidP="002D20B5">
      <w:pPr>
        <w:pStyle w:val="Bibliography"/>
      </w:pPr>
      <w:r>
        <w:t xml:space="preserve">72. </w:t>
      </w:r>
      <w:r>
        <w:tab/>
        <w:t xml:space="preserve">Kraus ES, Parekh RS, Oberai P, Lepley D, Segev DL, Bagnasco S, et al. Subclinical rejection in stable positive crossmatch kidney transplant patients: incidence and correlations. Am J Transplant Off J Am Soc Transplant Am Soc Transpl Surg. 2009 Aug;9(8):1826–34. </w:t>
      </w:r>
    </w:p>
    <w:p w14:paraId="0A761E7C" w14:textId="77777777" w:rsidR="002D20B5" w:rsidRDefault="002D20B5" w:rsidP="002D20B5">
      <w:pPr>
        <w:pStyle w:val="Bibliography"/>
      </w:pPr>
      <w:r>
        <w:t xml:space="preserve">73. </w:t>
      </w:r>
      <w:r>
        <w:tab/>
        <w:t xml:space="preserve">Tait BD, Süsal C, Gebel HM, Nickerson PW, Zachary AA, Claas FHJ, et al. Consensus guidelines on the testing and clinical management issues associated with HLA and non-HLA antibodies in transplantation. Transplantation. 2013 Jan 15;95(1):19–47. </w:t>
      </w:r>
    </w:p>
    <w:p w14:paraId="707C3603" w14:textId="77777777" w:rsidR="002D20B5" w:rsidRDefault="002D20B5" w:rsidP="002D20B5">
      <w:pPr>
        <w:pStyle w:val="Bibliography"/>
      </w:pPr>
      <w:r>
        <w:t xml:space="preserve">74. </w:t>
      </w:r>
      <w:r>
        <w:tab/>
        <w:t xml:space="preserve">Naesens M, Roufosse C, Haas M, Lefaucheur C, Mannon RB, Adam BA, et al. The Banff 2022 Kidney Meeting Report: Reappraisal of microvascular inflammation and the role of biopsy-based transcript diagnostics. Am J Transplant Off J Am Soc Transplant Am Soc Transpl Surg. 2024 Mar;24(3):338–49. </w:t>
      </w:r>
    </w:p>
    <w:p w14:paraId="68310F6B" w14:textId="77777777" w:rsidR="002D20B5" w:rsidRDefault="002D20B5" w:rsidP="002D20B5">
      <w:pPr>
        <w:pStyle w:val="Bibliography"/>
      </w:pPr>
      <w:r>
        <w:t xml:space="preserve">75. </w:t>
      </w:r>
      <w:r>
        <w:tab/>
        <w:t xml:space="preserve">de Nattes T, Beadle J, Roufosse C. Biopsy-based transcriptomics in the diagnosis of kidney transplant rejection. Curr Opin Nephrol Hypertens. 2024 May 1;33(3):273–82. </w:t>
      </w:r>
    </w:p>
    <w:p w14:paraId="3D295F4D" w14:textId="77777777" w:rsidR="002D20B5" w:rsidRDefault="002D20B5" w:rsidP="002D20B5">
      <w:pPr>
        <w:pStyle w:val="Bibliography"/>
      </w:pPr>
      <w:r>
        <w:t xml:space="preserve">76. </w:t>
      </w:r>
      <w:r>
        <w:tab/>
        <w:t xml:space="preserve">Mengel M, Loupy A, Haas M, Roufosse C, Naesens M, Akalin E, et al. Banff 2019 Meeting Report: Molecular diagnostics in solid organ transplantation-Consensus for the Banff Human Organ Transplant (B-HOT) gene panel and open source multicenter validation. Am J Transplant Off J Am Soc Transplant Am Soc Transpl Surg. 2020 Sep;20(9):2305–17. </w:t>
      </w:r>
    </w:p>
    <w:p w14:paraId="7739E83B" w14:textId="77777777" w:rsidR="002D20B5" w:rsidRDefault="002D20B5" w:rsidP="002D20B5">
      <w:pPr>
        <w:pStyle w:val="Bibliography"/>
      </w:pPr>
      <w:r>
        <w:t xml:space="preserve">77. </w:t>
      </w:r>
      <w:r>
        <w:tab/>
        <w:t xml:space="preserve">Oellerich M, Sherwood K, Keown P, Schütz E, Beck J, Stegbauer J, et al. Liquid biopsies: donor-derived cell-free DNA for the detection of kidney allograft injury. Nat Rev Nephrol. 2021 Sep;17(9):591–603. </w:t>
      </w:r>
    </w:p>
    <w:p w14:paraId="038F28C8" w14:textId="77777777" w:rsidR="002D20B5" w:rsidRDefault="002D20B5" w:rsidP="002D20B5">
      <w:pPr>
        <w:pStyle w:val="Bibliography"/>
      </w:pPr>
      <w:r>
        <w:t xml:space="preserve">78. </w:t>
      </w:r>
      <w:r>
        <w:tab/>
        <w:t xml:space="preserve">Smith RN. In-silico performance, validation, and modeling of the Nanostring Banff Human Organ transplant gene panel using archival data from human kidney transplants. BMC Med Genomics. 2021 Mar 19;14(1):86. </w:t>
      </w:r>
    </w:p>
    <w:p w14:paraId="261C3230" w14:textId="77777777" w:rsidR="002D20B5" w:rsidRDefault="002D20B5" w:rsidP="002D20B5">
      <w:pPr>
        <w:pStyle w:val="Bibliography"/>
      </w:pPr>
      <w:r>
        <w:lastRenderedPageBreak/>
        <w:t xml:space="preserve">79. </w:t>
      </w:r>
      <w:r>
        <w:tab/>
        <w:t xml:space="preserve">Smith RN, Rosales IA, Tomaszewski KT, Mahowald GT, Araujo-Medina M, Acheampong E, et al. Utility of Banff Human Organ Transplant Gene Panel in Human Kidney Transplant Biopsies. Transplantation. 2023 May 1;107(5):1188–99. </w:t>
      </w:r>
    </w:p>
    <w:p w14:paraId="22BE1163" w14:textId="77777777" w:rsidR="002D20B5" w:rsidRDefault="002D20B5" w:rsidP="002D20B5">
      <w:pPr>
        <w:pStyle w:val="Bibliography"/>
      </w:pPr>
      <w:r>
        <w:t xml:space="preserve">80. </w:t>
      </w:r>
      <w:r>
        <w:tab/>
        <w:t xml:space="preserve">Sood P, Cherikh WS, Toll AE, Mehta RB, Hariharan S. Kidney allograft rejection: Diagnosis and treatment practices in USA- A UNOS survey. Clin Transplant. 2021 Apr;35(4):e14225. </w:t>
      </w:r>
    </w:p>
    <w:p w14:paraId="70ADD469" w14:textId="77777777" w:rsidR="002D20B5" w:rsidRDefault="002D20B5" w:rsidP="002D20B5">
      <w:pPr>
        <w:pStyle w:val="Bibliography"/>
      </w:pPr>
      <w:r>
        <w:t xml:space="preserve">81. </w:t>
      </w:r>
      <w:r>
        <w:tab/>
        <w:t xml:space="preserve">Clayton PA, McDonald SP, Russ GR, Chadban SJ. Long-Term Outcomes after Acute Rejection in Kidney Transplant Recipients: An ANZDATA Analysis. J Am Soc Nephrol JASN. 2019 Sep;30(9):1697–707. </w:t>
      </w:r>
    </w:p>
    <w:p w14:paraId="57BAAAFE" w14:textId="77777777" w:rsidR="002D20B5" w:rsidRDefault="002D20B5" w:rsidP="002D20B5">
      <w:pPr>
        <w:pStyle w:val="Bibliography"/>
      </w:pPr>
      <w:r>
        <w:t xml:space="preserve">82. </w:t>
      </w:r>
      <w:r>
        <w:tab/>
        <w:t xml:space="preserve">Lentine KL, Smith JM, Lyden GR, Miller JM, Dolan TG, Bradbrook K, et al. OPTN/SRTR 2022 Annual Data Report: Kidney. Am J Transplant Off J Am Soc Transplant Am Soc Transpl Surg. 2024 Feb;24(2S1):S19–118. </w:t>
      </w:r>
    </w:p>
    <w:p w14:paraId="2F3EAD03" w14:textId="77777777" w:rsidR="002D20B5" w:rsidRDefault="002D20B5" w:rsidP="002D20B5">
      <w:pPr>
        <w:pStyle w:val="Bibliography"/>
      </w:pPr>
      <w:r>
        <w:t xml:space="preserve">83. </w:t>
      </w:r>
      <w:r>
        <w:tab/>
        <w:t xml:space="preserve">Shapiro R, Young JB, Milford EL, Trotter JF, Bustami RT, Leichtman AB. Immunosuppression: evolution in practice and trends, 1993-2003. Am J Transplant Off J Am Soc Transplant Am Soc Transpl Surg. 2005 Apr;5(4 Pt 2):874–86. </w:t>
      </w:r>
    </w:p>
    <w:p w14:paraId="128024A8" w14:textId="77777777" w:rsidR="002D20B5" w:rsidRDefault="002D20B5" w:rsidP="002D20B5">
      <w:pPr>
        <w:pStyle w:val="Bibliography"/>
      </w:pPr>
      <w:r>
        <w:t xml:space="preserve">84. </w:t>
      </w:r>
      <w:r>
        <w:tab/>
        <w:t xml:space="preserve">Tamargo CL, Kant S. Pathophysiology of Rejection in Kidney Transplantation. J Clin Med. 2023 Jun 19;12(12):4130. </w:t>
      </w:r>
    </w:p>
    <w:p w14:paraId="590B0F55" w14:textId="77777777" w:rsidR="002D20B5" w:rsidRDefault="002D20B5" w:rsidP="002D20B5">
      <w:pPr>
        <w:pStyle w:val="Bibliography"/>
      </w:pPr>
      <w:r>
        <w:t xml:space="preserve">85. </w:t>
      </w:r>
      <w:r>
        <w:tab/>
        <w:t xml:space="preserve">Chandran S, Mannon RB. T cell-mediated rejection in kidney transplant recipients: The end(point) is also the beginning. Am J Transplant Off J Am Soc Transplant Am Soc Transpl Surg. 2022 Mar;22(3):683–4. </w:t>
      </w:r>
    </w:p>
    <w:p w14:paraId="1858029A" w14:textId="77777777" w:rsidR="002D20B5" w:rsidRDefault="002D20B5" w:rsidP="002D20B5">
      <w:pPr>
        <w:pStyle w:val="Bibliography"/>
      </w:pPr>
      <w:r>
        <w:t xml:space="preserve">86. </w:t>
      </w:r>
      <w:r>
        <w:tab/>
        <w:t xml:space="preserve">Mehta R, Bhusal S, Randhawa P, Sood P, Cherukuri A, Wu C, et al. Short-term adverse effects of early subclinical allograft inflammation in kidney transplant recipients with a rapid steroid withdrawal protocol. Am J Transplant Off J Am Soc Transplant Am Soc Transpl Surg. 2018 Jul;18(7):1710–7. </w:t>
      </w:r>
    </w:p>
    <w:p w14:paraId="036895CE" w14:textId="77777777" w:rsidR="002D20B5" w:rsidRDefault="002D20B5" w:rsidP="002D20B5">
      <w:pPr>
        <w:pStyle w:val="Bibliography"/>
      </w:pPr>
      <w:r>
        <w:t xml:space="preserve">87. </w:t>
      </w:r>
      <w:r>
        <w:tab/>
        <w:t xml:space="preserve">Bentata Y. Mycophenolates: The latest modern and potent immunosuppressive drugs in adult kidney transplantation: What we should know about them? Artif Organs. 2020 Jun;44(6):561–76. </w:t>
      </w:r>
    </w:p>
    <w:p w14:paraId="5E47BABA" w14:textId="77777777" w:rsidR="002D20B5" w:rsidRDefault="002D20B5" w:rsidP="002D20B5">
      <w:pPr>
        <w:pStyle w:val="Bibliography"/>
      </w:pPr>
      <w:r>
        <w:t xml:space="preserve">88. </w:t>
      </w:r>
      <w:r>
        <w:tab/>
        <w:t xml:space="preserve">Mycophenolate mofetil for the treatment of a first acute renal allograft rejection: The Mycophenolate Mofetil Acute Renal Rejection Study Group. Transplantation. 1998 Jan 27;65(2):235–41. </w:t>
      </w:r>
    </w:p>
    <w:p w14:paraId="00D368EF" w14:textId="77777777" w:rsidR="002D20B5" w:rsidRDefault="002D20B5" w:rsidP="002D20B5">
      <w:pPr>
        <w:pStyle w:val="Bibliography"/>
      </w:pPr>
      <w:r>
        <w:t xml:space="preserve">89. </w:t>
      </w:r>
      <w:r>
        <w:tab/>
        <w:t xml:space="preserve">Qayyum S, Shahid K. Comparative Safety and Efficacy of Immunosuppressive Regimens Post-kidney Transplant: A Systematic Review. Cureus. 2023 Aug;15(8):e43903. </w:t>
      </w:r>
    </w:p>
    <w:p w14:paraId="496D59DD" w14:textId="77777777" w:rsidR="002D20B5" w:rsidRDefault="002D20B5" w:rsidP="002D20B5">
      <w:pPr>
        <w:pStyle w:val="Bibliography"/>
      </w:pPr>
      <w:r>
        <w:t xml:space="preserve">90. </w:t>
      </w:r>
      <w:r>
        <w:tab/>
        <w:t xml:space="preserve">Alasfar S, Kodali L, Schinstock CA. Current Therapies in Kidney Transplant Rejection. J Clin Med. 2023 Jul 27;12(15):4927. </w:t>
      </w:r>
    </w:p>
    <w:p w14:paraId="031D403E" w14:textId="77777777" w:rsidR="002D20B5" w:rsidRDefault="002D20B5" w:rsidP="002D20B5">
      <w:pPr>
        <w:pStyle w:val="Bibliography"/>
      </w:pPr>
      <w:r>
        <w:lastRenderedPageBreak/>
        <w:t xml:space="preserve">91. </w:t>
      </w:r>
      <w:r>
        <w:tab/>
        <w:t xml:space="preserve">Lamarche C, Côté JM, Sénécal L, Cardinal H. Efficacy of Acute Cellular Rejection Treatment According to Banff Score in Kidney Transplant Recipients: A Systematic Review. Transplant Direct. 2016 Dec;2(12):e115. </w:t>
      </w:r>
    </w:p>
    <w:p w14:paraId="14363802" w14:textId="77777777" w:rsidR="002D20B5" w:rsidRDefault="002D20B5" w:rsidP="002D20B5">
      <w:pPr>
        <w:pStyle w:val="Bibliography"/>
      </w:pPr>
      <w:r>
        <w:t xml:space="preserve">92. </w:t>
      </w:r>
      <w:r>
        <w:tab/>
        <w:t xml:space="preserve">Wiseman AC. Immunosuppressive Medications. Clin J Am Soc Nephrol CJASN. 2016 Feb 5;11(2):332–43. </w:t>
      </w:r>
    </w:p>
    <w:p w14:paraId="7F0F6204" w14:textId="77777777" w:rsidR="002D20B5" w:rsidRDefault="002D20B5" w:rsidP="002D20B5">
      <w:pPr>
        <w:pStyle w:val="Bibliography"/>
      </w:pPr>
      <w:r>
        <w:t xml:space="preserve">93. </w:t>
      </w:r>
      <w:r>
        <w:tab/>
        <w:t xml:space="preserve">Gray D, Daar A, Shepherd H, Oliver DO, Morris PJ. ORAL VERSUS INTRAVENOUS HIGH-DOSE STEROID TREATMENT OF RENAL ALLOGRAFT REJECTION. The Lancet. 1978 Jan;311(8056):117–8. </w:t>
      </w:r>
    </w:p>
    <w:p w14:paraId="0C303AA1" w14:textId="77777777" w:rsidR="002D20B5" w:rsidRDefault="002D20B5" w:rsidP="002D20B5">
      <w:pPr>
        <w:pStyle w:val="Bibliography"/>
      </w:pPr>
      <w:r>
        <w:t xml:space="preserve">94. </w:t>
      </w:r>
      <w:r>
        <w:tab/>
        <w:t xml:space="preserve">Acharya S, Lama S, Kanigicherla DA. Anti-thymocyte globulin for treatment of T-cell-mediated allograft rejection. World J Transplant. 2023 Dec 18;13(6):299–308. </w:t>
      </w:r>
    </w:p>
    <w:p w14:paraId="3145D9AD" w14:textId="77777777" w:rsidR="002D20B5" w:rsidRDefault="002D20B5" w:rsidP="002D20B5">
      <w:pPr>
        <w:pStyle w:val="Bibliography"/>
      </w:pPr>
      <w:r>
        <w:t xml:space="preserve">95. </w:t>
      </w:r>
      <w:r>
        <w:tab/>
        <w:t xml:space="preserve">Webster AC, Wu S, Tallapragada K, Park MY, Chapman JR, Carr SJ. Polyclonal and monoclonal antibodies for treating acute rejection episodes in kidney transplant recipients. Cochrane Database Syst Rev. 2017 Jul 20;7(7):CD004756. </w:t>
      </w:r>
    </w:p>
    <w:p w14:paraId="5FBC9B9C" w14:textId="77777777" w:rsidR="002D20B5" w:rsidRDefault="002D20B5" w:rsidP="002D20B5">
      <w:pPr>
        <w:pStyle w:val="Bibliography"/>
      </w:pPr>
      <w:r>
        <w:t xml:space="preserve">96. </w:t>
      </w:r>
      <w:r>
        <w:tab/>
        <w:t xml:space="preserve">van der Zwan M, Clahsen-Van Groningen MC, van den Hoogen MWF, Kho MML, Roodnat JI, Mauff KAL, et al. Comparison of Alemtuzumab and Anti-thymocyte Globulin Treatment for Acute Kidney Allograft Rejection. Front Immunol. 2020;11:1332. </w:t>
      </w:r>
    </w:p>
    <w:p w14:paraId="61AAA0BD" w14:textId="77777777" w:rsidR="002D20B5" w:rsidRDefault="002D20B5" w:rsidP="002D20B5">
      <w:pPr>
        <w:pStyle w:val="Bibliography"/>
      </w:pPr>
      <w:r>
        <w:t xml:space="preserve">97. </w:t>
      </w:r>
      <w:r>
        <w:tab/>
        <w:t xml:space="preserve">Van Vugt LK, Van Der Zwan M, Clahsen-van Groningen MC, Van Agteren M, Hullegie-Peelen DM, De Winter BCM, et al. A Decade of Experience With Alemtuzumab Therapy for Severe or Glucocorticoid-Resistant Kidney Transplant Rejection. Transpl Int. 2023 Nov 7;36:11834. </w:t>
      </w:r>
    </w:p>
    <w:p w14:paraId="69E5502B" w14:textId="77777777" w:rsidR="002D20B5" w:rsidRDefault="002D20B5" w:rsidP="002D20B5">
      <w:pPr>
        <w:pStyle w:val="Bibliography"/>
      </w:pPr>
      <w:r>
        <w:t xml:space="preserve">98. </w:t>
      </w:r>
      <w:r>
        <w:tab/>
        <w:t>British Transplantation Society. Antibody Incompatible Transplantation Guideline [Internet]. 2015 [cited 2025 Oct 22]. Available from: https://bts.org.uk/wp-content/uploads/2016/09/02_BTS_Antibody_Guidelines-1.pdf</w:t>
      </w:r>
    </w:p>
    <w:p w14:paraId="1D4175D6" w14:textId="77777777" w:rsidR="002D20B5" w:rsidRDefault="002D20B5" w:rsidP="002D20B5">
      <w:pPr>
        <w:pStyle w:val="Bibliography"/>
      </w:pPr>
      <w:r>
        <w:t xml:space="preserve">99. </w:t>
      </w:r>
      <w:r>
        <w:tab/>
        <w:t xml:space="preserve">Schinstock CA, Mannon RB, Budde K, Chong AS, Haas M, Knechtle S, et al. Recommended Treatment for Antibody-mediated Rejection After Kidney Transplantation: The 2019 Expert Consensus From the Transplantion Society Working Group. Transplantation. 2020 May;104(5):911–22. </w:t>
      </w:r>
    </w:p>
    <w:p w14:paraId="73526203" w14:textId="77777777" w:rsidR="002D20B5" w:rsidRDefault="002D20B5" w:rsidP="002D20B5">
      <w:pPr>
        <w:pStyle w:val="Bibliography"/>
      </w:pPr>
      <w:r>
        <w:t xml:space="preserve">100. </w:t>
      </w:r>
      <w:r>
        <w:tab/>
        <w:t xml:space="preserve">Sethi S, Jordan SC. Novel therapies for treatment of antibody-mediated rejection of the kidney. Curr Opin Organ Transplant. 2023 Feb 1;28(1):29–35. </w:t>
      </w:r>
    </w:p>
    <w:p w14:paraId="3A871409" w14:textId="77777777" w:rsidR="002D20B5" w:rsidRDefault="002D20B5" w:rsidP="002D20B5">
      <w:pPr>
        <w:pStyle w:val="Bibliography"/>
      </w:pPr>
      <w:r>
        <w:t xml:space="preserve">101. </w:t>
      </w:r>
      <w:r>
        <w:tab/>
        <w:t xml:space="preserve">Wan SS, Ying TD, Wyburn K, Roberts DM, Wyld M, Chadban SJ. The Treatment of Antibody-Mediated Rejection in Kidney Transplantation: An Updated Systematic Review and Meta-Analysis. Transplantation. 2018 Apr;102(4):557–68. </w:t>
      </w:r>
    </w:p>
    <w:p w14:paraId="6B187C5A" w14:textId="77777777" w:rsidR="002D20B5" w:rsidRDefault="002D20B5" w:rsidP="002D20B5">
      <w:pPr>
        <w:pStyle w:val="Bibliography"/>
      </w:pPr>
      <w:r>
        <w:t xml:space="preserve">102. </w:t>
      </w:r>
      <w:r>
        <w:tab/>
        <w:t xml:space="preserve">Allen NH, Dyer P, Geoghegan T, Harris K, Lee HA, Slapak M. Plasma exchange in acute renal allograft rejection. A controlled trial. Transplantation. 1983 May;35(5):425–8. </w:t>
      </w:r>
    </w:p>
    <w:p w14:paraId="256775CB" w14:textId="77777777" w:rsidR="002D20B5" w:rsidRDefault="002D20B5" w:rsidP="002D20B5">
      <w:pPr>
        <w:pStyle w:val="Bibliography"/>
      </w:pPr>
      <w:r>
        <w:t xml:space="preserve">103. </w:t>
      </w:r>
      <w:r>
        <w:tab/>
        <w:t xml:space="preserve">Caliskan Y, Mirioglu S, Dirim AB, Ozluk Y, Yegit O, Aksoy E, et al. A comparison of methods of plasmapheresis for the treatment of late antibody mediated rejection in </w:t>
      </w:r>
      <w:r>
        <w:lastRenderedPageBreak/>
        <w:t xml:space="preserve">kidney transplant recipients. Ther Apher Dial Off Peer-Rev J Int Soc Apher Jpn Soc Apher Jpn Soc Dial Ther. 2023 Jun;27(3):428–34. </w:t>
      </w:r>
    </w:p>
    <w:p w14:paraId="0D1EB235" w14:textId="77777777" w:rsidR="002D20B5" w:rsidRDefault="002D20B5" w:rsidP="002D20B5">
      <w:pPr>
        <w:pStyle w:val="Bibliography"/>
      </w:pPr>
      <w:r>
        <w:t xml:space="preserve">104. </w:t>
      </w:r>
      <w:r>
        <w:tab/>
        <w:t xml:space="preserve">Hou YB, Chang S, Chen S, Zhang WJ. Intravenous immunoglobulin in kidney transplantation: Mechanisms of action, clinical applications, adverse effects, and hyperimmune globulin. Clin Immunol Orlando Fla. 2023 Nov;256:109782. </w:t>
      </w:r>
    </w:p>
    <w:p w14:paraId="6DA75D57" w14:textId="77777777" w:rsidR="002D20B5" w:rsidRDefault="002D20B5" w:rsidP="002D20B5">
      <w:pPr>
        <w:pStyle w:val="Bibliography"/>
      </w:pPr>
      <w:r>
        <w:t xml:space="preserve">105. </w:t>
      </w:r>
      <w:r>
        <w:tab/>
        <w:t xml:space="preserve">Bailly E, Ville S, Blancho G, Morelon E, Bamoulid J, Caillard S, et al. An extension of the RITUX-ERAH study, multicenter randomized clinical trial comparing rituximab to placebo in acute antibody-mediated rejection after renal transplantation. Transpl Int Off J Eur Soc Organ Transplant. 2020 Jul;33(7):786–95. </w:t>
      </w:r>
    </w:p>
    <w:p w14:paraId="48B4B463" w14:textId="77777777" w:rsidR="002D20B5" w:rsidRDefault="002D20B5" w:rsidP="002D20B5">
      <w:pPr>
        <w:pStyle w:val="Bibliography"/>
      </w:pPr>
      <w:r>
        <w:t xml:space="preserve">106. </w:t>
      </w:r>
      <w:r>
        <w:tab/>
        <w:t xml:space="preserve">Abuazzam F, Dubrawka C, Abdulhadi T, Amurao G, Alrata L, Yaseen Alsabbagh D, et al. Emerging Therapies for Antibody-Mediated Rejection in Kidney Transplantation. J Clin Med. 2023 Jul 26;12(15):4916. </w:t>
      </w:r>
    </w:p>
    <w:p w14:paraId="57791574" w14:textId="77777777" w:rsidR="002D20B5" w:rsidRDefault="002D20B5" w:rsidP="002D20B5">
      <w:pPr>
        <w:pStyle w:val="Bibliography"/>
      </w:pPr>
      <w:r>
        <w:t xml:space="preserve">107. </w:t>
      </w:r>
      <w:r>
        <w:tab/>
        <w:t xml:space="preserve">Eskandary F, Regele H, Baumann L, Bond G, Kozakowski N, Wahrmann M, et al. A Randomized Trial of Bortezomib in Late Antibody-Mediated Kidney Transplant Rejection. J Am Soc Nephrol JASN. 2018 Feb;29(2):591–605. </w:t>
      </w:r>
    </w:p>
    <w:p w14:paraId="5B38D4A9" w14:textId="77777777" w:rsidR="002D20B5" w:rsidRDefault="002D20B5" w:rsidP="002D20B5">
      <w:pPr>
        <w:pStyle w:val="Bibliography"/>
      </w:pPr>
      <w:r>
        <w:t xml:space="preserve">108. </w:t>
      </w:r>
      <w:r>
        <w:tab/>
        <w:t xml:space="preserve">Cabezas L, Jouve T, Malvezzi P, Janbon B, Giovannini D, Rostaing L, et al. Tocilizumab and Active Antibody-Mediated Rejection in Kidney Transplantation: A Literature Review. Front Immunol. 2022;13:839380. </w:t>
      </w:r>
    </w:p>
    <w:p w14:paraId="2E434936" w14:textId="77777777" w:rsidR="002D20B5" w:rsidRDefault="002D20B5" w:rsidP="002D20B5">
      <w:pPr>
        <w:pStyle w:val="Bibliography"/>
      </w:pPr>
      <w:r>
        <w:t xml:space="preserve">109. </w:t>
      </w:r>
      <w:r>
        <w:tab/>
        <w:t xml:space="preserve">Pottebaum AA, Venkatachalam K, Liu C, Brennan DC, Murad H, Malone AF, et al. Efficacy and Safety of Tocilizumab in the Treatment of Acute Active Antibody-mediated Rejection in Kidney Transplant Recipients. Transplant Direct. 2020 Apr;6(4):e543. </w:t>
      </w:r>
    </w:p>
    <w:p w14:paraId="665C7315" w14:textId="77777777" w:rsidR="002D20B5" w:rsidRDefault="002D20B5" w:rsidP="002D20B5">
      <w:pPr>
        <w:pStyle w:val="Bibliography"/>
      </w:pPr>
      <w:r>
        <w:t xml:space="preserve">110. </w:t>
      </w:r>
      <w:r>
        <w:tab/>
        <w:t>NHS Blood and Transplant. Organ and Tissue Donation and Transplantation Activity Report 2022/2023 [Internet]. 2023. Available from: https://nhsbtdbe.blob.core.windows.net/umbraco-assets-corp/30188/activity-report-2022-2023-final.pdf</w:t>
      </w:r>
    </w:p>
    <w:p w14:paraId="03B7DE00" w14:textId="77777777" w:rsidR="002D20B5" w:rsidRDefault="002D20B5" w:rsidP="002D20B5">
      <w:pPr>
        <w:pStyle w:val="Bibliography"/>
      </w:pPr>
      <w:r>
        <w:t xml:space="preserve">111. </w:t>
      </w:r>
      <w:r>
        <w:tab/>
        <w:t xml:space="preserve">Langewisch E, Mannon RB. Chronic Allograft Injury. Clin J Am Soc Nephrol CJASN. 2021 Nov;16(11):1723–9. </w:t>
      </w:r>
    </w:p>
    <w:p w14:paraId="3FCC52A8" w14:textId="77777777" w:rsidR="002D20B5" w:rsidRDefault="002D20B5" w:rsidP="002D20B5">
      <w:pPr>
        <w:pStyle w:val="Bibliography"/>
      </w:pPr>
      <w:r>
        <w:t xml:space="preserve">112. </w:t>
      </w:r>
      <w:r>
        <w:tab/>
        <w:t xml:space="preserve">Vanhove T, Goldschmeding R, Kuypers D. Kidney Fibrosis: Origins and Interventions. Transplantation. 2017 Apr;101(4):713–26. </w:t>
      </w:r>
    </w:p>
    <w:p w14:paraId="1C8BDAC3" w14:textId="77777777" w:rsidR="002D20B5" w:rsidRDefault="002D20B5" w:rsidP="002D20B5">
      <w:pPr>
        <w:pStyle w:val="Bibliography"/>
      </w:pPr>
      <w:r>
        <w:t xml:space="preserve">113. </w:t>
      </w:r>
      <w:r>
        <w:tab/>
        <w:t xml:space="preserve">Sellarés J, de Freitas DG, Mengel M, Reeve J, Einecke G, Sis B, et al. Understanding the causes of kidney transplant failure: the dominant role of antibody-mediated rejection and nonadherence. Am J Transplant Off J Am Soc Transplant Am Soc Transpl Surg. 2012 Feb;12(2):388–99. </w:t>
      </w:r>
    </w:p>
    <w:p w14:paraId="3C543B9D" w14:textId="77777777" w:rsidR="002D20B5" w:rsidRDefault="002D20B5" w:rsidP="002D20B5">
      <w:pPr>
        <w:pStyle w:val="Bibliography"/>
      </w:pPr>
      <w:r>
        <w:t xml:space="preserve">114. </w:t>
      </w:r>
      <w:r>
        <w:tab/>
        <w:t>Barratt J, Topham P, Carr S, Arici M, Liew S, editors. Oxford Desk Reference Nephrology [Internet]. Oxford University Press; 2021 [cited 2025 Oct 23]. Available from: https://doi.org/10.1093/med/9780198777182.001.0001</w:t>
      </w:r>
    </w:p>
    <w:p w14:paraId="067FC889" w14:textId="77777777" w:rsidR="002D20B5" w:rsidRDefault="002D20B5" w:rsidP="002D20B5">
      <w:pPr>
        <w:pStyle w:val="Bibliography"/>
      </w:pPr>
      <w:r>
        <w:lastRenderedPageBreak/>
        <w:t xml:space="preserve">115. </w:t>
      </w:r>
      <w:r>
        <w:tab/>
        <w:t xml:space="preserve">Levey AS, Inker LA, Matsushita K, Greene T, Willis K, Lewis E, et al. GFR decline as an end point for clinical trials in CKD: a scientific workshop sponsored by the National Kidney Foundation and the US Food and Drug Administration. Am J Kidney Dis Off J Natl Kidney Found. 2014 Dec;64(6):821–35. </w:t>
      </w:r>
    </w:p>
    <w:p w14:paraId="6F3CE2B8" w14:textId="77777777" w:rsidR="002D20B5" w:rsidRDefault="002D20B5" w:rsidP="002D20B5">
      <w:pPr>
        <w:pStyle w:val="Bibliography"/>
      </w:pPr>
      <w:r>
        <w:t xml:space="preserve">116. </w:t>
      </w:r>
      <w:r>
        <w:tab/>
        <w:t xml:space="preserve">Thompson A, Lawrence J, Stockbridge N. GFR decline as an end point in trials of CKD: a viewpoint from the FDA. Am J Kidney Dis Off J Natl Kidney Found. 2014 Dec;64(6):836–7. </w:t>
      </w:r>
    </w:p>
    <w:p w14:paraId="0DD29A78" w14:textId="77777777" w:rsidR="002D20B5" w:rsidRDefault="002D20B5" w:rsidP="002D20B5">
      <w:pPr>
        <w:pStyle w:val="Bibliography"/>
      </w:pPr>
      <w:r>
        <w:t xml:space="preserve">117. </w:t>
      </w:r>
      <w:r>
        <w:tab/>
        <w:t xml:space="preserve">Kasiske BL, Zeier MG, Chapman JR, Craig JC, Ekberg H, Garvey CA, et al. KDIGO clinical practice guideline for the care of kidney transplant recipients: a summary. Kidney Int. 2010 Feb;77(4):299–311. </w:t>
      </w:r>
    </w:p>
    <w:p w14:paraId="637C972D" w14:textId="77777777" w:rsidR="002D20B5" w:rsidRDefault="002D20B5" w:rsidP="002D20B5">
      <w:pPr>
        <w:pStyle w:val="Bibliography"/>
      </w:pPr>
      <w:r>
        <w:t xml:space="preserve">118. </w:t>
      </w:r>
      <w:r>
        <w:tab/>
        <w:t xml:space="preserve">Kaplan B, Schold J, Meier-Kriesche HU. Poor predictive value of serum creatinine for renal allograft loss. Am J Transplant Off J Am Soc Transplant Am Soc Transpl Surg. 2003 Dec;3(12):1560–5. </w:t>
      </w:r>
    </w:p>
    <w:p w14:paraId="3DC09248" w14:textId="77777777" w:rsidR="002D20B5" w:rsidRDefault="002D20B5" w:rsidP="002D20B5">
      <w:pPr>
        <w:pStyle w:val="Bibliography"/>
      </w:pPr>
      <w:r>
        <w:t xml:space="preserve">119. </w:t>
      </w:r>
      <w:r>
        <w:tab/>
        <w:t xml:space="preserve">Naesens M, Lerut E, Emonds MP, Herelixka A, Evenepoel P, Claes K, et al. Proteinuria as a Noninvasive Marker for Renal Allograft Histology and Failure: An Observational Cohort Study. J Am Soc Nephrol JASN. 2016 Jan;27(1):281–92. </w:t>
      </w:r>
    </w:p>
    <w:p w14:paraId="1FB8B471" w14:textId="77777777" w:rsidR="002D20B5" w:rsidRDefault="002D20B5" w:rsidP="002D20B5">
      <w:pPr>
        <w:pStyle w:val="Bibliography"/>
      </w:pPr>
      <w:r>
        <w:t xml:space="preserve">120. </w:t>
      </w:r>
      <w:r>
        <w:tab/>
        <w:t xml:space="preserve">Stegall MD, Gaston RS, Cosio FG, Matas A. Through a glass darkly: seeking clarity in preventing late kidney transplant failure. J Am Soc Nephrol JASN. 2015 Jan;26(1):20–9. </w:t>
      </w:r>
    </w:p>
    <w:p w14:paraId="0BEF1631" w14:textId="77777777" w:rsidR="002D20B5" w:rsidRDefault="002D20B5" w:rsidP="002D20B5">
      <w:pPr>
        <w:pStyle w:val="Bibliography"/>
      </w:pPr>
      <w:r>
        <w:t xml:space="preserve">121. </w:t>
      </w:r>
      <w:r>
        <w:tab/>
        <w:t xml:space="preserve">Yilmaz S, Tomlanovich S, Mathew T, Taskinen E, Paavonen T, Navarro M, et al. Protocol core needle biopsy and histologic Chronic Allograft Damage Index (CADI) as surrogate end point for long-term graft survival in multicenter studies. J Am Soc Nephrol JASN. 2003 Mar;14(3):773–9. </w:t>
      </w:r>
    </w:p>
    <w:p w14:paraId="6E32FFAF" w14:textId="77777777" w:rsidR="002D20B5" w:rsidRDefault="002D20B5" w:rsidP="002D20B5">
      <w:pPr>
        <w:pStyle w:val="Bibliography"/>
      </w:pPr>
      <w:r>
        <w:t xml:space="preserve">122. </w:t>
      </w:r>
      <w:r>
        <w:tab/>
        <w:t xml:space="preserve">Jin PH, Sarwal RD, Sarwal MM. Urinary Biomarkers for Kidney Allograft Injury. Transplantation. 2022 Jul 1;106(7):1330–8. </w:t>
      </w:r>
    </w:p>
    <w:p w14:paraId="3587CB05" w14:textId="77777777" w:rsidR="002D20B5" w:rsidRDefault="002D20B5" w:rsidP="002D20B5">
      <w:pPr>
        <w:pStyle w:val="Bibliography"/>
      </w:pPr>
      <w:r>
        <w:t xml:space="preserve">123. </w:t>
      </w:r>
      <w:r>
        <w:tab/>
        <w:t xml:space="preserve">Safa K, Magee CN, Azzi J. A critical review of biomarkers in kidney transplantation. Curr Opin Nephrol Hypertens. 2017 Nov;26(6):509–15. </w:t>
      </w:r>
    </w:p>
    <w:p w14:paraId="35844EC4" w14:textId="77777777" w:rsidR="002D20B5" w:rsidRDefault="002D20B5" w:rsidP="002D20B5">
      <w:pPr>
        <w:pStyle w:val="Bibliography"/>
      </w:pPr>
      <w:r>
        <w:t xml:space="preserve">124. </w:t>
      </w:r>
      <w:r>
        <w:tab/>
        <w:t xml:space="preserve">Stringer D, Gardner L, Shaw O, Clarke B, Briggs D, Worthington J, et al. Optimized immunosuppression to prevent graft failure in renal transplant recipients with HLA antibodies (OuTSMART): a randomised controlled trial. EClinicalMedicine. 2023 Feb;56:101819. </w:t>
      </w:r>
    </w:p>
    <w:p w14:paraId="2FCE87C7" w14:textId="77777777" w:rsidR="002D20B5" w:rsidRDefault="002D20B5" w:rsidP="002D20B5">
      <w:pPr>
        <w:pStyle w:val="Bibliography"/>
      </w:pPr>
      <w:r>
        <w:t xml:space="preserve">125. </w:t>
      </w:r>
      <w:r>
        <w:tab/>
        <w:t xml:space="preserve">Wiebe C, Gibson IW, Blydt-Hansen TD, Pochinco D, Birk PE, Ho J, et al. Rates and determinants of progression to graft failure in kidney allograft recipients with de novo donor-specific antibody. Am J Transplant Off J Am Soc Transplant Am Soc Transpl Surg. 2015 Nov;15(11):2921–30. </w:t>
      </w:r>
    </w:p>
    <w:p w14:paraId="213B9737" w14:textId="77777777" w:rsidR="002D20B5" w:rsidRDefault="002D20B5" w:rsidP="002D20B5">
      <w:pPr>
        <w:pStyle w:val="Bibliography"/>
      </w:pPr>
      <w:r>
        <w:t xml:space="preserve">126. </w:t>
      </w:r>
      <w:r>
        <w:tab/>
        <w:t xml:space="preserve">Lim WH, Chadban SJ, Clayton P, Budgeon CA, Murray K, Campbell SB, et al. Human leukocyte antigen mismatches associated with increased risk of rejection, graft failure, and death independent of initial immunosuppression in renal transplant recipients. Clin Transplant. 2012;26(4):E428-437. </w:t>
      </w:r>
    </w:p>
    <w:p w14:paraId="0624DC1F" w14:textId="77777777" w:rsidR="002D20B5" w:rsidRDefault="002D20B5" w:rsidP="002D20B5">
      <w:pPr>
        <w:pStyle w:val="Bibliography"/>
      </w:pPr>
      <w:r>
        <w:lastRenderedPageBreak/>
        <w:t xml:space="preserve">127. </w:t>
      </w:r>
      <w:r>
        <w:tab/>
        <w:t xml:space="preserve">Matas AJ, Fieberg A, Mannon RB, Leduc R, Grande J, Kasiske BL, et al. Long-term follow-up of the DeKAF cross-sectional cohort study. Am J Transplant Off J Am Soc Transplant Am Soc Transpl Surg. 2019 May;19(5):1432–43. </w:t>
      </w:r>
    </w:p>
    <w:p w14:paraId="4F1D3B25" w14:textId="77777777" w:rsidR="002D20B5" w:rsidRDefault="002D20B5" w:rsidP="002D20B5">
      <w:pPr>
        <w:pStyle w:val="Bibliography"/>
      </w:pPr>
      <w:r>
        <w:t xml:space="preserve">128. </w:t>
      </w:r>
      <w:r>
        <w:tab/>
        <w:t xml:space="preserve">Loupy A, Aubert O, Orandi BJ, Naesens M, Bouatou Y, Raynaud M, et al. Prediction system for risk of allograft loss in patients receiving kidney transplants: international derivation and validation study. BMJ. 2019 Sep 17;366:l4923. </w:t>
      </w:r>
    </w:p>
    <w:p w14:paraId="2F72E8E3" w14:textId="77777777" w:rsidR="002D20B5" w:rsidRDefault="002D20B5" w:rsidP="002D20B5">
      <w:pPr>
        <w:pStyle w:val="Bibliography"/>
      </w:pPr>
      <w:r>
        <w:t xml:space="preserve">129. </w:t>
      </w:r>
      <w:r>
        <w:tab/>
        <w:t xml:space="preserve">Hirsch HH, Randhawa PS, AST Infectious Diseases Community of Practice. BK polyomavirus in solid organ transplantation-Guidelines from the American Society of Transplantation Infectious Diseases Community of Practice. Clin Transplant. 2019 Sep;33(9):e13528. </w:t>
      </w:r>
    </w:p>
    <w:p w14:paraId="665D1C43" w14:textId="77777777" w:rsidR="002D20B5" w:rsidRDefault="002D20B5" w:rsidP="002D20B5">
      <w:pPr>
        <w:pStyle w:val="Bibliography"/>
      </w:pPr>
      <w:r>
        <w:t xml:space="preserve">130. </w:t>
      </w:r>
      <w:r>
        <w:tab/>
        <w:t xml:space="preserve">Solomon IH, Hornick JL, Laga AC. Immunohistochemistry Is Rarely Justified for the Diagnosis of Viral Infections. Am J Clin Pathol. 2017 Jan 1;147(1):96–104. </w:t>
      </w:r>
    </w:p>
    <w:p w14:paraId="1D122157" w14:textId="77777777" w:rsidR="002D20B5" w:rsidRDefault="002D20B5" w:rsidP="002D20B5">
      <w:pPr>
        <w:pStyle w:val="Bibliography"/>
      </w:pPr>
      <w:r>
        <w:t xml:space="preserve">131. </w:t>
      </w:r>
      <w:r>
        <w:tab/>
        <w:t xml:space="preserve">Süsal C, Döhler B. Late intra-patient tacrolimus trough level variability as a major problem in kidney transplantation: A Collaborative Transplant Study Report. Am J Transplant Off J Am Soc Transplant Am Soc Transpl Surg. 2019 Oct;19(10):2805–13. </w:t>
      </w:r>
    </w:p>
    <w:p w14:paraId="5B95C8C4" w14:textId="77777777" w:rsidR="002D20B5" w:rsidRDefault="002D20B5" w:rsidP="002D20B5">
      <w:pPr>
        <w:pStyle w:val="Bibliography"/>
      </w:pPr>
      <w:r>
        <w:t xml:space="preserve">132. </w:t>
      </w:r>
      <w:r>
        <w:tab/>
        <w:t xml:space="preserve">Beck-Tölly A, Eder M, Beitzke D, Eskandary F, Agibetov A, Lampichler K, et al. Magnetic Resonance Imaging for Evaluation of Interstitial Fibrosis in Kidney Allografts. Transplant Direct. 2020 Aug;6(8):e577. </w:t>
      </w:r>
    </w:p>
    <w:p w14:paraId="1C43EFF5" w14:textId="77777777" w:rsidR="002D20B5" w:rsidRDefault="002D20B5" w:rsidP="002D20B5">
      <w:pPr>
        <w:pStyle w:val="Bibliography"/>
      </w:pPr>
      <w:r>
        <w:t xml:space="preserve">133. </w:t>
      </w:r>
      <w:r>
        <w:tab/>
        <w:t xml:space="preserve">Yu YM, Ni QQ, Wang ZJ, Chen ML, Zhang LJ. Multiparametric Functional Magnetic Resonance Imaging for Evaluating Renal Allograft Injury. Korean J Radiol. 2019 Jun;20(6):894–908. </w:t>
      </w:r>
    </w:p>
    <w:p w14:paraId="75593AEE" w14:textId="77777777" w:rsidR="002D20B5" w:rsidRDefault="002D20B5" w:rsidP="002D20B5">
      <w:pPr>
        <w:pStyle w:val="Bibliography"/>
      </w:pPr>
      <w:r>
        <w:t xml:space="preserve">134. </w:t>
      </w:r>
      <w:r>
        <w:tab/>
        <w:t xml:space="preserve">Diebold M, Mayer KA, Hidalgo L, Kozakowski N, Budde K, Böhmig GA. Chronic Rejection After Kidney Transplantation. Transplantation. 2025 Apr 1;109(4):610–21. </w:t>
      </w:r>
    </w:p>
    <w:p w14:paraId="7B36ADC0" w14:textId="77777777" w:rsidR="002D20B5" w:rsidRDefault="002D20B5" w:rsidP="002D20B5">
      <w:pPr>
        <w:pStyle w:val="Bibliography"/>
      </w:pPr>
      <w:r>
        <w:t xml:space="preserve">135. </w:t>
      </w:r>
      <w:r>
        <w:tab/>
        <w:t xml:space="preserve">Lee CY, Lin WC, Wu MS, Yang CY, Yeh CC, Tsai MK. Repeated cycles of high-dose intravenous immunoglobulin and plasmapheresis for treatment of late antibody-mediated rejection of renal transplants. J Formos Med Assoc Taiwan Yi Zhi. 2016 Oct;115(10):845–52. </w:t>
      </w:r>
    </w:p>
    <w:p w14:paraId="7BB4912A" w14:textId="77777777" w:rsidR="002D20B5" w:rsidRDefault="002D20B5" w:rsidP="002D20B5">
      <w:pPr>
        <w:pStyle w:val="Bibliography"/>
      </w:pPr>
      <w:r>
        <w:t xml:space="preserve">136. </w:t>
      </w:r>
      <w:r>
        <w:tab/>
        <w:t xml:space="preserve">Macklin PS, Morris PJ, Knight SR. A systematic review of the use of rituximab for the treatment of antibody-mediated renal transplant rejection. Transplant Rev Orlando Fla. 2017 Apr;31(2):87–95. </w:t>
      </w:r>
    </w:p>
    <w:p w14:paraId="5931E02F" w14:textId="77777777" w:rsidR="002D20B5" w:rsidRDefault="002D20B5" w:rsidP="002D20B5">
      <w:pPr>
        <w:pStyle w:val="Bibliography"/>
      </w:pPr>
      <w:r>
        <w:t xml:space="preserve">137. </w:t>
      </w:r>
      <w:r>
        <w:tab/>
        <w:t xml:space="preserve">Mella A, Gallo E, Messina M, Caorsi C, Amoroso A, Gontero P, et al. Treatment with plasmapheresis, immunoglobulins and rituximab for chronic-active antibody-mediated rejection in kidney transplantation: Clinical, immunological and pathological results. World J Transplant. 2018 Sep 10;8(5):178–87. </w:t>
      </w:r>
    </w:p>
    <w:p w14:paraId="69724283" w14:textId="77777777" w:rsidR="002D20B5" w:rsidRDefault="002D20B5" w:rsidP="002D20B5">
      <w:pPr>
        <w:pStyle w:val="Bibliography"/>
      </w:pPr>
      <w:r>
        <w:t xml:space="preserve">138. </w:t>
      </w:r>
      <w:r>
        <w:tab/>
        <w:t xml:space="preserve">Muller YD, Ghaleb N, Rotman S, Vionnet J, Halfon M, Catana E, et al. Rituximab as monotherapy for the treatment of chronic active antibody-mediated rejection after kidney transplantation. Transpl Int Off J Eur Soc Organ Transplant. 2018 Apr;31(4):451–5. </w:t>
      </w:r>
    </w:p>
    <w:p w14:paraId="5F6E9AD1" w14:textId="77777777" w:rsidR="002D20B5" w:rsidRDefault="002D20B5" w:rsidP="002D20B5">
      <w:pPr>
        <w:pStyle w:val="Bibliography"/>
      </w:pPr>
      <w:r>
        <w:lastRenderedPageBreak/>
        <w:t xml:space="preserve">139. </w:t>
      </w:r>
      <w:r>
        <w:tab/>
        <w:t xml:space="preserve">Kulkarni S, Kirkiles-Smith NC, Deng YH, Formica RN, Moeckel G, Broecker V, et al. Eculizumab Therapy for Chronic Antibody-Mediated Injury in Kidney Transplant Recipients: A Pilot Randomized Controlled Trial. Am J Transplant Off J Am Soc Transplant Am Soc Transpl Surg. 2017 Mar;17(3):682–91. </w:t>
      </w:r>
    </w:p>
    <w:p w14:paraId="31362E1A" w14:textId="77777777" w:rsidR="002D20B5" w:rsidRDefault="002D20B5" w:rsidP="002D20B5">
      <w:pPr>
        <w:pStyle w:val="Bibliography"/>
      </w:pPr>
      <w:r>
        <w:t xml:space="preserve">140. </w:t>
      </w:r>
      <w:r>
        <w:tab/>
        <w:t xml:space="preserve">Eskandary F, Regele H, Baumann L, Bond G, Kozakowski N, Wahrmann M, et al. A Randomized Trial of Bortezomib in Late Antibody-Mediated Kidney Transplant Rejection. J Am Soc Nephrol JASN. 2018 Feb;29(2):591–605. </w:t>
      </w:r>
    </w:p>
    <w:p w14:paraId="06935DB0" w14:textId="77777777" w:rsidR="002D20B5" w:rsidRDefault="002D20B5" w:rsidP="002D20B5">
      <w:pPr>
        <w:pStyle w:val="Bibliography"/>
      </w:pPr>
      <w:r>
        <w:t xml:space="preserve">141. </w:t>
      </w:r>
      <w:r>
        <w:tab/>
        <w:t xml:space="preserve">Choi J, Aubert O, Vo A, Loupy A, Haas M, Puliyanda D, et al. Assessment of Tocilizumab (Anti-Interleukin-6 Receptor Monoclonal) as a Potential Treatment for Chronic Antibody-Mediated Rejection and Transplant Glomerulopathy in HLA-Sensitized Renal Allograft Recipients. Am J Transplant Off J Am Soc Transplant Am Soc Transpl Surg. 2017 Sep;17(9):2381–9. </w:t>
      </w:r>
    </w:p>
    <w:p w14:paraId="5E7DCBED" w14:textId="77777777" w:rsidR="002D20B5" w:rsidRDefault="002D20B5" w:rsidP="002D20B5">
      <w:pPr>
        <w:pStyle w:val="Bibliography"/>
      </w:pPr>
      <w:r>
        <w:t xml:space="preserve">142. </w:t>
      </w:r>
      <w:r>
        <w:tab/>
        <w:t xml:space="preserve">Lavacca A, Presta R, Gai C, Mella A, Gallo E, Camussi G, et al. Early effects of first-line treatment with anti-interleukin-6 receptor antibody tocilizumab for chronic active antibody-mediated rejection in kidney transplantation. Clin Transplant. 2020 Aug;34(8):e13908. </w:t>
      </w:r>
    </w:p>
    <w:p w14:paraId="1B053CA2" w14:textId="77777777" w:rsidR="002D20B5" w:rsidRDefault="002D20B5" w:rsidP="002D20B5">
      <w:pPr>
        <w:pStyle w:val="Bibliography"/>
      </w:pPr>
      <w:r>
        <w:t xml:space="preserve">143. </w:t>
      </w:r>
      <w:r>
        <w:tab/>
        <w:t xml:space="preserve">Streichart L, Felldin M, Ekberg J, Mjörnstedt L, Lindnér P, Lennerling A, et al. Tocilizumab in chronic active antibody-mediated rejection: rationale and protocol of an in-progress randomized controlled open-label multi-center trial (INTERCEPT study). Trials. 2024 Mar 22;25(1):213. </w:t>
      </w:r>
    </w:p>
    <w:p w14:paraId="32F3DE28" w14:textId="77777777" w:rsidR="002D20B5" w:rsidRDefault="002D20B5" w:rsidP="002D20B5">
      <w:pPr>
        <w:pStyle w:val="Bibliography"/>
      </w:pPr>
      <w:r>
        <w:t xml:space="preserve">144. </w:t>
      </w:r>
      <w:r>
        <w:tab/>
        <w:t xml:space="preserve">Mayer KA, Schrezenmeier E, Diebold M, Halloran PF, Schatzl M, Schranz S, et al. A Randomized Phase 2 Trial of Felzartamab in Antibody-Mediated Rejection. N Engl J Med. 2024 Jul 11;391(2):122–32. </w:t>
      </w:r>
    </w:p>
    <w:p w14:paraId="509E6D10" w14:textId="77777777" w:rsidR="002D20B5" w:rsidRDefault="002D20B5" w:rsidP="002D20B5">
      <w:pPr>
        <w:pStyle w:val="Bibliography"/>
      </w:pPr>
      <w:r>
        <w:t xml:space="preserve">145. </w:t>
      </w:r>
      <w:r>
        <w:tab/>
        <w:t xml:space="preserve">El-Zoghby ZM, Stegall MD, Lager DJ, Kremers WK, Amer H, Gloor JM, et al. Identifying specific causes of kidney allograft loss. Am J Transplant Off J Am Soc Transplant Am Soc Transpl Surg. 2009 Mar;9(3):527–35. </w:t>
      </w:r>
    </w:p>
    <w:p w14:paraId="68CAD20E" w14:textId="77777777" w:rsidR="002D20B5" w:rsidRDefault="002D20B5" w:rsidP="002D20B5">
      <w:pPr>
        <w:pStyle w:val="Bibliography"/>
      </w:pPr>
      <w:r>
        <w:t xml:space="preserve">146. </w:t>
      </w:r>
      <w:r>
        <w:tab/>
        <w:t xml:space="preserve">Camilleri B, Bridson JM, Halawa A. Calcineurin Inhibitor-Sparing Strategies in Renal Transplantation: Where Are We? A Comprehensive Review of the Current Evidence. Exp Clin Transplant Off J Middle East Soc Organ Transplant. 2016 Oct;14(5):471–83. </w:t>
      </w:r>
    </w:p>
    <w:p w14:paraId="47E95BB8" w14:textId="77777777" w:rsidR="002D20B5" w:rsidRDefault="002D20B5" w:rsidP="002D20B5">
      <w:pPr>
        <w:pStyle w:val="Bibliography"/>
      </w:pPr>
      <w:r>
        <w:t xml:space="preserve">147. </w:t>
      </w:r>
      <w:r>
        <w:tab/>
        <w:t xml:space="preserve">Vincenti F, Rostaing L, Grinyo J, Rice K, Steinberg S, Gaite L, et al. Belatacept and Long-Term Outcomes in Kidney Transplantation. N Engl J Med. 2016 Jan 28;374(4):333–43. </w:t>
      </w:r>
    </w:p>
    <w:p w14:paraId="5E708C9D" w14:textId="77777777" w:rsidR="002D20B5" w:rsidRDefault="002D20B5" w:rsidP="002D20B5">
      <w:pPr>
        <w:pStyle w:val="Bibliography"/>
      </w:pPr>
      <w:r>
        <w:t xml:space="preserve">148. </w:t>
      </w:r>
      <w:r>
        <w:tab/>
        <w:t xml:space="preserve">Grinyó JM, Del Carmen Rial M, Alberu J, Steinberg SM, Manfro RC, Nainan G, et al. Safety and Efficacy Outcomes 3 Years After Switching to Belatacept From a Calcineurin Inhibitor in Kidney Transplant Recipients: Results From a Phase 2 Randomized Trial. Am J Kidney Dis Off J Natl Kidney Found. 2017 May;69(5):587–94. </w:t>
      </w:r>
    </w:p>
    <w:p w14:paraId="1ECF5D05" w14:textId="77777777" w:rsidR="002D20B5" w:rsidRDefault="002D20B5" w:rsidP="002D20B5">
      <w:pPr>
        <w:pStyle w:val="Bibliography"/>
      </w:pPr>
      <w:r>
        <w:t xml:space="preserve">149. </w:t>
      </w:r>
      <w:r>
        <w:tab/>
        <w:t xml:space="preserve">Gupta G, Regmi A, Kumar D, Posner S, Posner MP, Sharma A, et al. Safe Conversion From Tacrolimus to Belatacept in High Immunologic Risk Kidney Transplant Recipients </w:t>
      </w:r>
      <w:r>
        <w:lastRenderedPageBreak/>
        <w:t xml:space="preserve">With Allograft Dysfunction. Am J Transplant Off J Am Soc Transplant Am Soc Transpl Surg. 2015 Oct;15(10):2726–31. </w:t>
      </w:r>
    </w:p>
    <w:p w14:paraId="14305792" w14:textId="77777777" w:rsidR="002D20B5" w:rsidRDefault="002D20B5" w:rsidP="002D20B5">
      <w:pPr>
        <w:pStyle w:val="Bibliography"/>
      </w:pPr>
      <w:r>
        <w:t xml:space="preserve">150. </w:t>
      </w:r>
      <w:r>
        <w:tab/>
        <w:t xml:space="preserve">Divard G, Aubert O, Debiais-Deschamp C, Raynaud M, Goutaudier V, Sablik M, et al. Long-Term Outcomes after Conversion to a Belatacept-Based Immunosuppression in Kidney Transplant Recipients. Clin J Am Soc Nephrol CJASN. 2024 May 1;19(5):628–37. </w:t>
      </w:r>
    </w:p>
    <w:p w14:paraId="1D9C2BD9" w14:textId="77777777" w:rsidR="002D20B5" w:rsidRDefault="002D20B5" w:rsidP="002D20B5">
      <w:pPr>
        <w:pStyle w:val="Bibliography"/>
      </w:pPr>
      <w:r>
        <w:t xml:space="preserve">151. </w:t>
      </w:r>
      <w:r>
        <w:tab/>
        <w:t xml:space="preserve">Berger SP, Sommerer C, Witzke O, Tedesco H, Chadban S, Mulgaonkar S, et al. Two-year outcomes in de novo renal transplant recipients receiving everolimus-facilitated calcineurin inhibitor reduction regimen from the TRANSFORM study. Am J Transplant Off J Am Soc Transplant Am Soc Transpl Surg. 2019 Nov;19(11):3018–34. </w:t>
      </w:r>
    </w:p>
    <w:p w14:paraId="0B4AD2F7" w14:textId="77777777" w:rsidR="002D20B5" w:rsidRDefault="002D20B5" w:rsidP="002D20B5">
      <w:pPr>
        <w:pStyle w:val="Bibliography"/>
      </w:pPr>
      <w:r>
        <w:t xml:space="preserve">152. </w:t>
      </w:r>
      <w:r>
        <w:tab/>
        <w:t xml:space="preserve">Jamboti JS. BK virus nephropathy in renal transplant recipients. Nephrology. 2016;21(8):647–54. </w:t>
      </w:r>
    </w:p>
    <w:p w14:paraId="508C0ADF" w14:textId="77777777" w:rsidR="002D20B5" w:rsidRDefault="002D20B5" w:rsidP="002D20B5">
      <w:pPr>
        <w:pStyle w:val="Bibliography"/>
      </w:pPr>
      <w:r>
        <w:t xml:space="preserve">153. </w:t>
      </w:r>
      <w:r>
        <w:tab/>
        <w:t xml:space="preserve">Weir MR, Burgess ED, Cooper JE, Fenves AZ, Goldsmith D, McKay D, et al. Assessment and management of hypertension in transplant patients. J Am Soc Nephrol JASN. 2015 Jun;26(6):1248–60. </w:t>
      </w:r>
    </w:p>
    <w:p w14:paraId="2789EF3F" w14:textId="77777777" w:rsidR="002D20B5" w:rsidRDefault="002D20B5" w:rsidP="002D20B5">
      <w:pPr>
        <w:pStyle w:val="Bibliography"/>
      </w:pPr>
      <w:r>
        <w:t xml:space="preserve">154. </w:t>
      </w:r>
      <w:r>
        <w:tab/>
        <w:t xml:space="preserve">Korogiannou M, Sarafidis P, Theodorakopoulou MP, Alexandrou ME, Xagas E, Boletis IN, et al. Diagnostic Performance of Office versus Ambulatory Blood Pressure in Kidney Transplant Recipients. Am J Nephrol. 2021;52(7):548–58. </w:t>
      </w:r>
    </w:p>
    <w:p w14:paraId="71ABFC61" w14:textId="77777777" w:rsidR="002D20B5" w:rsidRDefault="002D20B5" w:rsidP="002D20B5">
      <w:pPr>
        <w:pStyle w:val="Bibliography"/>
      </w:pPr>
      <w:r>
        <w:t xml:space="preserve">155. </w:t>
      </w:r>
      <w:r>
        <w:tab/>
        <w:t xml:space="preserve">Agarwal KA, Agarwal UK, Pavlakis M. Impact of Blood Pressure Control on Graft Survival in Kidney Transplant Recipients. Transplant Proc. 2023;55(1):98–102. </w:t>
      </w:r>
    </w:p>
    <w:p w14:paraId="6DFE13CA" w14:textId="77777777" w:rsidR="002D20B5" w:rsidRDefault="002D20B5" w:rsidP="002D20B5">
      <w:pPr>
        <w:pStyle w:val="Bibliography"/>
      </w:pPr>
      <w:r>
        <w:t xml:space="preserve">156. </w:t>
      </w:r>
      <w:r>
        <w:tab/>
        <w:t xml:space="preserve">Opelz G, Döhler B, Collaborative Transplant Study. Improved long-term outcomes after renal transplantation associated with blood pressure control. Am J Transplant Off J Am Soc Transplant Am Soc Transpl Surg. 2005 Nov;5(11):2725–31. </w:t>
      </w:r>
    </w:p>
    <w:p w14:paraId="474A24A5" w14:textId="77777777" w:rsidR="002D20B5" w:rsidRDefault="002D20B5" w:rsidP="002D20B5">
      <w:pPr>
        <w:pStyle w:val="Bibliography"/>
      </w:pPr>
      <w:r>
        <w:t xml:space="preserve">157. </w:t>
      </w:r>
      <w:r>
        <w:tab/>
        <w:t xml:space="preserve">Pisano A, Mallamaci F, D’Arrigo G, Bolignano D, Wuerzner G, Ortiz A, et al. Blood pressure monitoring in kidney transplantation: a systematic review on hypertension and target organ damage. Nephrol Dial Transplant Off Publ Eur Dial Transpl Assoc - Eur Ren Assoc. 2021 Jul 1;36(7):1326–46. </w:t>
      </w:r>
    </w:p>
    <w:p w14:paraId="026C95F4" w14:textId="77777777" w:rsidR="002D20B5" w:rsidRDefault="002D20B5" w:rsidP="002D20B5">
      <w:pPr>
        <w:pStyle w:val="Bibliography"/>
      </w:pPr>
      <w:r>
        <w:t xml:space="preserve">158. </w:t>
      </w:r>
      <w:r>
        <w:tab/>
        <w:t xml:space="preserve">Gluskin E, Tzukert K, Mor-Yosef Levi I, Gotsman O, Sagiv I, Abel R, et al. Ambulatory monitoring unmasks hypertension among kidney transplant patients: single center experience and review of the literature. BMC Nephrol. 2019 Jul 27;20(1):284. </w:t>
      </w:r>
    </w:p>
    <w:p w14:paraId="1AC1541C" w14:textId="77777777" w:rsidR="002D20B5" w:rsidRDefault="002D20B5" w:rsidP="002D20B5">
      <w:pPr>
        <w:pStyle w:val="Bibliography"/>
      </w:pPr>
      <w:r>
        <w:t xml:space="preserve">159. </w:t>
      </w:r>
      <w:r>
        <w:tab/>
        <w:t xml:space="preserve">Pisano A, Mallamaci F, D’Arrigo G, Bolignano D, Wuerzner G, Ortiz A, et al. Assessment of hypertension in kidney transplantation by ambulatory blood pressure monitoring: a systematic review and meta-analysis. Clin Kidney J. 2022 Jan;15(1):31–42. </w:t>
      </w:r>
    </w:p>
    <w:p w14:paraId="05C47EEF" w14:textId="77777777" w:rsidR="002D20B5" w:rsidRDefault="002D20B5" w:rsidP="002D20B5">
      <w:pPr>
        <w:pStyle w:val="Bibliography"/>
      </w:pPr>
      <w:r>
        <w:t xml:space="preserve">160. </w:t>
      </w:r>
      <w:r>
        <w:tab/>
        <w:t xml:space="preserve">Mallamaci F, D’Arrigo G, Tripepi R, Leonardis D, Porto G, Testa A, et al. Office, standardized and 24-h ambulatory blood pressure and renal function loss in renal transplant patients. J Hypertens. 2018 Jan;36(1):119–25. </w:t>
      </w:r>
    </w:p>
    <w:p w14:paraId="5E464940" w14:textId="77777777" w:rsidR="002D20B5" w:rsidRDefault="002D20B5" w:rsidP="002D20B5">
      <w:pPr>
        <w:pStyle w:val="Bibliography"/>
      </w:pPr>
      <w:r>
        <w:lastRenderedPageBreak/>
        <w:t xml:space="preserve">161. </w:t>
      </w:r>
      <w:r>
        <w:tab/>
        <w:t>National Institute for Health and Care Excellence. Chronic kidney disease in adults: assessment and management | Guidance | NICE [Internet]. NICE; 2014 Jul [cited 2025 Oct 23]. Available from: https://www.nice.org.uk/guidance/cg182</w:t>
      </w:r>
    </w:p>
    <w:p w14:paraId="4974FF74" w14:textId="77777777" w:rsidR="002D20B5" w:rsidRDefault="002D20B5" w:rsidP="002D20B5">
      <w:pPr>
        <w:pStyle w:val="Bibliography"/>
      </w:pPr>
      <w:r>
        <w:t xml:space="preserve">162. </w:t>
      </w:r>
      <w:r>
        <w:tab/>
        <w:t xml:space="preserve">Kidney Disease: Improving Global Outcomes (KDIGO) Blood Pressure Work Group. KDIGO 2021 Clinical Practice Guideline for the Management of Blood Pressure in Chronic Kidney Disease. Kidney Int. 2021 Mar;99(3S):S1–87. </w:t>
      </w:r>
    </w:p>
    <w:p w14:paraId="2878F1DD" w14:textId="77777777" w:rsidR="002D20B5" w:rsidRDefault="002D20B5" w:rsidP="002D20B5">
      <w:pPr>
        <w:pStyle w:val="Bibliography"/>
      </w:pPr>
      <w:r>
        <w:t xml:space="preserve">163. </w:t>
      </w:r>
      <w:r>
        <w:tab/>
        <w:t xml:space="preserve">Mancia G, Kreutz R, Brunström M, Burnier M, Grassi G, Januszewicz A, et al. 2023 ESH Guidelines for the management of arterial hypertension The Task Force for the management of arterial hypertension of the European Society of Hypertension: Endorsed by the International Society of Hypertension (ISH) and the European Renal Association (ERA). J Hypertens. 2023 Dec 1;41(12):1874–2071. </w:t>
      </w:r>
    </w:p>
    <w:p w14:paraId="42E37444" w14:textId="77777777" w:rsidR="002D20B5" w:rsidRDefault="002D20B5" w:rsidP="002D20B5">
      <w:pPr>
        <w:pStyle w:val="Bibliography"/>
      </w:pPr>
      <w:r>
        <w:t xml:space="preserve">164. </w:t>
      </w:r>
      <w:r>
        <w:tab/>
        <w:t xml:space="preserve">Kim CS, Oh TR, Suh SH, Choi HS, Bae EH, Ma SK, et al. Uncontrolled hypertension is associated with increased risk of graft failure in kidney transplant recipients: a nationwide population-based study. Front Cardiovasc Med. 2023;10:1185001. </w:t>
      </w:r>
    </w:p>
    <w:p w14:paraId="2AF02B66" w14:textId="77777777" w:rsidR="002D20B5" w:rsidRDefault="002D20B5" w:rsidP="002D20B5">
      <w:pPr>
        <w:pStyle w:val="Bibliography"/>
      </w:pPr>
      <w:r>
        <w:t xml:space="preserve">165. </w:t>
      </w:r>
      <w:r>
        <w:tab/>
        <w:t xml:space="preserve">Pagonas N, Bauer F, Seibert FS, Seidel M, Schenker P, Kykalos S, et al. Intensive blood pressure control is associated with improved patient and graft survival after renal transplantation. Sci Rep. 2019 Jul 19;9(1):10507. </w:t>
      </w:r>
    </w:p>
    <w:p w14:paraId="5ABDA199" w14:textId="77777777" w:rsidR="002D20B5" w:rsidRDefault="002D20B5" w:rsidP="002D20B5">
      <w:pPr>
        <w:pStyle w:val="Bibliography"/>
      </w:pPr>
      <w:r>
        <w:t xml:space="preserve">166. </w:t>
      </w:r>
      <w:r>
        <w:tab/>
        <w:t xml:space="preserve">SPRINT Research Group, Wright JT, Williamson JD, Whelton PK, Snyder JK, Sink KM, et al. A Randomized Trial of Intensive versus Standard Blood-Pressure Control. N Engl J Med. 2015 Nov 26;373(22):2103–16. </w:t>
      </w:r>
    </w:p>
    <w:p w14:paraId="37ED579A" w14:textId="77777777" w:rsidR="002D20B5" w:rsidRDefault="002D20B5" w:rsidP="002D20B5">
      <w:pPr>
        <w:pStyle w:val="Bibliography"/>
      </w:pPr>
      <w:r>
        <w:t xml:space="preserve">167. </w:t>
      </w:r>
      <w:r>
        <w:tab/>
        <w:t>UK Kidney Association. UK Kidney Association Updated Commentary on NICE guideline (NG136) Hypertension in adults: diagnosis and management [Internet]. 2022. Available from: https://www.ukkidney.org/sites/renal.org/files/FINAL%20UKKA%20NICE-KDIGO%20commentary%20December%202022.pdf</w:t>
      </w:r>
    </w:p>
    <w:p w14:paraId="274693CD" w14:textId="77777777" w:rsidR="002D20B5" w:rsidRDefault="002D20B5" w:rsidP="002D20B5">
      <w:pPr>
        <w:pStyle w:val="Bibliography"/>
      </w:pPr>
      <w:r>
        <w:t xml:space="preserve">168. </w:t>
      </w:r>
      <w:r>
        <w:tab/>
        <w:t xml:space="preserve">Whelton PK, Carey RM, Aronow WS, Casey DE, Collins KJ, Dennison Himmelfarb C, et al. 2017 ACC/AHA/AAPA/ABC/ACPM/AGS/APhA/ASH/ASPC/NMA/PCNA Guideline for the Prevention, Detection, Evaluation, and Management of High Blood Pressure in Adults: A Report of the American College of Cardiology/American Heart Association Task Force on Clinical Practice Guidelines. J Am Coll Cardiol. 2018 May 15;71(19):e127–248. </w:t>
      </w:r>
    </w:p>
    <w:p w14:paraId="59A0E5AE" w14:textId="77777777" w:rsidR="002D20B5" w:rsidRDefault="002D20B5" w:rsidP="002D20B5">
      <w:pPr>
        <w:pStyle w:val="Bibliography"/>
      </w:pPr>
      <w:r>
        <w:t xml:space="preserve">169. </w:t>
      </w:r>
      <w:r>
        <w:tab/>
        <w:t xml:space="preserve">Bhatnagar A, Pein U, Markau S, Weigand K, Fornara P, Girndt M, et al. Influence of SPRINT Study Type Automated Office Blood Pressure Measurements on Hypertension Diagnosis in Kidney Transplant Patients. Kidney Blood Press Res. 2018;43(2):310–7. </w:t>
      </w:r>
    </w:p>
    <w:p w14:paraId="0C98259F" w14:textId="77777777" w:rsidR="002D20B5" w:rsidRDefault="002D20B5" w:rsidP="002D20B5">
      <w:pPr>
        <w:pStyle w:val="Bibliography"/>
      </w:pPr>
      <w:r>
        <w:t xml:space="preserve">170. </w:t>
      </w:r>
      <w:r>
        <w:tab/>
        <w:t xml:space="preserve">SPRINT Research Group, Lewis CE, Fine LJ, Beddhu S, Cheung AK, Cushman WC, et al. Final Report of a Trial of Intensive versus Standard Blood-Pressure Control. N Engl J Med. 2021 May 20;384(20):1921–30. </w:t>
      </w:r>
    </w:p>
    <w:p w14:paraId="43E7FD55" w14:textId="77777777" w:rsidR="002D20B5" w:rsidRDefault="002D20B5" w:rsidP="002D20B5">
      <w:pPr>
        <w:pStyle w:val="Bibliography"/>
      </w:pPr>
      <w:r>
        <w:t xml:space="preserve">171. </w:t>
      </w:r>
      <w:r>
        <w:tab/>
        <w:t xml:space="preserve">Rocco MV, Sink KM, Lovato LC, Wolfgram DF, Wiegmann TB, Wall BM, et al. Effects of Intensive Blood Pressure Treatment on Acute Kidney Injury Events in the Systolic Blood </w:t>
      </w:r>
      <w:r>
        <w:lastRenderedPageBreak/>
        <w:t xml:space="preserve">Pressure Intervention Trial (SPRINT). Am J Kidney Dis Off J Natl Kidney Found. 2018 Mar;71(3):352–61. </w:t>
      </w:r>
    </w:p>
    <w:p w14:paraId="35EE850A" w14:textId="77777777" w:rsidR="002D20B5" w:rsidRDefault="002D20B5" w:rsidP="002D20B5">
      <w:pPr>
        <w:pStyle w:val="Bibliography"/>
      </w:pPr>
      <w:r>
        <w:t xml:space="preserve">172. </w:t>
      </w:r>
      <w:r>
        <w:tab/>
        <w:t>National Institute for Health and Care Excellence. Hypertension in adults: diagnosis and management [Internet]. NICE; 2019 Aug [cited 2025 Oct 23]. Available from: https://www.nice.org.uk/guidance/ng136</w:t>
      </w:r>
    </w:p>
    <w:p w14:paraId="1A729E56" w14:textId="77777777" w:rsidR="002D20B5" w:rsidRDefault="002D20B5" w:rsidP="002D20B5">
      <w:pPr>
        <w:pStyle w:val="Bibliography"/>
      </w:pPr>
      <w:r>
        <w:t xml:space="preserve">173. </w:t>
      </w:r>
      <w:r>
        <w:tab/>
        <w:t xml:space="preserve">Osté MCJ, Gomes-Neto AW, Corpeleijn E, Gans ROB, de Borst MH, van den Berg E, et al. Dietary Approach to Stop Hypertension (DASH) diet and risk of renal function decline and all-cause mortality in renal transplant recipients. Am J Transplant Off J Am Soc Transplant Am Soc Transpl Surg. 2018 Oct;18(10):2523–33. </w:t>
      </w:r>
    </w:p>
    <w:p w14:paraId="3A310A95" w14:textId="77777777" w:rsidR="002D20B5" w:rsidRDefault="002D20B5" w:rsidP="002D20B5">
      <w:pPr>
        <w:pStyle w:val="Bibliography"/>
      </w:pPr>
      <w:r>
        <w:t xml:space="preserve">174. </w:t>
      </w:r>
      <w:r>
        <w:tab/>
        <w:t xml:space="preserve">Cross NB, Webster AC, Masson P, O’Connell PJ, Craig JC. Antihypertensive treatment for kidney transplant recipients. Cochrane Database Syst Rev. 2009 Jul 8;2009(3):CD003598. </w:t>
      </w:r>
    </w:p>
    <w:p w14:paraId="066FB898" w14:textId="77777777" w:rsidR="002D20B5" w:rsidRDefault="002D20B5" w:rsidP="002D20B5">
      <w:pPr>
        <w:pStyle w:val="Bibliography"/>
      </w:pPr>
      <w:r>
        <w:t xml:space="preserve">175. </w:t>
      </w:r>
      <w:r>
        <w:tab/>
        <w:t xml:space="preserve">Pisano A, Bolignano D, Mallamaci F, D’Arrigo G, Halimi JM, Persu A, et al. Comparative effectiveness of different antihypertensive agents in kidney transplantation: a systematic review and meta-analysis. Nephrol Dial Transplant Off Publ Eur Dial Transpl Assoc - Eur Ren Assoc. 2020 May 1;35(5):878–87. </w:t>
      </w:r>
    </w:p>
    <w:p w14:paraId="0709571E" w14:textId="77777777" w:rsidR="002D20B5" w:rsidRDefault="002D20B5" w:rsidP="002D20B5">
      <w:pPr>
        <w:pStyle w:val="Bibliography"/>
      </w:pPr>
      <w:r>
        <w:t xml:space="preserve">176. </w:t>
      </w:r>
      <w:r>
        <w:tab/>
        <w:t xml:space="preserve">Miller LW. Cardiovascular toxicities of immunosuppressive agents. Am J Transplant Off J Am Soc Transplant Am Soc Transpl Surg. 2002 Oct;2(9):807–18. </w:t>
      </w:r>
    </w:p>
    <w:p w14:paraId="0C5FE0B6" w14:textId="77777777" w:rsidR="002D20B5" w:rsidRDefault="002D20B5" w:rsidP="002D20B5">
      <w:pPr>
        <w:pStyle w:val="Bibliography"/>
      </w:pPr>
      <w:r>
        <w:t xml:space="preserve">177. </w:t>
      </w:r>
      <w:r>
        <w:tab/>
        <w:t>National Institute for Health and Care Excellence. Cardiovascular disease: risk assessment and reduction, including lipid modification [Internet]. NICE; 2023 Dec [cited 2025 Oct 23]. Available from: https://www.nice.org.uk/guidance/ng238</w:t>
      </w:r>
    </w:p>
    <w:p w14:paraId="553C4C2E" w14:textId="77777777" w:rsidR="002D20B5" w:rsidRDefault="002D20B5" w:rsidP="002D20B5">
      <w:pPr>
        <w:pStyle w:val="Bibliography"/>
      </w:pPr>
      <w:r>
        <w:t xml:space="preserve">178. </w:t>
      </w:r>
      <w:r>
        <w:tab/>
        <w:t xml:space="preserve">Visseren FLJ, Mach F, Smulders YM, Carballo D, Koskinas KC, Bäck M, et al. 2021 ESC Guidelines on cardiovascular disease prevention in clinical practice. Eur Heart J. 2021 Sep 7;42(34):3227–337. </w:t>
      </w:r>
    </w:p>
    <w:p w14:paraId="0543650B" w14:textId="77777777" w:rsidR="002D20B5" w:rsidRDefault="002D20B5" w:rsidP="002D20B5">
      <w:pPr>
        <w:pStyle w:val="Bibliography"/>
      </w:pPr>
      <w:r>
        <w:t xml:space="preserve">179. </w:t>
      </w:r>
      <w:r>
        <w:tab/>
        <w:t xml:space="preserve">Holdaas H, Fellström B, Jardine AG, Holme I, Nyberg G, Fauchald P, et al. Effect of fluvastatin on cardiac outcomes in renal transplant recipients: a multicentre, randomised, placebo-controlled trial. Lancet Lond Engl. 2003 Jun 14;361(9374):2024–31. </w:t>
      </w:r>
    </w:p>
    <w:p w14:paraId="058812CB" w14:textId="77777777" w:rsidR="002D20B5" w:rsidRDefault="002D20B5" w:rsidP="002D20B5">
      <w:pPr>
        <w:pStyle w:val="Bibliography"/>
      </w:pPr>
      <w:r>
        <w:t xml:space="preserve">180. </w:t>
      </w:r>
      <w:r>
        <w:tab/>
        <w:t xml:space="preserve">Holdaas H, Fellström B, Cole E, Nyberg G, Olsson AG, Pedersen TR, et al. Long-term cardiac outcomes in renal transplant recipients receiving fluvastatin: the ALERT extension study. Am J Transplant Off J Am Soc Transplant Am Soc Transpl Surg. 2005 Dec;5(12):2929–36. </w:t>
      </w:r>
    </w:p>
    <w:p w14:paraId="5045A746" w14:textId="77777777" w:rsidR="002D20B5" w:rsidRDefault="002D20B5" w:rsidP="002D20B5">
      <w:pPr>
        <w:pStyle w:val="Bibliography"/>
      </w:pPr>
      <w:r>
        <w:t xml:space="preserve">181. </w:t>
      </w:r>
      <w:r>
        <w:tab/>
        <w:t xml:space="preserve">Palmer SC, Navaneethan SD, Craig JC, Perkovic V, Johnson DW, Nigwekar SU, et al. HMG CoA reductase inhibitors (statins) for kidney transplant recipients. Cochrane Database Syst Rev. 2014 Jan 28;2014(1):CD005019. </w:t>
      </w:r>
    </w:p>
    <w:p w14:paraId="1B2F04BE" w14:textId="77777777" w:rsidR="002D20B5" w:rsidRDefault="002D20B5" w:rsidP="002D20B5">
      <w:pPr>
        <w:pStyle w:val="Bibliography"/>
      </w:pPr>
      <w:r>
        <w:lastRenderedPageBreak/>
        <w:t xml:space="preserve">182. </w:t>
      </w:r>
      <w:r>
        <w:tab/>
        <w:t xml:space="preserve">Anderson JLC, van der Giet M, Gomes Neto AW, Bakker SJL, Tietge UJF. Statin use and incident cardiovascular events in renal transplant recipients. Eur J Clin Invest. 2021 Nov;51(11):e13594. </w:t>
      </w:r>
    </w:p>
    <w:p w14:paraId="75D5BE78" w14:textId="77777777" w:rsidR="002D20B5" w:rsidRDefault="002D20B5" w:rsidP="002D20B5">
      <w:pPr>
        <w:pStyle w:val="Bibliography"/>
      </w:pPr>
      <w:r>
        <w:t xml:space="preserve">183. </w:t>
      </w:r>
      <w:r>
        <w:tab/>
        <w:t xml:space="preserve">Nazoiri C, Liabeuf S, Brazier F, Nowak A, Bennis Y, Laville SM, et al. Statin therapy and the incidence of atherosclerotic cardiovascular events after kidney transplantation. Nephrol Dial Transplant Off Publ Eur Dial Transpl Assoc - Eur Ren Assoc. 2024 Apr 26;39(5):818–29. </w:t>
      </w:r>
    </w:p>
    <w:p w14:paraId="23F8EC72" w14:textId="77777777" w:rsidR="002D20B5" w:rsidRDefault="002D20B5" w:rsidP="002D20B5">
      <w:pPr>
        <w:pStyle w:val="Bibliography"/>
      </w:pPr>
      <w:r>
        <w:t xml:space="preserve">184. </w:t>
      </w:r>
      <w:r>
        <w:tab/>
        <w:t xml:space="preserve">Yim SH, Kim HJ, Ro H, Ryu JH, Kim MG, Park JB, et al. Benefits of statin therapy within a year after kidney transplantation. Sci Rep. 2024 Jan 23;14(1):2002. </w:t>
      </w:r>
    </w:p>
    <w:p w14:paraId="1F9385CB" w14:textId="77777777" w:rsidR="002D20B5" w:rsidRDefault="002D20B5" w:rsidP="002D20B5">
      <w:pPr>
        <w:pStyle w:val="Bibliography"/>
      </w:pPr>
      <w:r>
        <w:t xml:space="preserve">185. </w:t>
      </w:r>
      <w:r>
        <w:tab/>
        <w:t xml:space="preserve">Bae S, Ahn JB, Joseph C, Whisler R, Schnitzler MA, Lentine KL, et al. Statins in Kidney Transplant Recipients: Usage, All-Cause Mortality, and Interactions with Maintenance Immunosuppressive Agents. J Am Soc Nephrol JASN. 2023 Jun 1;34(6):1069–77. </w:t>
      </w:r>
    </w:p>
    <w:p w14:paraId="79806EF2" w14:textId="77777777" w:rsidR="002D20B5" w:rsidRDefault="002D20B5" w:rsidP="002D20B5">
      <w:pPr>
        <w:pStyle w:val="Bibliography"/>
      </w:pPr>
      <w:r>
        <w:t xml:space="preserve">186. </w:t>
      </w:r>
      <w:r>
        <w:tab/>
        <w:t xml:space="preserve">Wiesbauer F, Heinze G, Mitterbauer C, Harnoncourt F, Hörl WH, Oberbauer R. Statin use is associated with prolonged survival of renal transplant recipients. J Am Soc Nephrol JASN. 2008 Nov;19(11):2211–8. </w:t>
      </w:r>
    </w:p>
    <w:p w14:paraId="4F2D2E94" w14:textId="77777777" w:rsidR="002D20B5" w:rsidRDefault="002D20B5" w:rsidP="002D20B5">
      <w:pPr>
        <w:pStyle w:val="Bibliography"/>
      </w:pPr>
      <w:r>
        <w:t xml:space="preserve">187. </w:t>
      </w:r>
      <w:r>
        <w:tab/>
        <w:t xml:space="preserve">Younas N, Wu CM, Shapiro R, McCauley J, Johnston J, Tan H, et al. HMG-CoA reductase inhibitors in kidney transplant recipients receiving tacrolimus: statins not associated with improved patient or graft survival. BMC Nephrol. 2010 Apr 1;11:5. </w:t>
      </w:r>
    </w:p>
    <w:p w14:paraId="1360B690" w14:textId="77777777" w:rsidR="002D20B5" w:rsidRDefault="002D20B5" w:rsidP="002D20B5">
      <w:pPr>
        <w:pStyle w:val="Bibliography"/>
      </w:pPr>
      <w:r>
        <w:t xml:space="preserve">188. </w:t>
      </w:r>
      <w:r>
        <w:tab/>
        <w:t xml:space="preserve">Riella LV, Gabardi S, Chandraker A. Dyslipidemia and its therapeutic challenges in renal transplantation. Am J Transplant Off J Am Soc Transplant Am Soc Transpl Surg. 2012 Aug;12(8):1975–82. </w:t>
      </w:r>
    </w:p>
    <w:p w14:paraId="00488124" w14:textId="77777777" w:rsidR="002D20B5" w:rsidRDefault="002D20B5" w:rsidP="002D20B5">
      <w:pPr>
        <w:pStyle w:val="Bibliography"/>
      </w:pPr>
      <w:r>
        <w:t xml:space="preserve">189. </w:t>
      </w:r>
      <w:r>
        <w:tab/>
        <w:t xml:space="preserve">Buchanan C, Smith L, Corbett J, Nelson E, Shihab F. A retrospective analysis of ezetimibe treatment in renal transplant recipients. Am J Transplant Off J Am Soc Transplant Am Soc Transpl Surg. 2006 Apr;6(4):770–4. </w:t>
      </w:r>
    </w:p>
    <w:p w14:paraId="788EF8D9" w14:textId="77777777" w:rsidR="002D20B5" w:rsidRDefault="002D20B5" w:rsidP="002D20B5">
      <w:pPr>
        <w:pStyle w:val="Bibliography"/>
      </w:pPr>
      <w:r>
        <w:t xml:space="preserve">190. </w:t>
      </w:r>
      <w:r>
        <w:tab/>
        <w:t xml:space="preserve">Türk TR, Voropaeva E, Kohnle M, Nürnberger J, Philipp T, Kribben A, et al. Ezetimibe treatment in hypercholesterolemic kidney transplant patients is safe and effective and reduces the decline of renal allograft function: a pilot study. Nephrol Dial Transplant Off Publ Eur Dial Transpl Assoc - Eur Ren Assoc. 2008 Jan;23(1):369–73. </w:t>
      </w:r>
    </w:p>
    <w:p w14:paraId="1FED9492" w14:textId="77777777" w:rsidR="002D20B5" w:rsidRDefault="002D20B5" w:rsidP="002D20B5">
      <w:pPr>
        <w:pStyle w:val="Bibliography"/>
      </w:pPr>
      <w:r>
        <w:t xml:space="preserve">191. </w:t>
      </w:r>
      <w:r>
        <w:tab/>
        <w:t xml:space="preserve">Amaro JM, Villanego F, Orellana CD, Vigara LA, Alonso M, García T, et al. Management of Dyslipidemia With Evolocumab in Kidney Transplant Recipients. Transplantation. 2024 May 1;108(5):e74–6. </w:t>
      </w:r>
    </w:p>
    <w:p w14:paraId="786970F0" w14:textId="77777777" w:rsidR="002D20B5" w:rsidRDefault="002D20B5" w:rsidP="002D20B5">
      <w:pPr>
        <w:pStyle w:val="Bibliography"/>
      </w:pPr>
      <w:r>
        <w:t xml:space="preserve">192. </w:t>
      </w:r>
      <w:r>
        <w:tab/>
        <w:t xml:space="preserve">Cortinovis M, Gotti E, Remuzzi G, Perico N, Cattaneo D, Baldelli S. Omega-3 polyunsaturated fatty acids affect sirolimus exposure in kidney transplant recipients on calcineurin inhibitor-free regimen. Transplantation. 2010 Jan 15;89(1):126–7. </w:t>
      </w:r>
    </w:p>
    <w:p w14:paraId="001EA778" w14:textId="77777777" w:rsidR="002D20B5" w:rsidRDefault="002D20B5" w:rsidP="002D20B5">
      <w:pPr>
        <w:pStyle w:val="Bibliography"/>
      </w:pPr>
      <w:r>
        <w:t xml:space="preserve">193. </w:t>
      </w:r>
      <w:r>
        <w:tab/>
        <w:t xml:space="preserve">Lim WH, Wong G, Pilmore HL, McDonald SP, Chadban SJ. Long-term outcomes of kidney transplantation in people with type 2 diabetes: a population cohort study. Lancet Diabetes Endocrinol. 2017 Jan;5(1):26–33. </w:t>
      </w:r>
    </w:p>
    <w:p w14:paraId="330B58DF" w14:textId="77777777" w:rsidR="002D20B5" w:rsidRDefault="002D20B5" w:rsidP="002D20B5">
      <w:pPr>
        <w:pStyle w:val="Bibliography"/>
      </w:pPr>
      <w:r>
        <w:lastRenderedPageBreak/>
        <w:t xml:space="preserve">194. </w:t>
      </w:r>
      <w:r>
        <w:tab/>
        <w:t xml:space="preserve">Davidson J, Wilkinson A, Dantal J, Dotta F, Haller H, Hernández D, et al. New-onset diabetes after transplantation: 2003 International consensus guidelines. Proceedings of an international expert panel meeting. Barcelona, Spain, 19 February 2003. Transplantation. 2003 May 27;75(10 Suppl):SS3-24. </w:t>
      </w:r>
    </w:p>
    <w:p w14:paraId="555D3848" w14:textId="77777777" w:rsidR="002D20B5" w:rsidRDefault="002D20B5" w:rsidP="002D20B5">
      <w:pPr>
        <w:pStyle w:val="Bibliography"/>
      </w:pPr>
      <w:r>
        <w:t xml:space="preserve">195. </w:t>
      </w:r>
      <w:r>
        <w:tab/>
        <w:t xml:space="preserve">Chowdhury TA, Wahba M, Mallik R, Peracha J, Patel D, De P, et al. Association of British Clinical Diabetologists and Renal Association guidelines on the detection and management of diabetes post solid organ transplantation. Diabet Med J Br Diabet Assoc. 2021 Jun;38(6):e14523. </w:t>
      </w:r>
    </w:p>
    <w:p w14:paraId="7444FF24" w14:textId="77777777" w:rsidR="002D20B5" w:rsidRDefault="002D20B5" w:rsidP="002D20B5">
      <w:pPr>
        <w:pStyle w:val="Bibliography"/>
      </w:pPr>
      <w:r>
        <w:t xml:space="preserve">196. </w:t>
      </w:r>
      <w:r>
        <w:tab/>
        <w:t xml:space="preserve">Gomes V, Ferreira F, Guerra J, Bugalho MJ. New-onset diabetes after kidney transplantation: Incidence and associated factors. World J Diabetes. 2018 Jul 15;9(7):132–7. </w:t>
      </w:r>
    </w:p>
    <w:p w14:paraId="15FCF1E1" w14:textId="77777777" w:rsidR="002D20B5" w:rsidRDefault="002D20B5" w:rsidP="002D20B5">
      <w:pPr>
        <w:pStyle w:val="Bibliography"/>
      </w:pPr>
      <w:r>
        <w:t xml:space="preserve">197. </w:t>
      </w:r>
      <w:r>
        <w:tab/>
        <w:t xml:space="preserve">Rossi MR, Mazzali M, de Sousa MV. Post-transplant diabetes mellitus: risk factors and outcomes in a 5-year follow-up. Front Clin Diabetes Healthc. 2024;5:1336896. </w:t>
      </w:r>
    </w:p>
    <w:p w14:paraId="23D80A80" w14:textId="77777777" w:rsidR="002D20B5" w:rsidRDefault="002D20B5" w:rsidP="002D20B5">
      <w:pPr>
        <w:pStyle w:val="Bibliography"/>
      </w:pPr>
      <w:r>
        <w:t xml:space="preserve">198. </w:t>
      </w:r>
      <w:r>
        <w:tab/>
        <w:t xml:space="preserve">Sharif A, Chakkera H, de Vries APJ, Eller K, Guthoff M, Haller MC, et al. International consensus on post-transplantation diabetes mellitus. Nephrol Dial Transplant Off Publ Eur Dial Transpl Assoc - Eur Ren Assoc. 2024 Feb 28;39(3):531–49. </w:t>
      </w:r>
    </w:p>
    <w:p w14:paraId="32178819" w14:textId="77777777" w:rsidR="002D20B5" w:rsidRDefault="002D20B5" w:rsidP="002D20B5">
      <w:pPr>
        <w:pStyle w:val="Bibliography"/>
      </w:pPr>
      <w:r>
        <w:t xml:space="preserve">199. </w:t>
      </w:r>
      <w:r>
        <w:tab/>
        <w:t xml:space="preserve">Abdullah  null, Momin I, Kaul A, Bhadauria D, Prasad N, Behera M, et al. Micro-vascular complications of post-transplant diabetes mellitus in renal transplant recipients- an observational study. Transpl Immunol. 2024 Apr;83:102012. </w:t>
      </w:r>
    </w:p>
    <w:p w14:paraId="4BCCF861" w14:textId="77777777" w:rsidR="002D20B5" w:rsidRDefault="002D20B5" w:rsidP="002D20B5">
      <w:pPr>
        <w:pStyle w:val="Bibliography"/>
      </w:pPr>
      <w:r>
        <w:t xml:space="preserve">200. </w:t>
      </w:r>
      <w:r>
        <w:tab/>
        <w:t xml:space="preserve">Londero TM, Giaretta LS, Farenzena LP, Manfro RC, Canani LH, Lavinsky D, et al. Microvascular Complications of Posttransplant Diabetes Mellitus in Kidney Transplant Recipients: A Longitudinal Study. J Clin Endocrinol Metab. 2019 Feb 1;104(2):557–67. </w:t>
      </w:r>
    </w:p>
    <w:p w14:paraId="11617E27" w14:textId="77777777" w:rsidR="002D20B5" w:rsidRDefault="002D20B5" w:rsidP="002D20B5">
      <w:pPr>
        <w:pStyle w:val="Bibliography"/>
      </w:pPr>
      <w:r>
        <w:t xml:space="preserve">201. </w:t>
      </w:r>
      <w:r>
        <w:tab/>
        <w:t xml:space="preserve">Çelik Kavaklılar B, Aybı Özdemir Ö, Yıldırım T, Dikmetaş Ö, Toprak H, Hekimsoy V, et al. Evaluation of Microvascular Complications in Kidney Recipients With Posttransplant Diabetes Mellitus. J Clin Endocrinol Metab. 2024 Jul 12;109(8):e1623–33. </w:t>
      </w:r>
    </w:p>
    <w:p w14:paraId="64315AA2" w14:textId="77777777" w:rsidR="002D20B5" w:rsidRDefault="002D20B5" w:rsidP="002D20B5">
      <w:pPr>
        <w:pStyle w:val="Bibliography"/>
      </w:pPr>
      <w:r>
        <w:t xml:space="preserve">202. </w:t>
      </w:r>
      <w:r>
        <w:tab/>
        <w:t xml:space="preserve">Karalliedde J, Winocour P, Chowdhury TA, De P, Frankel AH, Montero RM, et al. Clinical practice guidelines for management of hyperglycaemia in adults with diabetic kidney disease. Diabet Med J Br Diabet Assoc. 2022 Apr;39(4):e14769. </w:t>
      </w:r>
    </w:p>
    <w:p w14:paraId="546EE918" w14:textId="77777777" w:rsidR="002D20B5" w:rsidRDefault="002D20B5" w:rsidP="002D20B5">
      <w:pPr>
        <w:pStyle w:val="Bibliography"/>
      </w:pPr>
      <w:r>
        <w:t xml:space="preserve">203. </w:t>
      </w:r>
      <w:r>
        <w:tab/>
        <w:t xml:space="preserve">Duijnhoven EMV, Boots JMM, Christiaans MHL, Wolffenbuttel BHR, Hooff JPV. Influence of tacrolimus on glucose metabolism before and after renal transplantation: a prospective study. J Am Soc Nephrol JASN. 2001 Mar;12(3):583–8. </w:t>
      </w:r>
    </w:p>
    <w:p w14:paraId="3DF11B4E" w14:textId="77777777" w:rsidR="002D20B5" w:rsidRDefault="002D20B5" w:rsidP="002D20B5">
      <w:pPr>
        <w:pStyle w:val="Bibliography"/>
      </w:pPr>
      <w:r>
        <w:t xml:space="preserve">204. </w:t>
      </w:r>
      <w:r>
        <w:tab/>
        <w:t xml:space="preserve">Hirano Y, Fujihira S, Ohara K, Katsuki S, Noguchi H. Morphological and functional changes of islets of Langerhans in FK506-treated rats. Transplantation. 1992 Apr;53(4):889–94. </w:t>
      </w:r>
    </w:p>
    <w:p w14:paraId="65B15427" w14:textId="77777777" w:rsidR="002D20B5" w:rsidRDefault="002D20B5" w:rsidP="002D20B5">
      <w:pPr>
        <w:pStyle w:val="Bibliography"/>
      </w:pPr>
      <w:r>
        <w:t xml:space="preserve">205. </w:t>
      </w:r>
      <w:r>
        <w:tab/>
        <w:t xml:space="preserve">Tamura K, Fujimura T, Tsutsumi T, Nakamura K, Ogawa T, Atumaru C, et al. Transcriptional inhibition of insulin by FK506 and possible involvement of FK506 binding protein-12 in pancreatic beta-cell. Transplantation. 1995 Jun 15;59(11):1606–13. </w:t>
      </w:r>
    </w:p>
    <w:p w14:paraId="5EF64DAF" w14:textId="77777777" w:rsidR="002D20B5" w:rsidRDefault="002D20B5" w:rsidP="002D20B5">
      <w:pPr>
        <w:pStyle w:val="Bibliography"/>
      </w:pPr>
      <w:r>
        <w:lastRenderedPageBreak/>
        <w:t xml:space="preserve">206. </w:t>
      </w:r>
      <w:r>
        <w:tab/>
        <w:t xml:space="preserve">Porrini EL, Díaz JM, Moreso F, Delgado Mallén PI, Silva Torres I, Ibernon M, et al. Clinical evolution of post-transplant diabetes mellitus. Nephrol Dial Transplant Off Publ Eur Dial Transpl Assoc - Eur Ren Assoc. 2016 Mar;31(3):495–505. </w:t>
      </w:r>
    </w:p>
    <w:p w14:paraId="2A0F1388" w14:textId="77777777" w:rsidR="002D20B5" w:rsidRDefault="002D20B5" w:rsidP="002D20B5">
      <w:pPr>
        <w:pStyle w:val="Bibliography"/>
      </w:pPr>
      <w:r>
        <w:t xml:space="preserve">207. </w:t>
      </w:r>
      <w:r>
        <w:tab/>
        <w:t xml:space="preserve">American Diabetes Association Professional Practice Committee. 2. Diagnosis and Classification of Diabetes: Standards of Care in Diabetes-2024. Diabetes Care. 2024 Jan 1;47(Suppl 1):S20–42. </w:t>
      </w:r>
    </w:p>
    <w:p w14:paraId="1F6D23E5" w14:textId="77777777" w:rsidR="002D20B5" w:rsidRDefault="002D20B5" w:rsidP="002D20B5">
      <w:pPr>
        <w:pStyle w:val="Bibliography"/>
      </w:pPr>
      <w:r>
        <w:t xml:space="preserve">208. </w:t>
      </w:r>
      <w:r>
        <w:tab/>
        <w:t xml:space="preserve">de Boer IH, Khunti K, Sadusky T, Tuttle KR, Neumiller JJ, Rhee CM, et al. Diabetes management in chronic kidney disease: a consensus report by the American Diabetes Association (ADA) and Kidney Disease: Improving Global Outcomes (KDIGO). Kidney Int. 2022 Nov;102(5):974–89. </w:t>
      </w:r>
    </w:p>
    <w:p w14:paraId="3906D9B7" w14:textId="77777777" w:rsidR="002D20B5" w:rsidRDefault="002D20B5" w:rsidP="002D20B5">
      <w:pPr>
        <w:pStyle w:val="Bibliography"/>
      </w:pPr>
      <w:r>
        <w:t xml:space="preserve">209. </w:t>
      </w:r>
      <w:r>
        <w:tab/>
        <w:t xml:space="preserve">Hecking M, Haidinger M, Döller D, Werzowa J, Tura A, Zhang J, et al. Early basal insulin therapy decreases new-onset diabetes after renal transplantation. J Am Soc Nephrol JASN. 2012 Apr;23(4):739–49. </w:t>
      </w:r>
    </w:p>
    <w:p w14:paraId="56DB0CEF" w14:textId="77777777" w:rsidR="002D20B5" w:rsidRDefault="002D20B5" w:rsidP="002D20B5">
      <w:pPr>
        <w:pStyle w:val="Bibliography"/>
      </w:pPr>
      <w:r>
        <w:t xml:space="preserve">210. </w:t>
      </w:r>
      <w:r>
        <w:tab/>
        <w:t>National Institute for Health and Care Excellence. Type 2 diabetes in adults: management [Internet]. NICE; 2015 Dec [cited 2025 Oct 25]. Available from: https://www.nice.org.uk/guidance/ng28/</w:t>
      </w:r>
    </w:p>
    <w:p w14:paraId="2C8C034B" w14:textId="77777777" w:rsidR="002D20B5" w:rsidRDefault="002D20B5" w:rsidP="002D20B5">
      <w:pPr>
        <w:pStyle w:val="Bibliography"/>
      </w:pPr>
      <w:r>
        <w:t xml:space="preserve">211. </w:t>
      </w:r>
      <w:r>
        <w:tab/>
        <w:t xml:space="preserve">Alnasrallah B, Goh TL, Chan LW, Manley P, Pilmore H. Transplantation and diabetes (Transdiab): a pilot randomised controlled trial of metformin in impaired glucose tolerance after kidney transplantation. BMC Nephrol. 2019 Apr 29;20(1):147. </w:t>
      </w:r>
    </w:p>
    <w:p w14:paraId="12671F41" w14:textId="77777777" w:rsidR="002D20B5" w:rsidRDefault="002D20B5" w:rsidP="002D20B5">
      <w:pPr>
        <w:pStyle w:val="Bibliography"/>
      </w:pPr>
      <w:r>
        <w:t xml:space="preserve">212. </w:t>
      </w:r>
      <w:r>
        <w:tab/>
        <w:t xml:space="preserve">Stephen J, Anderson-Haag TL, Gustafson S, Snyder JJ, Kasiske BL, Israni AK. Metformin use in kidney transplant recipients in the United States: an observational study. Am J Nephrol. 2014;40(6):546–53. </w:t>
      </w:r>
    </w:p>
    <w:p w14:paraId="1926AD46" w14:textId="77777777" w:rsidR="002D20B5" w:rsidRDefault="002D20B5" w:rsidP="002D20B5">
      <w:pPr>
        <w:pStyle w:val="Bibliography"/>
      </w:pPr>
      <w:r>
        <w:t xml:space="preserve">213. </w:t>
      </w:r>
      <w:r>
        <w:tab/>
        <w:t xml:space="preserve">Vest LS, Koraishy FM, Zhang Z, Lam NN, Schnitzler MA, Dharnidharka VR, et al. Metformin use in the first year after kidney transplant, correlates, and associated outcomes in diabetic transplant recipients: A retrospective analysis of integrated registry and pharmacy claims data. Clin Transplant. 2018 Aug;32(8):e13302. </w:t>
      </w:r>
    </w:p>
    <w:p w14:paraId="7BD213CB" w14:textId="77777777" w:rsidR="002D20B5" w:rsidRDefault="002D20B5" w:rsidP="002D20B5">
      <w:pPr>
        <w:pStyle w:val="Bibliography"/>
      </w:pPr>
      <w:r>
        <w:t xml:space="preserve">214. </w:t>
      </w:r>
      <w:r>
        <w:tab/>
        <w:t xml:space="preserve">Halden TAS, Kvitne KE, Midtvedt K, Rajakumar L, Robertsen I, Brox J, et al. Efficacy and Safety of Empagliflozin in Renal Transplant Recipients With Posttransplant Diabetes Mellitus. Diabetes Care. 2019 Jun;42(6):1067–74. </w:t>
      </w:r>
    </w:p>
    <w:p w14:paraId="454E49E2" w14:textId="77777777" w:rsidR="002D20B5" w:rsidRDefault="002D20B5" w:rsidP="002D20B5">
      <w:pPr>
        <w:pStyle w:val="Bibliography"/>
      </w:pPr>
      <w:r>
        <w:t xml:space="preserve">215. </w:t>
      </w:r>
      <w:r>
        <w:tab/>
        <w:t xml:space="preserve">Lim JH, Kwon S, Jeon Y, Kim YH, Kwon H, Kim YS, et al. The Efficacy and Safety of SGLT2 Inhibitor in Diabetic Kidney Transplant Recipients. Transplantation. 2022 Sep 1;106(9):e404–12. </w:t>
      </w:r>
    </w:p>
    <w:p w14:paraId="677535BF" w14:textId="77777777" w:rsidR="002D20B5" w:rsidRDefault="002D20B5" w:rsidP="002D20B5">
      <w:pPr>
        <w:pStyle w:val="Bibliography"/>
      </w:pPr>
      <w:r>
        <w:t xml:space="preserve">216. </w:t>
      </w:r>
      <w:r>
        <w:tab/>
        <w:t xml:space="preserve">Krisanapan P, Suppadungsuk S, Sanpawithayakul K, Thongprayoon C, Pattharanitima P, Tangpanithandee S, et al. Safety and efficacy of glucagon-like peptide-1 receptor agonists among kidney transplant recipients: a systematic review and meta-analysis. Clin Kidney J. 2024 Feb;17(2):sfae018. </w:t>
      </w:r>
    </w:p>
    <w:p w14:paraId="169BC7A4" w14:textId="77777777" w:rsidR="002D20B5" w:rsidRDefault="002D20B5" w:rsidP="002D20B5">
      <w:pPr>
        <w:pStyle w:val="Bibliography"/>
      </w:pPr>
      <w:r>
        <w:lastRenderedPageBreak/>
        <w:t xml:space="preserve">217. </w:t>
      </w:r>
      <w:r>
        <w:tab/>
        <w:t xml:space="preserve">Lawrence SE, Chandran MM, Park JM, Sweiss H, Jensen T, Choksi P, et al. Sweet and simple as syrup: A review and guidance for use of novel antihyperglycemic agents for post-transplant diabetes mellitus and type 2 diabetes mellitus after kidney transplantation. Clin Transplant. 2023 Mar;37(3):e14922. </w:t>
      </w:r>
    </w:p>
    <w:p w14:paraId="71469D97" w14:textId="77777777" w:rsidR="002D20B5" w:rsidRDefault="002D20B5" w:rsidP="002D20B5">
      <w:pPr>
        <w:pStyle w:val="Bibliography"/>
      </w:pPr>
      <w:r>
        <w:t xml:space="preserve">218. </w:t>
      </w:r>
      <w:r>
        <w:tab/>
        <w:t xml:space="preserve">Kim JE, Park J, Park S, Yu MY, Baek SH, Park SH, et al. De novo major cardiovascular events in kidney transplant recipients: a comparative matched cohort study. Nephrol Dial Transplant Off Publ Eur Dial Transpl Assoc - Eur Ren Assoc. 2023 Feb 13;38(2):499–506. </w:t>
      </w:r>
    </w:p>
    <w:p w14:paraId="3D18A0D8" w14:textId="77777777" w:rsidR="002D20B5" w:rsidRDefault="002D20B5" w:rsidP="002D20B5">
      <w:pPr>
        <w:pStyle w:val="Bibliography"/>
      </w:pPr>
      <w:r>
        <w:t xml:space="preserve">219. </w:t>
      </w:r>
      <w:r>
        <w:tab/>
        <w:t xml:space="preserve">Andersson C, Hansen D, Sørensen SS, McGrath M, McCausland FR, Torp-Pedersen C, et al. Long-term cardiovascular events, graft failure, and mortality in kidney transplant recipients. Eur J Intern Med. 2024 Mar;121:109–13. </w:t>
      </w:r>
    </w:p>
    <w:p w14:paraId="74DF4306" w14:textId="77777777" w:rsidR="002D20B5" w:rsidRDefault="002D20B5" w:rsidP="002D20B5">
      <w:pPr>
        <w:pStyle w:val="Bibliography"/>
      </w:pPr>
      <w:r>
        <w:t xml:space="preserve">220. </w:t>
      </w:r>
      <w:r>
        <w:tab/>
        <w:t xml:space="preserve">Birdwell KA, Park M. Post-Transplant Cardiovascular Disease. Clin J Am Soc Nephrol CJASN. 2021 Dec;16(12):1878–89. </w:t>
      </w:r>
    </w:p>
    <w:p w14:paraId="341B451A" w14:textId="77777777" w:rsidR="002D20B5" w:rsidRDefault="002D20B5" w:rsidP="002D20B5">
      <w:pPr>
        <w:pStyle w:val="Bibliography"/>
      </w:pPr>
      <w:r>
        <w:t xml:space="preserve">221. </w:t>
      </w:r>
      <w:r>
        <w:tab/>
        <w:t xml:space="preserve">Carpenter MA, Weir MR, Adey DB, House AA, Bostom AG, Kusek JW. Inadequacy of cardiovascular risk factor management in chronic kidney transplantation - evidence from the FAVORIT study. Clin Transplant. 2012;26(4):E438-446. </w:t>
      </w:r>
    </w:p>
    <w:p w14:paraId="1536BD1B" w14:textId="77777777" w:rsidR="002D20B5" w:rsidRDefault="002D20B5" w:rsidP="002D20B5">
      <w:pPr>
        <w:pStyle w:val="Bibliography"/>
      </w:pPr>
      <w:r>
        <w:t xml:space="preserve">222. </w:t>
      </w:r>
      <w:r>
        <w:tab/>
        <w:t xml:space="preserve">Collins AJ, Foley RN, Chavers B, Gilbertson D, Herzog C, Ishani A, et al. US Renal Data System 2013 Annual Data Report. Am J Kidney Dis Off J Natl Kidney Found. 2014 Jan;63(1 Suppl):A7. </w:t>
      </w:r>
    </w:p>
    <w:p w14:paraId="7001734C" w14:textId="77777777" w:rsidR="002D20B5" w:rsidRDefault="002D20B5" w:rsidP="002D20B5">
      <w:pPr>
        <w:pStyle w:val="Bibliography"/>
      </w:pPr>
      <w:r>
        <w:t xml:space="preserve">223. </w:t>
      </w:r>
      <w:r>
        <w:tab/>
        <w:t xml:space="preserve">Pilmore HL, Skeans MA, Snyder JJ, Israni AK, Kasiske BL. Cardiovascular disease medications after renal transplantation: results from the Patient Outcomes in Renal Transplantation study. Transplantation. 2011 Mar 15;91(5):542–51. </w:t>
      </w:r>
    </w:p>
    <w:p w14:paraId="02B1172F" w14:textId="77777777" w:rsidR="002D20B5" w:rsidRDefault="002D20B5" w:rsidP="002D20B5">
      <w:pPr>
        <w:pStyle w:val="Bibliography"/>
      </w:pPr>
      <w:r>
        <w:t xml:space="preserve">224. </w:t>
      </w:r>
      <w:r>
        <w:tab/>
        <w:t xml:space="preserve">Lentine KL, Brennan DC, Schnitzler MA. Incidence and predictors of myocardial infarction after kidney transplantation. J Am Soc Nephrol JASN. 2005 Feb;16(2):496–506. </w:t>
      </w:r>
    </w:p>
    <w:p w14:paraId="5ED32131" w14:textId="77777777" w:rsidR="002D20B5" w:rsidRDefault="002D20B5" w:rsidP="002D20B5">
      <w:pPr>
        <w:pStyle w:val="Bibliography"/>
      </w:pPr>
      <w:r>
        <w:t xml:space="preserve">225. </w:t>
      </w:r>
      <w:r>
        <w:tab/>
        <w:t xml:space="preserve">Cholesterol Treatment Trialists’ (CTT) Collaboration, Herrington W, Emberson J, Mihaylova B, Blackwell L, Reith C, et al. Impact of renal function on the effects of LDL cholesterol lowering with statin-based regimens: a meta-analysis of individual participant data from 28 randomised trials. Lancet Diabetes Endocrinol. 2016 Oct;4(10):829–39. </w:t>
      </w:r>
    </w:p>
    <w:p w14:paraId="64AD3AB4" w14:textId="77777777" w:rsidR="002D20B5" w:rsidRDefault="002D20B5" w:rsidP="002D20B5">
      <w:pPr>
        <w:pStyle w:val="Bibliography"/>
      </w:pPr>
      <w:r>
        <w:t xml:space="preserve">226. </w:t>
      </w:r>
      <w:r>
        <w:tab/>
        <w:t xml:space="preserve">Dad T, Tighiouart H, Joseph A, Bostom A, Carpenter M, Hunsicker L, et al. Aspirin Use and Incident Cardiovascular Disease, Kidney Failure, and Death in Stable Kidney Transplant Recipients: A Post Hoc Analysis of the Folic Acid for Vascular Outcome Reduction in Transplantation (FAVORIT) Trial. Am J Kidney Dis Off J Natl Kidney Found. 2016 Aug;68(2):277–86. </w:t>
      </w:r>
    </w:p>
    <w:p w14:paraId="64B1FD6E" w14:textId="77777777" w:rsidR="002D20B5" w:rsidRDefault="002D20B5" w:rsidP="002D20B5">
      <w:pPr>
        <w:pStyle w:val="Bibliography"/>
      </w:pPr>
      <w:r>
        <w:t xml:space="preserve">227. </w:t>
      </w:r>
      <w:r>
        <w:tab/>
        <w:t xml:space="preserve">Khalil MAM, Khalil MSUD, Khamis SSA, Alam S, Daiwajna RG, Rajput AS, et al. Pros and Cons of Aspirin Prophylaxis for Prevention of Cardiovascular Events in Kidney Transplantation and Review of Evidence. Adv Prev Med. 2019;2019:6139253. </w:t>
      </w:r>
    </w:p>
    <w:p w14:paraId="1B545056" w14:textId="77777777" w:rsidR="002D20B5" w:rsidRDefault="002D20B5" w:rsidP="002D20B5">
      <w:pPr>
        <w:pStyle w:val="Bibliography"/>
      </w:pPr>
      <w:r>
        <w:lastRenderedPageBreak/>
        <w:t xml:space="preserve">228. </w:t>
      </w:r>
      <w:r>
        <w:tab/>
        <w:t xml:space="preserve">Gupta T, Kolte D, Khera S, Goel K, Aronow WS, Cooper HA, et al. Management and Outcomes of ST-Segment Elevation Myocardial Infarction in US Renal Transplant Recipients. JAMA Cardiol. 2017 Mar 1;2(3):250–8. </w:t>
      </w:r>
    </w:p>
    <w:p w14:paraId="0C9AB1E3" w14:textId="77777777" w:rsidR="002D20B5" w:rsidRDefault="002D20B5" w:rsidP="002D20B5">
      <w:pPr>
        <w:pStyle w:val="Bibliography"/>
      </w:pPr>
      <w:r>
        <w:t xml:space="preserve">229. </w:t>
      </w:r>
      <w:r>
        <w:tab/>
        <w:t xml:space="preserve">Herzog CA, Ma JZ, Collins AJ. Long-term outcome of renal transplant recipients in the United States after coronary revascularization procedures. Circulation. 2004 Jun 15;109(23):2866–71. </w:t>
      </w:r>
    </w:p>
    <w:p w14:paraId="25A6FF3F" w14:textId="77777777" w:rsidR="002D20B5" w:rsidRDefault="002D20B5" w:rsidP="002D20B5">
      <w:pPr>
        <w:pStyle w:val="Bibliography"/>
      </w:pPr>
      <w:r>
        <w:t xml:space="preserve">230. </w:t>
      </w:r>
      <w:r>
        <w:tab/>
        <w:t xml:space="preserve">Lang J, Buettner S, Weiler H, Papadopoulos N, Geiger H, Hauser I, et al. Comparison of interventional and surgical myocardial revascularization in kidney transplant recipients - A single-centre retrospective analysis. Int J Cardiol Heart Vasc. 2018 Dec;21:96–102. </w:t>
      </w:r>
    </w:p>
    <w:p w14:paraId="129AED0E" w14:textId="77777777" w:rsidR="002D20B5" w:rsidRDefault="002D20B5" w:rsidP="002D20B5">
      <w:pPr>
        <w:pStyle w:val="Bibliography"/>
      </w:pPr>
      <w:r>
        <w:t xml:space="preserve">231. </w:t>
      </w:r>
      <w:r>
        <w:tab/>
        <w:t xml:space="preserve">Lentine KL, Schnitzler MA, Abbott KC, Li L, Burroughs TE, Irish W, et al. De novo congestive heart failure after kidney transplantation: a common condition with poor prognostic implications. Am J Kidney Dis Off J Natl Kidney Found. 2005 Oct;46(4):720–33. </w:t>
      </w:r>
    </w:p>
    <w:p w14:paraId="5C84EB68" w14:textId="77777777" w:rsidR="002D20B5" w:rsidRDefault="002D20B5" w:rsidP="002D20B5">
      <w:pPr>
        <w:pStyle w:val="Bibliography"/>
      </w:pPr>
      <w:r>
        <w:t xml:space="preserve">232. </w:t>
      </w:r>
      <w:r>
        <w:tab/>
        <w:t xml:space="preserve">Orth SR, Hallan SI. Smoking: a risk factor for progression of chronic kidney disease and for cardiovascular morbidity and mortality in renal patients--absence of evidence or evidence of absence? Clin J Am Soc Nephrol CJASN. 2008 Jan;3(1):226–36. </w:t>
      </w:r>
    </w:p>
    <w:p w14:paraId="7247CCE5" w14:textId="77777777" w:rsidR="002D20B5" w:rsidRDefault="002D20B5" w:rsidP="002D20B5">
      <w:pPr>
        <w:pStyle w:val="Bibliography"/>
      </w:pPr>
      <w:r>
        <w:t xml:space="preserve">233. </w:t>
      </w:r>
      <w:r>
        <w:tab/>
        <w:t xml:space="preserve">Van Laecke S, Nagler EV, Peeters P, Verbeke F, Van Biesen W. Former smoking and early and long-term graft outcome in renal transplant recipients: a retrospective cohort study. Transpl Int Off J Eur Soc Organ Transplant. 2017 Feb;30(2):187–95. </w:t>
      </w:r>
    </w:p>
    <w:p w14:paraId="478C5E68" w14:textId="77777777" w:rsidR="002D20B5" w:rsidRDefault="002D20B5" w:rsidP="002D20B5">
      <w:pPr>
        <w:pStyle w:val="Bibliography"/>
      </w:pPr>
      <w:r>
        <w:t xml:space="preserve">234. </w:t>
      </w:r>
      <w:r>
        <w:tab/>
        <w:t xml:space="preserve">Weinrauch LA, Claggett B, Liu J, Finn PV, Weir MR, Weiner DE, et al. Smoking and outcomes in kidney transplant recipients: a post hoc survival analysis of the FAVORIT trial. Int J Nephrol Renov Dis. 2018;11:155–64. </w:t>
      </w:r>
    </w:p>
    <w:p w14:paraId="6F0EA74D" w14:textId="77777777" w:rsidR="002D20B5" w:rsidRDefault="002D20B5" w:rsidP="002D20B5">
      <w:pPr>
        <w:pStyle w:val="Bibliography"/>
      </w:pPr>
      <w:r>
        <w:t xml:space="preserve">235. </w:t>
      </w:r>
      <w:r>
        <w:tab/>
        <w:t xml:space="preserve">Nguyen PTH, Galanti L, Pirson Y, Jadoul M. Identification of current smokers among renal transplant recipients. Nephrol Dial Transplant Off Publ Eur Dial Transpl Assoc - Eur Ren Assoc. 2007 Jul;22(7):1974–8. </w:t>
      </w:r>
    </w:p>
    <w:p w14:paraId="203527EA" w14:textId="77777777" w:rsidR="002D20B5" w:rsidRDefault="002D20B5" w:rsidP="002D20B5">
      <w:pPr>
        <w:pStyle w:val="Bibliography"/>
      </w:pPr>
      <w:r>
        <w:t xml:space="preserve">236. </w:t>
      </w:r>
      <w:r>
        <w:tab/>
        <w:t xml:space="preserve">Danpanich E, Kasiske BL. Risk factors for cancer in renal transplant recipients. Transplantation. 1999 Dec 27;68(12):1859–64. </w:t>
      </w:r>
    </w:p>
    <w:p w14:paraId="32490810" w14:textId="77777777" w:rsidR="002D20B5" w:rsidRDefault="002D20B5" w:rsidP="002D20B5">
      <w:pPr>
        <w:pStyle w:val="Bibliography"/>
      </w:pPr>
      <w:r>
        <w:t xml:space="preserve">237. </w:t>
      </w:r>
      <w:r>
        <w:tab/>
        <w:t xml:space="preserve">Hurst FP, Altieri M, Patel PP, Jindal TR, Guy SR, Sidawy AN, et al. Effect of smoking on kidney transplant outcomes: analysis of the United States Renal Data System. Transplantation. 2011 Nov 27;92(10):1101–7. </w:t>
      </w:r>
    </w:p>
    <w:p w14:paraId="36C70F4D" w14:textId="77777777" w:rsidR="002D20B5" w:rsidRDefault="002D20B5" w:rsidP="002D20B5">
      <w:pPr>
        <w:pStyle w:val="Bibliography"/>
      </w:pPr>
      <w:r>
        <w:t xml:space="preserve">238. </w:t>
      </w:r>
      <w:r>
        <w:tab/>
        <w:t xml:space="preserve">Jung HY, Jeon Y, Huh KH, Park JB, Jung CW, Lee S, et al. Impact of recipient and donor smoking in living-donor kidney transplantation: a prospective multicenter cohort study. Transpl Int Off J Eur Soc Organ Transplant. 2021 Dec;34(12):2794–802. </w:t>
      </w:r>
    </w:p>
    <w:p w14:paraId="0DA2CD60" w14:textId="77777777" w:rsidR="002D20B5" w:rsidRDefault="002D20B5" w:rsidP="002D20B5">
      <w:pPr>
        <w:pStyle w:val="Bibliography"/>
      </w:pPr>
      <w:r>
        <w:t xml:space="preserve">239. </w:t>
      </w:r>
      <w:r>
        <w:tab/>
        <w:t xml:space="preserve">Mekraksakit P, Boonpheng B, Leelaviwat N, Duangkham S, Deb A, Kewcharoen J, et al. Risk factors and outcomes of post-transplant erythrocytosis among adult kidney transplant recipients: a systematic review and meta-analysis. Transpl Int Off J Eur Soc Organ Transplant. 2021 Nov;34(11):2071–86. </w:t>
      </w:r>
    </w:p>
    <w:p w14:paraId="39AD8B88" w14:textId="77777777" w:rsidR="002D20B5" w:rsidRDefault="002D20B5" w:rsidP="002D20B5">
      <w:pPr>
        <w:pStyle w:val="Bibliography"/>
      </w:pPr>
      <w:r>
        <w:lastRenderedPageBreak/>
        <w:t xml:space="preserve">240. </w:t>
      </w:r>
      <w:r>
        <w:tab/>
        <w:t xml:space="preserve">Eisenberg MJ, Filion KB, Yavin D, Bélisle P, Mottillo S, Joseph L, et al. Pharmacotherapies for smoking cessation: a meta-analysis of randomized controlled trials. CMAJ Can Med Assoc J J Assoc Medicale Can. 2008 Jul 15;179(2):135–44. </w:t>
      </w:r>
    </w:p>
    <w:p w14:paraId="51CEA7F6" w14:textId="77777777" w:rsidR="002D20B5" w:rsidRDefault="002D20B5" w:rsidP="002D20B5">
      <w:pPr>
        <w:pStyle w:val="Bibliography"/>
      </w:pPr>
      <w:r>
        <w:t xml:space="preserve">241. </w:t>
      </w:r>
      <w:r>
        <w:tab/>
        <w:t xml:space="preserve">Strassmann R, Bausch B, Spaar A, Kleijnen J, Braendli O, Puhan MA. Smoking cessation interventions in COPD: a network meta-analysis of randomised trials. Eur Respir J. 2009 Sep;34(3):634–40. </w:t>
      </w:r>
    </w:p>
    <w:p w14:paraId="000E741E" w14:textId="77777777" w:rsidR="002D20B5" w:rsidRDefault="002D20B5" w:rsidP="002D20B5">
      <w:pPr>
        <w:pStyle w:val="Bibliography"/>
      </w:pPr>
      <w:r>
        <w:t xml:space="preserve">242. </w:t>
      </w:r>
      <w:r>
        <w:tab/>
        <w:t xml:space="preserve">Corbett C, Armstrong MJ, Neuberger J. Tobacco smoking and solid organ transplantation. Transplantation. 2012 Nov 27;94(10):979–87. </w:t>
      </w:r>
    </w:p>
    <w:p w14:paraId="45895E04" w14:textId="77777777" w:rsidR="002D20B5" w:rsidRDefault="002D20B5" w:rsidP="002D20B5">
      <w:pPr>
        <w:pStyle w:val="Bibliography"/>
      </w:pPr>
      <w:r>
        <w:t xml:space="preserve">243. </w:t>
      </w:r>
      <w:r>
        <w:tab/>
        <w:t xml:space="preserve">Devresse A, Gohy S, Robert A, Kanaan N. How to manage cigarette smoking in kidney transplant candidates and recipients? Clin Kidney J. 2021 Nov;14(11):2295–303. </w:t>
      </w:r>
    </w:p>
    <w:p w14:paraId="41E8A55B" w14:textId="77777777" w:rsidR="002D20B5" w:rsidRDefault="002D20B5" w:rsidP="002D20B5">
      <w:pPr>
        <w:pStyle w:val="Bibliography"/>
      </w:pPr>
      <w:r>
        <w:t xml:space="preserve">244. </w:t>
      </w:r>
      <w:r>
        <w:tab/>
        <w:t xml:space="preserve">Dasso NA. How is exercise different from physical activity? A concept analysis. Nurs Forum (Auckl). 2019 Jan;54(1):45–52. </w:t>
      </w:r>
    </w:p>
    <w:p w14:paraId="151C7CBD" w14:textId="77777777" w:rsidR="002D20B5" w:rsidRDefault="002D20B5" w:rsidP="002D20B5">
      <w:pPr>
        <w:pStyle w:val="Bibliography"/>
      </w:pPr>
      <w:r>
        <w:t xml:space="preserve">245. </w:t>
      </w:r>
      <w:r>
        <w:tab/>
        <w:t xml:space="preserve">Bellizzi V, Cupisti A, Capitanini A, Calella P, D’Alessandro C. Physical activity and renal transplantation. Kidney Blood Press Res. 2014;39(2–3):212–9. </w:t>
      </w:r>
    </w:p>
    <w:p w14:paraId="00EA08A0" w14:textId="77777777" w:rsidR="002D20B5" w:rsidRDefault="002D20B5" w:rsidP="002D20B5">
      <w:pPr>
        <w:pStyle w:val="Bibliography"/>
      </w:pPr>
      <w:r>
        <w:t xml:space="preserve">246. </w:t>
      </w:r>
      <w:r>
        <w:tab/>
        <w:t xml:space="preserve">Hreńczuk M, Wasińska E, Małkowski P. Physical Activity Levels in Transplant Recipients. Ann Transplant. 2024 Jun 11;29:e944101. </w:t>
      </w:r>
    </w:p>
    <w:p w14:paraId="2D598AD0" w14:textId="77777777" w:rsidR="002D20B5" w:rsidRDefault="002D20B5" w:rsidP="002D20B5">
      <w:pPr>
        <w:pStyle w:val="Bibliography"/>
      </w:pPr>
      <w:r>
        <w:t xml:space="preserve">247. </w:t>
      </w:r>
      <w:r>
        <w:tab/>
        <w:t xml:space="preserve">Takahashi A, Hu SL, Bostom A. Physical Activity in Kidney Transplant Recipients: A Review. Am J Kidney Dis Off J Natl Kidney Found. 2018 Sep;72(3):433–43. </w:t>
      </w:r>
    </w:p>
    <w:p w14:paraId="5F2F193D" w14:textId="77777777" w:rsidR="002D20B5" w:rsidRDefault="002D20B5" w:rsidP="002D20B5">
      <w:pPr>
        <w:pStyle w:val="Bibliography"/>
      </w:pPr>
      <w:r>
        <w:t xml:space="preserve">248. </w:t>
      </w:r>
      <w:r>
        <w:tab/>
        <w:t xml:space="preserve">Zelle DM, Klaassen G, van Adrichem E, Bakker SJL, Corpeleijn E, Navis G. Physical inactivity: a risk factor and target for intervention in renal care. Nat Rev Nephrol. 2017 Mar;13(3):152–68. </w:t>
      </w:r>
    </w:p>
    <w:p w14:paraId="2CE83009" w14:textId="77777777" w:rsidR="002D20B5" w:rsidRDefault="002D20B5" w:rsidP="002D20B5">
      <w:pPr>
        <w:pStyle w:val="Bibliography"/>
      </w:pPr>
      <w:r>
        <w:t xml:space="preserve">249. </w:t>
      </w:r>
      <w:r>
        <w:tab/>
        <w:t xml:space="preserve">Carvalho EV, Reboredo MM, Gomes EP, Teixeira DR, Roberti NC, Mendes JO, et al. Physical activity in daily life assessed by an accelerometer in kidney transplant recipients and hemodialysis patients. Transplant Proc. 2014;46(6):1713–7. </w:t>
      </w:r>
    </w:p>
    <w:p w14:paraId="62879698" w14:textId="77777777" w:rsidR="002D20B5" w:rsidRDefault="002D20B5" w:rsidP="002D20B5">
      <w:pPr>
        <w:pStyle w:val="Bibliography"/>
      </w:pPr>
      <w:r>
        <w:t xml:space="preserve">250. </w:t>
      </w:r>
      <w:r>
        <w:tab/>
        <w:t xml:space="preserve">Wilkinson TJ, Clarke AL, Nixon DGD, Hull KL, Song Y, Burton JO, et al. Prevalence and correlates of physical activity across kidney disease stages: an observational multicentre study. Nephrol Dial Transplant Off Publ Eur Dial Transpl Assoc - Eur Ren Assoc. 2021 Mar 29;36(4):641–9. </w:t>
      </w:r>
    </w:p>
    <w:p w14:paraId="06A93072" w14:textId="77777777" w:rsidR="002D20B5" w:rsidRDefault="002D20B5" w:rsidP="002D20B5">
      <w:pPr>
        <w:pStyle w:val="Bibliography"/>
      </w:pPr>
      <w:r>
        <w:t xml:space="preserve">251. </w:t>
      </w:r>
      <w:r>
        <w:tab/>
        <w:t xml:space="preserve">Zelle DM, Corpeleijn E, Stolk RP, de Greef MHG, Gans ROB, van der Heide JJH, et al. Low physical activity and risk of cardiovascular and all-cause mortality in renal transplant recipients. Clin J Am Soc Nephrol CJASN. 2011 Apr;6(4):898–905. </w:t>
      </w:r>
    </w:p>
    <w:p w14:paraId="23B4361F" w14:textId="77777777" w:rsidR="002D20B5" w:rsidRDefault="002D20B5" w:rsidP="002D20B5">
      <w:pPr>
        <w:pStyle w:val="Bibliography"/>
      </w:pPr>
      <w:r>
        <w:t xml:space="preserve">252. </w:t>
      </w:r>
      <w:r>
        <w:tab/>
        <w:t xml:space="preserve">Dontje ML, de Greef MHG, Krijnen WP, Corpeleijn E, Kok T, Bakker SJL, et al. Longitudinal measurement of physical activity following kidney transplantation. Clin Transplant. 2014 Apr;28(4):394–402. </w:t>
      </w:r>
    </w:p>
    <w:p w14:paraId="538CF949" w14:textId="77777777" w:rsidR="002D20B5" w:rsidRDefault="002D20B5" w:rsidP="002D20B5">
      <w:pPr>
        <w:pStyle w:val="Bibliography"/>
      </w:pPr>
      <w:r>
        <w:lastRenderedPageBreak/>
        <w:t xml:space="preserve">253. </w:t>
      </w:r>
      <w:r>
        <w:tab/>
        <w:t xml:space="preserve">Gordon EJ, Prohaska TR, Gallant MP, Sehgal AR, Strogatz D, Yucel R, et al. Longitudinal analysis of physical activity, fluid intake, and graft function among kidney transplant recipients. Transpl Int Off J Eur Soc Organ Transplant. 2009 Oct;22(10):990–8. </w:t>
      </w:r>
    </w:p>
    <w:p w14:paraId="62443DEF" w14:textId="77777777" w:rsidR="002D20B5" w:rsidRDefault="002D20B5" w:rsidP="002D20B5">
      <w:pPr>
        <w:pStyle w:val="Bibliography"/>
      </w:pPr>
      <w:r>
        <w:t xml:space="preserve">254. </w:t>
      </w:r>
      <w:r>
        <w:tab/>
        <w:t xml:space="preserve">Vallance JK, Johnson ST, Thompson S, Wen K, Lam NN, Boyle T, et al. Prevalence and Correlates of Accelerometer-Based Physical Activity and Sedentary Time Among Kidney Transplant Recipients. Can J Kidney Health Dis. 2019;6:2054358119882658. </w:t>
      </w:r>
    </w:p>
    <w:p w14:paraId="6F08E08C" w14:textId="77777777" w:rsidR="002D20B5" w:rsidRDefault="002D20B5" w:rsidP="002D20B5">
      <w:pPr>
        <w:pStyle w:val="Bibliography"/>
      </w:pPr>
      <w:r>
        <w:t xml:space="preserve">255. </w:t>
      </w:r>
      <w:r>
        <w:tab/>
        <w:t xml:space="preserve">Zelle DM, Kok T, Dontje ML, Danchell EI, Navis G, van Son WJ, et al. The role of diet and physical activity in post-transplant weight gain after renal transplantation. Clin Transplant. 2013;27(4):E484-490. </w:t>
      </w:r>
    </w:p>
    <w:p w14:paraId="429B5C30" w14:textId="77777777" w:rsidR="002D20B5" w:rsidRDefault="002D20B5" w:rsidP="002D20B5">
      <w:pPr>
        <w:pStyle w:val="Bibliography"/>
      </w:pPr>
      <w:r>
        <w:t xml:space="preserve">256. </w:t>
      </w:r>
      <w:r>
        <w:tab/>
        <w:t xml:space="preserve">Kang AW, Bostom AG, Kim H, Eaton CB, Gohh R, Kusek JW, et al. Physical activity and risk of cardiovascular events and all-cause mortality among kidney transplant recipients. Nephrol Dial Transplant Off Publ Eur Dial Transpl Assoc - Eur Ren Assoc. 2020 Aug 1;35(8):1436–43. </w:t>
      </w:r>
    </w:p>
    <w:p w14:paraId="5D2C64B1" w14:textId="77777777" w:rsidR="002D20B5" w:rsidRDefault="002D20B5" w:rsidP="002D20B5">
      <w:pPr>
        <w:pStyle w:val="Bibliography"/>
      </w:pPr>
      <w:r>
        <w:t xml:space="preserve">257. </w:t>
      </w:r>
      <w:r>
        <w:tab/>
        <w:t xml:space="preserve">Rosas SE, Reese PP, Huan Y, Doria C, Cochetti PT, Doyle A. Pretransplant physical activity predicts all-cause mortality in kidney transplant recipients. Am J Nephrol. 2012;35(1):17–23. </w:t>
      </w:r>
    </w:p>
    <w:p w14:paraId="0B1FD08B" w14:textId="77777777" w:rsidR="002D20B5" w:rsidRDefault="002D20B5" w:rsidP="002D20B5">
      <w:pPr>
        <w:pStyle w:val="Bibliography"/>
      </w:pPr>
      <w:r>
        <w:t xml:space="preserve">258. </w:t>
      </w:r>
      <w:r>
        <w:tab/>
        <w:t xml:space="preserve">Baker RJ, Mark PB, Patel RK, Stevens KK, Palmer N. Renal association clinical practice guideline in post-operative care in the kidney transplant recipient. BMC Nephrol. 2017 Dec;18(1):1–41. </w:t>
      </w:r>
    </w:p>
    <w:p w14:paraId="5E9009BC" w14:textId="77777777" w:rsidR="002D20B5" w:rsidRDefault="002D20B5" w:rsidP="002D20B5">
      <w:pPr>
        <w:pStyle w:val="Bibliography"/>
      </w:pPr>
      <w:r>
        <w:t xml:space="preserve">259. </w:t>
      </w:r>
      <w:r>
        <w:tab/>
        <w:t xml:space="preserve">Koufaki P, Greenwood S, Painter P, Mercer T. The BASES expert statement on exercise therapy for people with chronic kidney disease. J Sports Sci. 2015;33(18):1902–7. </w:t>
      </w:r>
    </w:p>
    <w:p w14:paraId="56D255B3" w14:textId="77777777" w:rsidR="002D20B5" w:rsidRDefault="002D20B5" w:rsidP="002D20B5">
      <w:pPr>
        <w:pStyle w:val="Bibliography"/>
      </w:pPr>
      <w:r>
        <w:t xml:space="preserve">260. </w:t>
      </w:r>
      <w:r>
        <w:tab/>
        <w:t xml:space="preserve">Smart NA, Williams AD, Levinger I, Selig S, Howden E, Coombes JS, et al. Exercise &amp; Sports Science Australia (ESSA) position statement on exercise and chronic kidney disease. J Sci Med Sport. 2013 Sep;16(5):406–11. </w:t>
      </w:r>
    </w:p>
    <w:p w14:paraId="5E2E9D26" w14:textId="77777777" w:rsidR="002D20B5" w:rsidRDefault="002D20B5" w:rsidP="002D20B5">
      <w:pPr>
        <w:pStyle w:val="Bibliography"/>
      </w:pPr>
      <w:r>
        <w:t xml:space="preserve">261. </w:t>
      </w:r>
      <w:r>
        <w:tab/>
        <w:t xml:space="preserve">Yamagata K, Hoshino J, Sugiyama H, Hanafusa N, Shibagaki Y, Komatsu Y, et al. Clinical practice guideline for renal rehabilitation: systematic reviews and recommendations of exercise therapies in patients with kidney diseases. Ren Replace Ther. 2019 Dec;5(1):28. </w:t>
      </w:r>
    </w:p>
    <w:p w14:paraId="3D4FB4F0" w14:textId="77777777" w:rsidR="002D20B5" w:rsidRDefault="002D20B5" w:rsidP="002D20B5">
      <w:pPr>
        <w:pStyle w:val="Bibliography"/>
      </w:pPr>
      <w:r>
        <w:t xml:space="preserve">262. </w:t>
      </w:r>
      <w:r>
        <w:tab/>
        <w:t xml:space="preserve">Baker LA, March DS, Wilkinson TJ, Billany RE, Bishop NC, Castle EM, et al. Clinical practice guideline exercise and lifestyle in chronic kidney disease. BMC Nephrol. 2022 Feb 22;23(1):75. </w:t>
      </w:r>
    </w:p>
    <w:p w14:paraId="35DD37E0" w14:textId="77777777" w:rsidR="002D20B5" w:rsidRDefault="002D20B5" w:rsidP="002D20B5">
      <w:pPr>
        <w:pStyle w:val="Bibliography"/>
      </w:pPr>
      <w:r>
        <w:t xml:space="preserve">263. </w:t>
      </w:r>
      <w:r>
        <w:tab/>
        <w:t xml:space="preserve">Juskowa J, Lewandowska M, Bartłomiejczyk I, Foroncewicz B, Korabiewska I, Niewczas M, et al. Physical rehabilitation and risk of atherosclerosis after successful kidney transplantation. Transplant Proc. 2006;38(1):157–60. </w:t>
      </w:r>
    </w:p>
    <w:p w14:paraId="02B55A4E" w14:textId="77777777" w:rsidR="002D20B5" w:rsidRDefault="002D20B5" w:rsidP="002D20B5">
      <w:pPr>
        <w:pStyle w:val="Bibliography"/>
      </w:pPr>
      <w:r>
        <w:t xml:space="preserve">264. </w:t>
      </w:r>
      <w:r>
        <w:tab/>
        <w:t xml:space="preserve">Onofre T, Fiore Junior JF, Amorim CF, Minamoto ST, Paisani D de M, Chiavegato LD. Impact of an early physiotherapy program after kidney transplant during hospital stay: a randomized controlled trial. J Bras Nefrol. 2017;39(4):424–32. </w:t>
      </w:r>
    </w:p>
    <w:p w14:paraId="02561238" w14:textId="77777777" w:rsidR="002D20B5" w:rsidRDefault="002D20B5" w:rsidP="002D20B5">
      <w:pPr>
        <w:pStyle w:val="Bibliography"/>
      </w:pPr>
      <w:r>
        <w:lastRenderedPageBreak/>
        <w:t xml:space="preserve">265. </w:t>
      </w:r>
      <w:r>
        <w:tab/>
        <w:t xml:space="preserve">Zhang P, Liu S, Zhu X, Liu H, Zeng L, Yan J, et al. The effects of a physical exercise program in Chinese kidney transplant recipients: a prospective randomised controlled trial. Clin Kidney J. 2023 Aug;16(8):1316–29. </w:t>
      </w:r>
    </w:p>
    <w:p w14:paraId="3B05A472" w14:textId="77777777" w:rsidR="002D20B5" w:rsidRDefault="002D20B5" w:rsidP="002D20B5">
      <w:pPr>
        <w:pStyle w:val="Bibliography"/>
      </w:pPr>
      <w:r>
        <w:t xml:space="preserve">266. </w:t>
      </w:r>
      <w:r>
        <w:tab/>
        <w:t xml:space="preserve">Stylemans D, Vandecruys M, Leunis S, Engelborghs S, Gargioli D, Monbaliu D, et al. Physical Exercise After Solid Organ Transplantation: A Cautionary Tale. Transpl Int Off J Eur Soc Organ Transplant. 2024;37:12448. </w:t>
      </w:r>
    </w:p>
    <w:p w14:paraId="6282796E" w14:textId="77777777" w:rsidR="002D20B5" w:rsidRDefault="002D20B5" w:rsidP="002D20B5">
      <w:pPr>
        <w:pStyle w:val="Bibliography"/>
      </w:pPr>
      <w:r>
        <w:t xml:space="preserve">267. </w:t>
      </w:r>
      <w:r>
        <w:tab/>
        <w:t xml:space="preserve">Heffernan A, Gill D. Sporting activity following kidney transplantation. Pediatr Nephrol Berl Ger. 1998 Aug;12(6):447–8. </w:t>
      </w:r>
    </w:p>
    <w:p w14:paraId="42796939" w14:textId="77777777" w:rsidR="002D20B5" w:rsidRDefault="002D20B5" w:rsidP="002D20B5">
      <w:pPr>
        <w:pStyle w:val="Bibliography"/>
      </w:pPr>
      <w:r>
        <w:t xml:space="preserve">268. </w:t>
      </w:r>
      <w:r>
        <w:tab/>
        <w:t xml:space="preserve">McKenzie KJL, McKenzie DC, Yoshida EM. Solid organ transplant recipients: clinical considerations in the application of exercise. Br J Sports Med. 2015 Jan;49(2):76–8. </w:t>
      </w:r>
    </w:p>
    <w:p w14:paraId="46C677A3" w14:textId="77777777" w:rsidR="002D20B5" w:rsidRDefault="002D20B5" w:rsidP="002D20B5">
      <w:pPr>
        <w:pStyle w:val="Bibliography"/>
      </w:pPr>
      <w:r>
        <w:t xml:space="preserve">269. </w:t>
      </w:r>
      <w:r>
        <w:tab/>
        <w:t xml:space="preserve">Mosconi G, Colombo D, Graziani E, Franceschelli N, Roi GS, Totti V, et al. Physical performance in kidney transplanted patients: a study on desert trekking. J Biol Regul Homeost Agents. 2011;25(3):417–25. </w:t>
      </w:r>
    </w:p>
    <w:p w14:paraId="46E89071" w14:textId="77777777" w:rsidR="002D20B5" w:rsidRDefault="002D20B5" w:rsidP="002D20B5">
      <w:pPr>
        <w:pStyle w:val="Bibliography"/>
      </w:pPr>
      <w:r>
        <w:t xml:space="preserve">270. </w:t>
      </w:r>
      <w:r>
        <w:tab/>
        <w:t xml:space="preserve">Einollahi B, Nafar M, Taheri S, Nemati E. Renal allograft in a professional boxer. Saudi J Kidney Dis Transplant Off Publ Saudi Cent Organ Transplant Saudi Arab. 2008 Mar;19(2):241–3. </w:t>
      </w:r>
    </w:p>
    <w:p w14:paraId="62FA0BED" w14:textId="77777777" w:rsidR="002D20B5" w:rsidRDefault="002D20B5" w:rsidP="002D20B5">
      <w:pPr>
        <w:pStyle w:val="Bibliography"/>
      </w:pPr>
      <w:r>
        <w:t xml:space="preserve">271. </w:t>
      </w:r>
      <w:r>
        <w:tab/>
        <w:t xml:space="preserve">Bishop NC. Physical exercise, the immune system and infection risk: implications for prehabilitation and rehabilitation for solid organ transplantation candidates and recipients. Curr Opin Organ Transplant. 2024 Aug 1;29(4):271–6. </w:t>
      </w:r>
    </w:p>
    <w:p w14:paraId="2DA86AE0" w14:textId="77777777" w:rsidR="002D20B5" w:rsidRDefault="002D20B5" w:rsidP="002D20B5">
      <w:pPr>
        <w:pStyle w:val="Bibliography"/>
      </w:pPr>
      <w:r>
        <w:t xml:space="preserve">272. </w:t>
      </w:r>
      <w:r>
        <w:tab/>
        <w:t xml:space="preserve">Königsrainer I, Löffler M, Bühler S, Walter M, Schafbuch L, Beckert S, et al. Impact of endotoxin exposure after exhausting exercise on the immune system in solid organ transplant recipients. Exerc Immunol Rev. 2012;18:177–83. </w:t>
      </w:r>
    </w:p>
    <w:p w14:paraId="3118DCCE" w14:textId="77777777" w:rsidR="002D20B5" w:rsidRDefault="002D20B5" w:rsidP="002D20B5">
      <w:pPr>
        <w:pStyle w:val="Bibliography"/>
      </w:pPr>
      <w:r>
        <w:t xml:space="preserve">273. </w:t>
      </w:r>
      <w:r>
        <w:tab/>
        <w:t xml:space="preserve">Highton PJ, White AEM, Nixon DGD, Wilkinson TJ, Neale J, Martin N, et al. Influence of acute moderate- to high-intensity aerobic exercise on markers of immune function and microparticles in renal transplant recipients. Am J Physiol Renal Physiol. 2020 Jan 1;318(1):F76–85. </w:t>
      </w:r>
    </w:p>
    <w:p w14:paraId="21DBA4FA" w14:textId="77777777" w:rsidR="002D20B5" w:rsidRDefault="002D20B5" w:rsidP="002D20B5">
      <w:pPr>
        <w:pStyle w:val="Bibliography"/>
      </w:pPr>
      <w:r>
        <w:t xml:space="preserve">274. </w:t>
      </w:r>
      <w:r>
        <w:tab/>
        <w:t>National Institute for Health and Care Excellence. Weight management: lifestyle services for overweight or obese adults [Internet]. NICE; 2014 May [cited 2025 Oct 25]. Available from: https://www.nice.org.uk/guidance/ph53</w:t>
      </w:r>
    </w:p>
    <w:p w14:paraId="0254D202" w14:textId="77777777" w:rsidR="002D20B5" w:rsidRDefault="002D20B5" w:rsidP="002D20B5">
      <w:pPr>
        <w:pStyle w:val="Bibliography"/>
      </w:pPr>
      <w:r>
        <w:t xml:space="preserve">275. </w:t>
      </w:r>
      <w:r>
        <w:tab/>
        <w:t xml:space="preserve">Gai W, Lin L, Wang Y, Bian J, Tao Y. Relationship between dietary fiber and all-cause mortality, cardiovascular mortality, and cardiovascular disease in patients with chronic kidney disease: a systematic review and meta-analysis. J Nephrol. 2024 Jan;37(1):77–93. </w:t>
      </w:r>
    </w:p>
    <w:p w14:paraId="0B093946" w14:textId="77777777" w:rsidR="002D20B5" w:rsidRDefault="002D20B5" w:rsidP="002D20B5">
      <w:pPr>
        <w:pStyle w:val="Bibliography"/>
      </w:pPr>
      <w:r>
        <w:t xml:space="preserve">276. </w:t>
      </w:r>
      <w:r>
        <w:tab/>
        <w:t xml:space="preserve">Li J, Chong A, Carey S. Dietary interventions on the prevention and management of diabetes in post-kidney transplantation - A systematic review. Nephrol Carlton Vic. 2022 Mar;27(3):269–80. </w:t>
      </w:r>
    </w:p>
    <w:p w14:paraId="7BE6DBCA" w14:textId="77777777" w:rsidR="002D20B5" w:rsidRDefault="002D20B5" w:rsidP="002D20B5">
      <w:pPr>
        <w:pStyle w:val="Bibliography"/>
      </w:pPr>
      <w:r>
        <w:lastRenderedPageBreak/>
        <w:t xml:space="preserve">277. </w:t>
      </w:r>
      <w:r>
        <w:tab/>
        <w:t>National Institute for Health and Care Excellence. Obesity: identification, assessment and management [Internet]. NICE; 2022 [cited 2025 Oct 25]. Available from: https://www.nice.org.uk/guidance/cg189</w:t>
      </w:r>
    </w:p>
    <w:p w14:paraId="628ACF67" w14:textId="77777777" w:rsidR="002D20B5" w:rsidRDefault="002D20B5" w:rsidP="002D20B5">
      <w:pPr>
        <w:pStyle w:val="Bibliography"/>
      </w:pPr>
      <w:r>
        <w:t xml:space="preserve">278. </w:t>
      </w:r>
      <w:r>
        <w:tab/>
        <w:t>British Transplantation Society. UK GUIDELINE FOR THE MANAGEMENT OF THE PATIENT WITH A FAILING KIDNEY TRANSPLANT [Internet]. 2023 Jun [cited 2025 Oct 25]. Available from: https://bts.org.uk/uk-guideline-for-the-management-of-the-patient-with-a-failing-kidney-transplant/</w:t>
      </w:r>
    </w:p>
    <w:p w14:paraId="02439D3B" w14:textId="77777777" w:rsidR="002D20B5" w:rsidRDefault="002D20B5" w:rsidP="002D20B5">
      <w:pPr>
        <w:pStyle w:val="Bibliography"/>
      </w:pPr>
      <w:r>
        <w:t xml:space="preserve">279. </w:t>
      </w:r>
      <w:r>
        <w:tab/>
        <w:t xml:space="preserve">Nosrati-Oskouie M, Salavatizadeh M, Sabbagh MG, Aghili-Moghaddam N, Tarighat-Esfanjani A, Sahebkar A. Current Evidence on Dietary Factors and Kidney Allograft Function in Kidney Transplant Recipients: A Systematic Review. Curr Med Chem. 2024 Jan 1;31(35):5818–36. </w:t>
      </w:r>
    </w:p>
    <w:p w14:paraId="76F388BE" w14:textId="77777777" w:rsidR="002D20B5" w:rsidRDefault="002D20B5" w:rsidP="002D20B5">
      <w:pPr>
        <w:pStyle w:val="Bibliography"/>
      </w:pPr>
      <w:r>
        <w:t xml:space="preserve">280. </w:t>
      </w:r>
      <w:r>
        <w:tab/>
        <w:t xml:space="preserve">Delgado-Lista J, Alcala-Diaz JF, Torres-Peña JD, Quintana-Navarro GM, Fuentes F, Garcia-Rios A, et al. Long-term secondary prevention of cardiovascular disease with a Mediterranean diet and a low-fat diet (CORDIOPREV): a randomised controlled trial. The Lancet. 2022 May 14;399(10338):1876–85. </w:t>
      </w:r>
    </w:p>
    <w:p w14:paraId="77D1D696" w14:textId="77777777" w:rsidR="002D20B5" w:rsidRDefault="002D20B5" w:rsidP="002D20B5">
      <w:pPr>
        <w:pStyle w:val="Bibliography"/>
      </w:pPr>
      <w:r>
        <w:t xml:space="preserve">281. </w:t>
      </w:r>
      <w:r>
        <w:tab/>
        <w:t xml:space="preserve">McMahon EJ, Campbell KL, Bauer JD, Mudge DW, Kelly JT. Altered dietary salt intake for people with chronic kidney disease. Cochrane Database Syst Rev. 2021 Jun 24;6(6):CD010070. </w:t>
      </w:r>
    </w:p>
    <w:p w14:paraId="4822291C" w14:textId="77777777" w:rsidR="002D20B5" w:rsidRDefault="002D20B5" w:rsidP="002D20B5">
      <w:pPr>
        <w:pStyle w:val="Bibliography"/>
      </w:pPr>
      <w:r>
        <w:t xml:space="preserve">282. </w:t>
      </w:r>
      <w:r>
        <w:tab/>
        <w:t xml:space="preserve">Collett D, Mumford L, Banner NR, Neuberger J, Watson C. Comparison of the incidence of malignancy in recipients of different types of organ: a UK Registry audit. Am J Transplant Off J Am Soc Transplant Am Soc Transpl Surg. 2010 Aug;10(8):1889–96. </w:t>
      </w:r>
    </w:p>
    <w:p w14:paraId="618FF14F" w14:textId="77777777" w:rsidR="002D20B5" w:rsidRDefault="002D20B5" w:rsidP="002D20B5">
      <w:pPr>
        <w:pStyle w:val="Bibliography"/>
      </w:pPr>
      <w:r>
        <w:t xml:space="preserve">283. </w:t>
      </w:r>
      <w:r>
        <w:tab/>
        <w:t xml:space="preserve">Farrugia D, Mahboob S, Cheshire J, Begaj I, Khosla S, Ray D, et al. Malignancy-related mortality following kidney transplantation is common. Kidney Int. 2014 Jun;85(6):1395–403. </w:t>
      </w:r>
    </w:p>
    <w:p w14:paraId="6A29513E" w14:textId="77777777" w:rsidR="002D20B5" w:rsidRDefault="002D20B5" w:rsidP="002D20B5">
      <w:pPr>
        <w:pStyle w:val="Bibliography"/>
      </w:pPr>
      <w:r>
        <w:t xml:space="preserve">284. </w:t>
      </w:r>
      <w:r>
        <w:tab/>
        <w:t xml:space="preserve">Wong G, Turner RM, Chapman JR, Howell M, Lim WH, Webster AC, et al. Time on dialysis and cancer risk after kidney transplantation. Transplantation. 2013 Jan 15;95(1):114–21. </w:t>
      </w:r>
    </w:p>
    <w:p w14:paraId="4E1EA6CB" w14:textId="77777777" w:rsidR="002D20B5" w:rsidRDefault="002D20B5" w:rsidP="002D20B5">
      <w:pPr>
        <w:pStyle w:val="Bibliography"/>
      </w:pPr>
      <w:r>
        <w:t xml:space="preserve">285. </w:t>
      </w:r>
      <w:r>
        <w:tab/>
        <w:t xml:space="preserve">van Leeuwen MT, Webster AC, McCredie MRE, Stewart JH, McDonald SP, Amin J, et al. Effect of reduced immunosuppression after kidney transplant failure on risk of cancer: population based retrospective cohort study. BMJ. 2010 Feb 11;340:c570. </w:t>
      </w:r>
    </w:p>
    <w:p w14:paraId="08F18979" w14:textId="77777777" w:rsidR="002D20B5" w:rsidRDefault="002D20B5" w:rsidP="002D20B5">
      <w:pPr>
        <w:pStyle w:val="Bibliography"/>
      </w:pPr>
      <w:r>
        <w:t xml:space="preserve">286. </w:t>
      </w:r>
      <w:r>
        <w:tab/>
        <w:t xml:space="preserve">Harwood CA, Mesher D, McGregor JM, Mitchell L, Leedham-Green M, Raftery M, et al. A surveillance model for skin cancer in organ transplant recipients: a 22-year prospective study in an ethnically diverse population. Am J Transplant Off J Am Soc Transplant Am Soc Transpl Surg. 2013 Jan;13(1):119–29. </w:t>
      </w:r>
    </w:p>
    <w:p w14:paraId="3533A4A0" w14:textId="77777777" w:rsidR="002D20B5" w:rsidRDefault="002D20B5" w:rsidP="002D20B5">
      <w:pPr>
        <w:pStyle w:val="Bibliography"/>
      </w:pPr>
      <w:r>
        <w:t xml:space="preserve">287. </w:t>
      </w:r>
      <w:r>
        <w:tab/>
        <w:t xml:space="preserve">Schwarz A, Vatandaslar S, Merkel S, Haller H. Renal cell carcinoma in transplant recipients with acquired cystic kidney disease. Clin J Am Soc Nephrol CJASN. 2007 Jul;2(4):750–6. </w:t>
      </w:r>
    </w:p>
    <w:p w14:paraId="193F5469" w14:textId="77777777" w:rsidR="002D20B5" w:rsidRDefault="002D20B5" w:rsidP="002D20B5">
      <w:pPr>
        <w:pStyle w:val="Bibliography"/>
      </w:pPr>
      <w:r>
        <w:lastRenderedPageBreak/>
        <w:t xml:space="preserve">288. </w:t>
      </w:r>
      <w:r>
        <w:tab/>
        <w:t xml:space="preserve">Wong G, Howard K, Webster A, Chapman JR, Craig JC. The health and economic impact of cervical cancer screening and human papillomavirus vaccination in kidney transplant recipients. Transplantation. 2009 Apr 15;87(7):1078–91. </w:t>
      </w:r>
    </w:p>
    <w:p w14:paraId="2D960228" w14:textId="77777777" w:rsidR="002D20B5" w:rsidRDefault="002D20B5" w:rsidP="002D20B5">
      <w:pPr>
        <w:pStyle w:val="Bibliography"/>
      </w:pPr>
      <w:r>
        <w:t xml:space="preserve">289. </w:t>
      </w:r>
      <w:r>
        <w:tab/>
        <w:t xml:space="preserve">Kulbat A, Richter K, Stefura T, Kołodziej-Rzepa M, Kisielewski M, Wojewoda T, et al. Systematic Review of Calcineurin Inhibitors and Incidence of Skin Malignancies after Kidney Transplantation in Adult Patients: A Study of 309,551 Cases. Curr Oncol Tor Ont. 2023 Jun 13;30(6):5727–37. </w:t>
      </w:r>
    </w:p>
    <w:p w14:paraId="6EDD9358" w14:textId="77777777" w:rsidR="002D20B5" w:rsidRDefault="002D20B5" w:rsidP="002D20B5">
      <w:pPr>
        <w:pStyle w:val="Bibliography"/>
      </w:pPr>
      <w:r>
        <w:t xml:space="preserve">290. </w:t>
      </w:r>
      <w:r>
        <w:tab/>
        <w:t xml:space="preserve">Bavinck JN, Tieben LM, Van der Woude FJ, Tegzess AM, Hermans J, ter Schegget J, et al. Prevention of skin cancer and reduction of keratotic skin lesions during acitretin therapy in renal transplant recipients: a double-blind, placebo-controlled study. J Clin Oncol Off J Am Soc Clin Oncol. 1995 Aug;13(8):1933–8. </w:t>
      </w:r>
    </w:p>
    <w:p w14:paraId="456A7681" w14:textId="77777777" w:rsidR="002D20B5" w:rsidRDefault="002D20B5" w:rsidP="002D20B5">
      <w:pPr>
        <w:pStyle w:val="Bibliography"/>
      </w:pPr>
      <w:r>
        <w:t xml:space="preserve">291. </w:t>
      </w:r>
      <w:r>
        <w:tab/>
        <w:t xml:space="preserve">Salgo R, Gossmann J, Schöfer H, Kachel HG, Kuck J, Geiger H, et al. Switch to a sirolimus-based immunosuppression in long-term renal transplant recipients: reduced rate of (pre-)malignancies and nonmelanoma skin cancer in a prospective, randomized, assessor-blinded, controlled clinical trial. Am J Transplant Off J Am Soc Transplant Am Soc Transpl Surg. 2010 Jun;10(6):1385–93. </w:t>
      </w:r>
    </w:p>
    <w:p w14:paraId="2050FD1F" w14:textId="77777777" w:rsidR="002D20B5" w:rsidRDefault="002D20B5" w:rsidP="002D20B5">
      <w:pPr>
        <w:pStyle w:val="Bibliography"/>
      </w:pPr>
      <w:r>
        <w:t xml:space="preserve">292. </w:t>
      </w:r>
      <w:r>
        <w:tab/>
        <w:t xml:space="preserve">Lim WH, Eris J, Kanellis J, Pussell B, Wiid Z, Witcombe D, et al. A systematic review of conversion from calcineurin inhibitor to mammalian target of rapamycin inhibitors for maintenance immunosuppression in kidney transplant recipients. Am J Transplant Off J Am Soc Transplant Am Soc Transpl Surg. 2014 Sep;14(9):2106–19. </w:t>
      </w:r>
    </w:p>
    <w:p w14:paraId="5E0B41F6" w14:textId="77777777" w:rsidR="002D20B5" w:rsidRDefault="002D20B5" w:rsidP="002D20B5">
      <w:pPr>
        <w:pStyle w:val="Bibliography"/>
      </w:pPr>
      <w:r>
        <w:t xml:space="preserve">293. </w:t>
      </w:r>
      <w:r>
        <w:tab/>
        <w:t xml:space="preserve">Chin-Hong PV, Kwak EJ, AST Infectious Diseases Community of Practice. Human papillomavirus in solid organ transplantation. Am J Transplant Off J Am Soc Transplant Am Soc Transpl Surg. 2013 Mar;13 Suppl 4:189–200. </w:t>
      </w:r>
    </w:p>
    <w:p w14:paraId="70EE60F1" w14:textId="77777777" w:rsidR="002D20B5" w:rsidRDefault="002D20B5" w:rsidP="002D20B5">
      <w:pPr>
        <w:pStyle w:val="Bibliography"/>
      </w:pPr>
      <w:r>
        <w:t xml:space="preserve">294. </w:t>
      </w:r>
      <w:r>
        <w:tab/>
        <w:t xml:space="preserve">Cherikh WS, Kauffman HM, McBride MA, Maghirang J, Swinnen LJ, Hanto DW. Association of the type of induction immunosuppression with posttransplant lymphoproliferative disorder, graft survival, and patient survival after primary kidney transplantation. Transplantation. 2003 Nov 15;76(9):1289–93. </w:t>
      </w:r>
    </w:p>
    <w:p w14:paraId="0409F0F2" w14:textId="77777777" w:rsidR="002D20B5" w:rsidRDefault="002D20B5" w:rsidP="002D20B5">
      <w:pPr>
        <w:pStyle w:val="Bibliography"/>
      </w:pPr>
      <w:r>
        <w:t xml:space="preserve">295. </w:t>
      </w:r>
      <w:r>
        <w:tab/>
        <w:t xml:space="preserve">Stallone G, Schena A, Infante B, Di Paolo S, Loverre A, Maggio G, et al. Sirolimus for Kaposi’s sarcoma in renal-transplant recipients. N Engl J Med. 2005 Mar 31;352(13):1317–23. </w:t>
      </w:r>
    </w:p>
    <w:p w14:paraId="0C6D1CE7" w14:textId="77777777" w:rsidR="002D20B5" w:rsidRDefault="002D20B5" w:rsidP="002D20B5">
      <w:pPr>
        <w:pStyle w:val="Bibliography"/>
      </w:pPr>
      <w:r>
        <w:t xml:space="preserve">296. </w:t>
      </w:r>
      <w:r>
        <w:tab/>
        <w:t xml:space="preserve">Mulley WR, Dendle C, Ling JEH, Knight SR. Does vaccination in solid-organ transplant recipients result in adverse immunologic sequelae? A systematic review and meta-analysis. J Heart Lung Transplant Off Publ Int Soc Heart Transplant. 2018 Jul;37(7):844–52. </w:t>
      </w:r>
    </w:p>
    <w:p w14:paraId="50FA8B1B" w14:textId="77777777" w:rsidR="002D20B5" w:rsidRDefault="002D20B5" w:rsidP="002D20B5">
      <w:pPr>
        <w:pStyle w:val="Bibliography"/>
      </w:pPr>
      <w:r>
        <w:t xml:space="preserve">297. </w:t>
      </w:r>
      <w:r>
        <w:tab/>
        <w:t>UK Health Security Agency. Immunisation against infectious disease: Chapter 7 [Internet]. 2021. Available from: https://assets.publishing.service.gov.uk/media/5e18a52940f0b65dc1918763/Greenbook_chapter_7_Immunsing_immunosupressed.pdf</w:t>
      </w:r>
    </w:p>
    <w:p w14:paraId="36B765B3" w14:textId="77777777" w:rsidR="002D20B5" w:rsidRDefault="002D20B5" w:rsidP="002D20B5">
      <w:pPr>
        <w:pStyle w:val="Bibliography"/>
      </w:pPr>
      <w:r>
        <w:lastRenderedPageBreak/>
        <w:t xml:space="preserve">298. </w:t>
      </w:r>
      <w:r>
        <w:tab/>
        <w:t xml:space="preserve">Boey L, Curinckx A, Roelants M, Derdelinckx I, Van Wijngaerden E, De Munter P, et al. Immunogenicity and Safety of the 9-Valent Human Papillomavirus Vaccine in Solid Organ Transplant Recipients and Adults Infected With Human Immunodeficiency Virus (HIV). Clin Infect Dis Off Publ Infect Dis Soc Am. 2021 Aug 2;73(3):e661–71. </w:t>
      </w:r>
    </w:p>
    <w:p w14:paraId="34C5442B" w14:textId="77777777" w:rsidR="002D20B5" w:rsidRDefault="002D20B5" w:rsidP="002D20B5">
      <w:pPr>
        <w:pStyle w:val="Bibliography"/>
      </w:pPr>
      <w:r>
        <w:t xml:space="preserve">299. </w:t>
      </w:r>
      <w:r>
        <w:tab/>
        <w:t xml:space="preserve">Kumar D, Unger ER, Panicker G, Medvedev P, Wilson L, Humar A. Immunogenicity of quadrivalent human papillomavirus vaccine in organ transplant recipients. Am J Transplant Off J Am Soc Transplant Am Soc Transpl Surg. 2013 Sep;13(9):2411–7. </w:t>
      </w:r>
    </w:p>
    <w:p w14:paraId="0ED4EBAF" w14:textId="77777777" w:rsidR="002D20B5" w:rsidRDefault="002D20B5" w:rsidP="002D20B5">
      <w:pPr>
        <w:pStyle w:val="Bibliography"/>
      </w:pPr>
      <w:r>
        <w:t xml:space="preserve">300. </w:t>
      </w:r>
      <w:r>
        <w:tab/>
        <w:t xml:space="preserve">UK Health Security Agency. Guidelines for malaria prevention in travellers from the UK 2024. 2024. </w:t>
      </w:r>
    </w:p>
    <w:p w14:paraId="196245AF" w14:textId="77777777" w:rsidR="002D20B5" w:rsidRDefault="002D20B5" w:rsidP="002D20B5">
      <w:pPr>
        <w:pStyle w:val="Bibliography"/>
      </w:pPr>
      <w:r>
        <w:t xml:space="preserve">301. </w:t>
      </w:r>
      <w:r>
        <w:tab/>
        <w:t xml:space="preserve">Kotton CN, Kumar D, Caliendo AM, Huprikar S, Chou S, Danziger-Isakov L, et al. The Third International Consensus Guidelines on the Management of Cytomegalovirus in Solid-organ Transplantation. Transplantation. 2018 Jun;102(6):900–31. </w:t>
      </w:r>
    </w:p>
    <w:p w14:paraId="6A180B63" w14:textId="77777777" w:rsidR="002D20B5" w:rsidRDefault="002D20B5" w:rsidP="002D20B5">
      <w:pPr>
        <w:pStyle w:val="Bibliography"/>
      </w:pPr>
      <w:r>
        <w:t xml:space="preserve">302. </w:t>
      </w:r>
      <w:r>
        <w:tab/>
        <w:t xml:space="preserve">Vernooij RW, Michael M, Ladhani M, Webster AC, Strippoli GF, Craig JC, et al. Antiviral medications for preventing cytomegalovirus disease in solid organ transplant recipients. Cochrane Database Syst Rev. 2024 May 3;5(5):CD003774. </w:t>
      </w:r>
    </w:p>
    <w:p w14:paraId="3779B360" w14:textId="77777777" w:rsidR="002D20B5" w:rsidRDefault="002D20B5" w:rsidP="002D20B5">
      <w:pPr>
        <w:pStyle w:val="Bibliography"/>
      </w:pPr>
      <w:r>
        <w:t xml:space="preserve">303. </w:t>
      </w:r>
      <w:r>
        <w:tab/>
        <w:t xml:space="preserve">Humar A, Asberg A, Kumar D, Hartmann A, Moussa G, Jardine A, et al. An assessment of herpesvirus co-infections in patients with CMV disease: correlation with clinical and virologic outcomes. Am J Transplant Off J Am Soc Transplant Am Soc Transpl Surg. 2009 Feb;9(2):374–81. </w:t>
      </w:r>
    </w:p>
    <w:p w14:paraId="52E33E9E" w14:textId="77777777" w:rsidR="002D20B5" w:rsidRDefault="002D20B5" w:rsidP="002D20B5">
      <w:pPr>
        <w:pStyle w:val="Bibliography"/>
      </w:pPr>
      <w:r>
        <w:t xml:space="preserve">304. </w:t>
      </w:r>
      <w:r>
        <w:tab/>
        <w:t xml:space="preserve">Atabani SF, Smith C, Atkinson C, Aldridge RW, Rodriguez-Perálvarez M, Rolando N, et al. Cytomegalovirus replication kinetics in solid organ transplant recipients managed by preemptive therapy. Am J Transplant Off J Am Soc Transplant Am Soc Transpl Surg. 2012 Sep;12(9):2457–64. </w:t>
      </w:r>
    </w:p>
    <w:p w14:paraId="72E61DF2" w14:textId="77777777" w:rsidR="002D20B5" w:rsidRDefault="002D20B5" w:rsidP="002D20B5">
      <w:pPr>
        <w:pStyle w:val="Bibliography"/>
      </w:pPr>
      <w:r>
        <w:t xml:space="preserve">305. </w:t>
      </w:r>
      <w:r>
        <w:tab/>
        <w:t xml:space="preserve">Florescu DF, Qiu F, Schmidt CM, Kalil AC. A direct and indirect comparison meta-analysis on the efficacy of cytomegalovirus preventive strategies in solid organ transplant. Clin Infect Dis Off Publ Infect Dis Soc Am. 2014 Mar;58(6):785–803. </w:t>
      </w:r>
    </w:p>
    <w:p w14:paraId="0117B1FF" w14:textId="77777777" w:rsidR="002D20B5" w:rsidRDefault="002D20B5" w:rsidP="002D20B5">
      <w:pPr>
        <w:pStyle w:val="Bibliography"/>
      </w:pPr>
      <w:r>
        <w:t xml:space="preserve">306. </w:t>
      </w:r>
      <w:r>
        <w:tab/>
        <w:t xml:space="preserve">Limaye AP, Budde K, Humar A, Vincenti F, Kuypers DRJ, Carroll RP, et al. Letermovir vs Valganciclovir for Prophylaxis of Cytomegalovirus in High-Risk Kidney Transplant Recipients: A Randomized Clinical Trial. JAMA. 2023 Jul 3;330(1):33–42. </w:t>
      </w:r>
    </w:p>
    <w:p w14:paraId="05143877" w14:textId="77777777" w:rsidR="002D20B5" w:rsidRDefault="002D20B5" w:rsidP="002D20B5">
      <w:pPr>
        <w:pStyle w:val="Bibliography"/>
      </w:pPr>
      <w:r>
        <w:t xml:space="preserve">307. </w:t>
      </w:r>
      <w:r>
        <w:tab/>
        <w:t xml:space="preserve">van der Beek MT, Berger SP, Vossen ACTM, van der Blij-de Brouwer CS, Press RR, de Fijter JW, et al. Preemptive versus sequential prophylactic-preemptive treatment regimens for cytomegalovirus in renal transplantation: comparison of treatment failure and antiviral resistance. Transplantation. 2010 Feb 15;89(3):320–6. </w:t>
      </w:r>
    </w:p>
    <w:p w14:paraId="73C6E2E1" w14:textId="77777777" w:rsidR="002D20B5" w:rsidRDefault="002D20B5" w:rsidP="002D20B5">
      <w:pPr>
        <w:pStyle w:val="Bibliography"/>
      </w:pPr>
      <w:r>
        <w:t xml:space="preserve">308. </w:t>
      </w:r>
      <w:r>
        <w:tab/>
        <w:t xml:space="preserve">Raval AD, Kistler K, Tang Y, Murata Y, Snydman DR. Antiviral treatment approaches for cytomegalovirus prevention in kidney transplant recipients: A systematic review of randomized controlled trials. Transplant Rev Orlando Fla. 2021 Jan;35(1):100587. </w:t>
      </w:r>
    </w:p>
    <w:p w14:paraId="2FFAB92C" w14:textId="77777777" w:rsidR="002D20B5" w:rsidRDefault="002D20B5" w:rsidP="002D20B5">
      <w:pPr>
        <w:pStyle w:val="Bibliography"/>
      </w:pPr>
      <w:r>
        <w:lastRenderedPageBreak/>
        <w:t xml:space="preserve">309. </w:t>
      </w:r>
      <w:r>
        <w:tab/>
        <w:t xml:space="preserve">Humar A, Lebranchu Y, Vincenti F, Blumberg EA, Punch JD, Limaye AP, et al. The efficacy and safety of 200 days valganciclovir cytomegalovirus prophylaxis in high-risk kidney transplant recipients. Am J Transplant Off J Am Soc Transplant Am Soc Transpl Surg. 2010 May;10(5):1228–37. </w:t>
      </w:r>
    </w:p>
    <w:p w14:paraId="409EA912" w14:textId="77777777" w:rsidR="002D20B5" w:rsidRDefault="002D20B5" w:rsidP="002D20B5">
      <w:pPr>
        <w:pStyle w:val="Bibliography"/>
      </w:pPr>
      <w:r>
        <w:t xml:space="preserve">310. </w:t>
      </w:r>
      <w:r>
        <w:tab/>
        <w:t xml:space="preserve">Rennie TJW, Geddes CG, McIntyre-McClure R, Chua BHE, Metcalfe W, Johannessen I, et al. Efficacy and side effect profile of two CMV prophylaxis strategies in high and intermediate risk kidney transplant recipients - a multicentre national study. J Nephrol. 2021 Dec;34(6):2173–5. </w:t>
      </w:r>
    </w:p>
    <w:p w14:paraId="21C8FA72" w14:textId="77777777" w:rsidR="002D20B5" w:rsidRDefault="002D20B5" w:rsidP="002D20B5">
      <w:pPr>
        <w:pStyle w:val="Bibliography"/>
      </w:pPr>
      <w:r>
        <w:t xml:space="preserve">311. </w:t>
      </w:r>
      <w:r>
        <w:tab/>
        <w:t xml:space="preserve">Asberg A, Humar A, Rollag H, Jardine AG, Mouas H, Pescovitz MD, et al. Oral valganciclovir is noninferior to intravenous ganciclovir for the treatment of cytomegalovirus disease in solid organ transplant recipients. Am J Transplant Off J Am Soc Transplant Am Soc Transpl Surg. 2007 Sep;7(9):2106–13. </w:t>
      </w:r>
    </w:p>
    <w:p w14:paraId="363CB843" w14:textId="77777777" w:rsidR="002D20B5" w:rsidRDefault="002D20B5" w:rsidP="002D20B5">
      <w:pPr>
        <w:pStyle w:val="Bibliography"/>
      </w:pPr>
      <w:r>
        <w:t xml:space="preserve">312. </w:t>
      </w:r>
      <w:r>
        <w:tab/>
        <w:t xml:space="preserve">Asberg A, Humar A, Jardine AG, Rollag H, Pescovitz MD, Mouas H, et al. Long-term outcomes of CMV disease treatment with valganciclovir versus IV ganciclovir in solid organ transplant recipients. Am J Transplant Off J Am Soc Transplant Am Soc Transpl Surg. 2009 May;9(5):1205–13. </w:t>
      </w:r>
    </w:p>
    <w:p w14:paraId="5275BBCE" w14:textId="77777777" w:rsidR="002D20B5" w:rsidRDefault="002D20B5" w:rsidP="002D20B5">
      <w:pPr>
        <w:pStyle w:val="Bibliography"/>
      </w:pPr>
      <w:r>
        <w:t xml:space="preserve">313. </w:t>
      </w:r>
      <w:r>
        <w:tab/>
        <w:t xml:space="preserve">Harbison MA, De Girolami PC, Jenkins RL, Hammer SM. Ganciclovir therapy of severe cytomegalovirus infections in solid-organ transplant recipients. Transplantation. 1988 Jul;46(1):82–8. </w:t>
      </w:r>
    </w:p>
    <w:p w14:paraId="09B2A308" w14:textId="77777777" w:rsidR="002D20B5" w:rsidRDefault="002D20B5" w:rsidP="002D20B5">
      <w:pPr>
        <w:pStyle w:val="Bibliography"/>
      </w:pPr>
      <w:r>
        <w:t xml:space="preserve">314. </w:t>
      </w:r>
      <w:r>
        <w:tab/>
        <w:t xml:space="preserve">Dunn DL, Mayoral JL, Gillingham KJ, Loeffler CM, Brayman KL, Kramer MA, et al. Treatment of invasive cytomegalovirus disease in solid organ transplant patients with ganciclovir. Transplantation. 1991 Jan;51(1):98–106. </w:t>
      </w:r>
    </w:p>
    <w:p w14:paraId="2525318A" w14:textId="77777777" w:rsidR="002D20B5" w:rsidRDefault="002D20B5" w:rsidP="002D20B5">
      <w:pPr>
        <w:pStyle w:val="Bibliography"/>
      </w:pPr>
      <w:r>
        <w:t xml:space="preserve">315. </w:t>
      </w:r>
      <w:r>
        <w:tab/>
        <w:t xml:space="preserve">Chou S. Advances in the genotypic diagnosis of cytomegalovirus antiviral drug resistance. Antiviral Res. 2020 Apr;176:104711. </w:t>
      </w:r>
    </w:p>
    <w:p w14:paraId="1EEA477D" w14:textId="77777777" w:rsidR="002D20B5" w:rsidRDefault="002D20B5" w:rsidP="002D20B5">
      <w:pPr>
        <w:pStyle w:val="Bibliography"/>
      </w:pPr>
      <w:r>
        <w:t xml:space="preserve">316. </w:t>
      </w:r>
      <w:r>
        <w:tab/>
        <w:t xml:space="preserve">Gandhi RG, Kotton CN. Evaluating the Safety of Maribavir for the Treatment of Cytomegalovirus. Ther Clin Risk Manag. 2022;18:223–32. </w:t>
      </w:r>
    </w:p>
    <w:p w14:paraId="1CC53D69" w14:textId="77777777" w:rsidR="002D20B5" w:rsidRDefault="002D20B5" w:rsidP="002D20B5">
      <w:pPr>
        <w:pStyle w:val="Bibliography"/>
      </w:pPr>
      <w:r>
        <w:t xml:space="preserve">317. </w:t>
      </w:r>
      <w:r>
        <w:tab/>
        <w:t xml:space="preserve">Allen UD, Preiksaitis JK, AST Infectious Diseases Community of Practice. Epstein-Barr virus and posttransplant lymphoproliferative disorder in solid organ transplantation. Am J Transplant Off J Am Soc Transplant Am Soc Transpl Surg. 2013 Mar;13 Suppl 4:107–20. </w:t>
      </w:r>
    </w:p>
    <w:p w14:paraId="55D1A50F" w14:textId="77777777" w:rsidR="002D20B5" w:rsidRDefault="002D20B5" w:rsidP="002D20B5">
      <w:pPr>
        <w:pStyle w:val="Bibliography"/>
      </w:pPr>
      <w:r>
        <w:t xml:space="preserve">318. </w:t>
      </w:r>
      <w:r>
        <w:tab/>
        <w:t xml:space="preserve">Heininger U, Seward JF. Varicella. Lancet Lond Engl. 2006 Oct 14;368(9544):1365–76. </w:t>
      </w:r>
    </w:p>
    <w:p w14:paraId="66B607F7" w14:textId="77777777" w:rsidR="002D20B5" w:rsidRDefault="002D20B5" w:rsidP="002D20B5">
      <w:pPr>
        <w:pStyle w:val="Bibliography"/>
      </w:pPr>
      <w:r>
        <w:t xml:space="preserve">319. </w:t>
      </w:r>
      <w:r>
        <w:tab/>
        <w:t xml:space="preserve">Pergam SA, Limaye AP, AST Infectious Diseases Community of Practice. Varicella zoster virus in solid organ transplantation: Guidelines from the American Society of Transplantation Infectious Diseases Community of Practice. Clin Transplant. 2019 Sep;33(9):e13622. </w:t>
      </w:r>
    </w:p>
    <w:p w14:paraId="705C6E90" w14:textId="77777777" w:rsidR="002D20B5" w:rsidRDefault="002D20B5" w:rsidP="002D20B5">
      <w:pPr>
        <w:pStyle w:val="Bibliography"/>
      </w:pPr>
      <w:r>
        <w:t xml:space="preserve">320. </w:t>
      </w:r>
      <w:r>
        <w:tab/>
        <w:t>UK Health Security Agency. Guidelines on post-exposure prophylaxis (PEP) for varicella or shingles [Internet]. 2025 Jul [cited 2025 Oct 25]. Available from: https://www.gov.uk/government/publications/post-exposure-prophylaxis-for-</w:t>
      </w:r>
      <w:r>
        <w:lastRenderedPageBreak/>
        <w:t>chickenpox-and-shingles/guidelines-on-post-exposure-prophylaxis-pep-for-varicella-or-shingles-january-2023</w:t>
      </w:r>
    </w:p>
    <w:p w14:paraId="250A705E" w14:textId="77777777" w:rsidR="002D20B5" w:rsidRDefault="002D20B5" w:rsidP="002D20B5">
      <w:pPr>
        <w:pStyle w:val="Bibliography"/>
      </w:pPr>
      <w:r>
        <w:t xml:space="preserve">321. </w:t>
      </w:r>
      <w:r>
        <w:tab/>
        <w:t xml:space="preserve">Vink P, Ramon Torrell JM, Sanchez Fructuoso A, Kim SJ, Kim SI, Zaltzman J, et al. Immunogenicity and Safety of the Adjuvanted Recombinant Zoster Vaccine in Chronically Immunosuppressed Adults Following Renal Transplant: A Phase 3, Randomized Clinical Trial. Clin Infect Dis Off Publ Infect Dis Soc Am. 2020 Jan 2;70(2):181–90. </w:t>
      </w:r>
    </w:p>
    <w:p w14:paraId="1C8588E9" w14:textId="77777777" w:rsidR="002D20B5" w:rsidRDefault="002D20B5" w:rsidP="002D20B5">
      <w:pPr>
        <w:pStyle w:val="Bibliography"/>
      </w:pPr>
      <w:r>
        <w:t xml:space="preserve">322. </w:t>
      </w:r>
      <w:r>
        <w:tab/>
        <w:t xml:space="preserve">Lee DH, Zuckerman RA, AST Infectious Diseases Community of Practice. Herpes simplex virus infections in solid organ transplantation: Guidelines from the American Society of Transplantation Infectious Diseases Community of Practice. Clin Transplant. 2019 Sep;33(9):e13526. </w:t>
      </w:r>
    </w:p>
    <w:p w14:paraId="49E2266A" w14:textId="77777777" w:rsidR="002D20B5" w:rsidRDefault="002D20B5" w:rsidP="002D20B5">
      <w:pPr>
        <w:pStyle w:val="Bibliography"/>
      </w:pPr>
      <w:r>
        <w:t xml:space="preserve">323. </w:t>
      </w:r>
      <w:r>
        <w:tab/>
        <w:t xml:space="preserve">Ramos E, Drachenberg CB, Wali R, Hirsch HH. The decade of polyomavirus BK-associated nephropathy: state of affairs. Transplantation. 2009 Mar 15;87(5):621–30. </w:t>
      </w:r>
    </w:p>
    <w:p w14:paraId="03E88D33" w14:textId="77777777" w:rsidR="002D20B5" w:rsidRDefault="002D20B5" w:rsidP="002D20B5">
      <w:pPr>
        <w:pStyle w:val="Bibliography"/>
      </w:pPr>
      <w:r>
        <w:t xml:space="preserve">324. </w:t>
      </w:r>
      <w:r>
        <w:tab/>
        <w:t xml:space="preserve">Drachenberg CB, Papadimitriou JC, Hirsch HH, Wali R, Crowder C, Nogueira J, et al. Histological patterns of polyomavirus nephropathy: correlation with graft outcome and viral load. Am J Transplant Off J Am Soc Transplant Am Soc Transpl Surg. 2004 Dec;4(12):2082–92. </w:t>
      </w:r>
    </w:p>
    <w:p w14:paraId="0B7D8518" w14:textId="77777777" w:rsidR="002D20B5" w:rsidRDefault="002D20B5" w:rsidP="002D20B5">
      <w:pPr>
        <w:pStyle w:val="Bibliography"/>
      </w:pPr>
      <w:r>
        <w:t xml:space="preserve">325. </w:t>
      </w:r>
      <w:r>
        <w:tab/>
        <w:t xml:space="preserve">Gaber LW, Egidi MF, Stratta RJ, Lo A, Moore LW, Gaber AO. Clinical utility of histological features of polyomavirus allograft nephropathy. Transplantation. 2006 Jul 27;82(2):196–204. </w:t>
      </w:r>
    </w:p>
    <w:p w14:paraId="69679999" w14:textId="77777777" w:rsidR="002D20B5" w:rsidRDefault="002D20B5" w:rsidP="002D20B5">
      <w:pPr>
        <w:pStyle w:val="Bibliography"/>
      </w:pPr>
      <w:r>
        <w:t xml:space="preserve">326. </w:t>
      </w:r>
      <w:r>
        <w:tab/>
        <w:t xml:space="preserve">Hardinger KL, Koch MJ, Bohl DJ, Storch GA, Brennan DC. BK-virus and the impact of pre-emptive immunosuppression reduction: 5-year results. Am J Transplant Off J Am Soc Transplant Am Soc Transpl Surg. 2010 Feb;10(2):407–15. </w:t>
      </w:r>
    </w:p>
    <w:p w14:paraId="467C5F0B" w14:textId="77777777" w:rsidR="002D20B5" w:rsidRDefault="002D20B5" w:rsidP="002D20B5">
      <w:pPr>
        <w:pStyle w:val="Bibliography"/>
      </w:pPr>
      <w:r>
        <w:t xml:space="preserve">327. </w:t>
      </w:r>
      <w:r>
        <w:tab/>
        <w:t xml:space="preserve">Randhawa PS, Schonder K, Shapiro R, Farasati N, Huang Y. Polyomavirus BK neutralizing activity in human immunoglobulin preparations. Transplantation. 2010 Jun 27;89(12):1462–5. </w:t>
      </w:r>
    </w:p>
    <w:p w14:paraId="2C570862" w14:textId="77777777" w:rsidR="002D20B5" w:rsidRDefault="002D20B5" w:rsidP="002D20B5">
      <w:pPr>
        <w:pStyle w:val="Bibliography"/>
      </w:pPr>
      <w:r>
        <w:t xml:space="preserve">328. </w:t>
      </w:r>
      <w:r>
        <w:tab/>
        <w:t xml:space="preserve">Kant S, Dasgupta A, Bagnasco S, Brennan DC. BK Virus Nephropathy in Kidney Transplantation: A State-of-the-Art Review. Viruses. 2022 Jul 25;14(8):1616. </w:t>
      </w:r>
    </w:p>
    <w:p w14:paraId="21E953D9" w14:textId="77777777" w:rsidR="002D20B5" w:rsidRDefault="002D20B5" w:rsidP="002D20B5">
      <w:pPr>
        <w:pStyle w:val="Bibliography"/>
      </w:pPr>
      <w:r>
        <w:t xml:space="preserve">329. </w:t>
      </w:r>
      <w:r>
        <w:tab/>
        <w:t xml:space="preserve">Dharnidharka VR, Cherikh WS, Neff R, Cheng Y, Abbott KC. Retransplantation after BK virus nephropathy in prior kidney transplant: an OPTN database analysis. Am J Transplant Off J Am Soc Transplant Am Soc Transpl Surg. 2010 May;10(5):1312–5. </w:t>
      </w:r>
    </w:p>
    <w:p w14:paraId="0F4260CF" w14:textId="77777777" w:rsidR="002D20B5" w:rsidRDefault="002D20B5" w:rsidP="002D20B5">
      <w:pPr>
        <w:pStyle w:val="Bibliography"/>
      </w:pPr>
      <w:r>
        <w:t xml:space="preserve">330. </w:t>
      </w:r>
      <w:r>
        <w:tab/>
        <w:t xml:space="preserve">Fishman JA, Gans H, AST Infectious Diseases Community of Practice. Pneumocystis jiroveci in solid organ transplantation: Guidelines from the American Society of Transplantation Infectious Diseases Community of Practice. Clin Transplant. 2019 Sep;33(9):e13587. </w:t>
      </w:r>
    </w:p>
    <w:p w14:paraId="0088A8CA" w14:textId="77777777" w:rsidR="002D20B5" w:rsidRDefault="002D20B5" w:rsidP="002D20B5">
      <w:pPr>
        <w:pStyle w:val="Bibliography"/>
      </w:pPr>
      <w:r>
        <w:lastRenderedPageBreak/>
        <w:t xml:space="preserve">331. </w:t>
      </w:r>
      <w:r>
        <w:tab/>
        <w:t xml:space="preserve">Fujikura Y, Manabe T, Kawana A, Kohno S. Adjunctive Corticosteroids for Pneumocystis jirovecii Pneumonia in Non-HIV-infected Patients: A Systematic Review and Meta-analysis of Observational Studies. Arch Bronconeumol. 2017 Feb;53(2):55–61. </w:t>
      </w:r>
    </w:p>
    <w:p w14:paraId="15BFFAB8" w14:textId="77777777" w:rsidR="002D20B5" w:rsidRDefault="002D20B5" w:rsidP="002D20B5">
      <w:pPr>
        <w:pStyle w:val="Bibliography"/>
      </w:pPr>
      <w:r>
        <w:t xml:space="preserve">332. </w:t>
      </w:r>
      <w:r>
        <w:tab/>
        <w:t xml:space="preserve">Stern A, Green H, Paul M, Vidal L, Leibovici L. Prophylaxis for Pneumocystis pneumonia (PCP) in non-HIV immunocompromised patients. Cochrane Database Syst Rev. 2014 Oct 1;2014(10):CD005590. </w:t>
      </w:r>
    </w:p>
    <w:p w14:paraId="01021434" w14:textId="77777777" w:rsidR="002D20B5" w:rsidRDefault="002D20B5" w:rsidP="002D20B5">
      <w:pPr>
        <w:pStyle w:val="Bibliography"/>
      </w:pPr>
      <w:r>
        <w:t xml:space="preserve">333. </w:t>
      </w:r>
      <w:r>
        <w:tab/>
        <w:t xml:space="preserve">Fox BC, Sollinger HW, Belzer FO, Maki DG. A prospective, randomized, double-blind study of trimethoprim-sulfamethoxazole for prophylaxis of infection in renal transplantation: clinical efficacy, absorption of trimethoprim-sulfamethoxazole, effects on the microflora, and the cost-benefit of prophylaxis. Am J Med. 1990 Sep;89(3):255–74. </w:t>
      </w:r>
    </w:p>
    <w:p w14:paraId="47CDC613" w14:textId="77777777" w:rsidR="002D20B5" w:rsidRDefault="002D20B5" w:rsidP="002D20B5">
      <w:pPr>
        <w:pStyle w:val="Bibliography"/>
      </w:pPr>
      <w:r>
        <w:t xml:space="preserve">334. </w:t>
      </w:r>
      <w:r>
        <w:tab/>
        <w:t xml:space="preserve">Paya CV. Prevention of fungal infection in transplantation. Transpl Infect Dis Off J Transplant Soc. 2002;4 Suppl 3:46–51. </w:t>
      </w:r>
    </w:p>
    <w:p w14:paraId="3C34AB6C" w14:textId="77777777" w:rsidR="002D20B5" w:rsidRDefault="002D20B5" w:rsidP="002D20B5">
      <w:pPr>
        <w:pStyle w:val="Bibliography"/>
      </w:pPr>
      <w:r>
        <w:t xml:space="preserve">335. </w:t>
      </w:r>
      <w:r>
        <w:tab/>
        <w:t xml:space="preserve">Adamu B, Abdu A, Abba AA, Borodo MM, Tleyjeh IM. Antibiotic prophylaxis for preventing post solid organ transplant tuberculosis. Cochrane Database Syst Rev. 2014 Mar 4;2014(3):CD008597. </w:t>
      </w:r>
    </w:p>
    <w:p w14:paraId="4BA113C4" w14:textId="77777777" w:rsidR="002D20B5" w:rsidRDefault="002D20B5" w:rsidP="002D20B5">
      <w:pPr>
        <w:pStyle w:val="Bibliography"/>
      </w:pPr>
      <w:r>
        <w:t xml:space="preserve">336. </w:t>
      </w:r>
      <w:r>
        <w:tab/>
        <w:t xml:space="preserve">Yuan Z, Chao S, Xu Y, Niu Y. Chemoprophylaxis for the prevention of tuberculosis in kidney transplant recipients: A systematic review and meta-analysis. Front Pharmacol. 2023;14:1022579. </w:t>
      </w:r>
    </w:p>
    <w:p w14:paraId="7D80359E" w14:textId="77777777" w:rsidR="002D20B5" w:rsidRDefault="002D20B5" w:rsidP="002D20B5">
      <w:pPr>
        <w:pStyle w:val="Bibliography"/>
      </w:pPr>
      <w:r>
        <w:t xml:space="preserve">337. </w:t>
      </w:r>
      <w:r>
        <w:tab/>
        <w:t xml:space="preserve">Kidney Disease: Improving Global Outcomes (KDIGO) CKD-MBD Update Work Group. KDIGO 2017 Clinical Practice Guideline Update for the Diagnosis, Evaluation, Prevention, and Treatment of Chronic Kidney Disease-Mineral and Bone Disorder (CKD-MBD). Kidney Int Suppl. 2017 Jul;7(1):1–59. </w:t>
      </w:r>
    </w:p>
    <w:p w14:paraId="3A95F26C" w14:textId="77777777" w:rsidR="002D20B5" w:rsidRDefault="002D20B5" w:rsidP="002D20B5">
      <w:pPr>
        <w:pStyle w:val="Bibliography"/>
      </w:pPr>
      <w:r>
        <w:t xml:space="preserve">338. </w:t>
      </w:r>
      <w:r>
        <w:tab/>
        <w:t xml:space="preserve">Evenepoel P, Cunningham J, Ferrari S, Haarhaus M, Javaid MK, Lafage-Proust MH, et al. European Consensus Statement on the diagnosis and management of osteoporosis in chronic kidney disease stages G4-G5D. Nephrol Dial Transplant Off Publ Eur Dial Transpl Assoc - Eur Ren Assoc. 2021 Jan 1;36(1):42–59. </w:t>
      </w:r>
    </w:p>
    <w:p w14:paraId="2581F52C" w14:textId="77777777" w:rsidR="002D20B5" w:rsidRDefault="002D20B5" w:rsidP="002D20B5">
      <w:pPr>
        <w:pStyle w:val="Bibliography"/>
      </w:pPr>
      <w:r>
        <w:t xml:space="preserve">339. </w:t>
      </w:r>
      <w:r>
        <w:tab/>
        <w:t xml:space="preserve">Akaberi S, Simonsen O, Lindergård B, Nyberg G. Can DXA predict fractures in renal transplant patients? Am J Transplant Off J Am Soc Transplant Am Soc Transpl Surg. 2008 Dec;8(12):2647–51. </w:t>
      </w:r>
    </w:p>
    <w:p w14:paraId="05A76DF5" w14:textId="77777777" w:rsidR="002D20B5" w:rsidRDefault="002D20B5" w:rsidP="002D20B5">
      <w:pPr>
        <w:pStyle w:val="Bibliography"/>
      </w:pPr>
      <w:r>
        <w:t xml:space="preserve">340. </w:t>
      </w:r>
      <w:r>
        <w:tab/>
        <w:t xml:space="preserve">Evenepoel P, Claes K, Meijers B, Laurent MR, Bammens B, Naesens M, et al. Bone mineral density, bone turnover markers, and incident fractures in de novo kidney transplant recipients. Kidney Int. 2019 Jun;95(6):1461–70. </w:t>
      </w:r>
    </w:p>
    <w:p w14:paraId="033202BC" w14:textId="77777777" w:rsidR="002D20B5" w:rsidRDefault="002D20B5" w:rsidP="002D20B5">
      <w:pPr>
        <w:pStyle w:val="Bibliography"/>
      </w:pPr>
      <w:r>
        <w:t xml:space="preserve">341. </w:t>
      </w:r>
      <w:r>
        <w:tab/>
        <w:t xml:space="preserve">Josephson MA, Schumm LP, Chiu MY, Marshall C, Thistlethwaite JR, Sprague SM. Calcium and calcitriol prophylaxis attenuates posttransplant bone loss. Transplantation. 2004 Oct 27;78(8):1233–6. </w:t>
      </w:r>
    </w:p>
    <w:p w14:paraId="309F98A6" w14:textId="77777777" w:rsidR="002D20B5" w:rsidRDefault="002D20B5" w:rsidP="002D20B5">
      <w:pPr>
        <w:pStyle w:val="Bibliography"/>
      </w:pPr>
      <w:r>
        <w:lastRenderedPageBreak/>
        <w:t xml:space="preserve">342. </w:t>
      </w:r>
      <w:r>
        <w:tab/>
        <w:t xml:space="preserve">Torres A, García S, Gómez A, González A, Barrios Y, Concepción MT, et al. Treatment with intermittent calcitriol and calcium reduces bone loss after renal transplantation. Kidney Int. 2004 Feb;65(2):705–12. </w:t>
      </w:r>
    </w:p>
    <w:p w14:paraId="75AFF48A" w14:textId="77777777" w:rsidR="002D20B5" w:rsidRDefault="002D20B5" w:rsidP="002D20B5">
      <w:pPr>
        <w:pStyle w:val="Bibliography"/>
      </w:pPr>
      <w:r>
        <w:t xml:space="preserve">343. </w:t>
      </w:r>
      <w:r>
        <w:tab/>
        <w:t xml:space="preserve">Monier-Faugere MC, Mawad H, Qi Q, Friedler RM, Malluche HH. High prevalence of low bone turnover and occurrence of osteomalacia after kidney transplantation. J Am Soc Nephrol JASN. 2000 Jun;11(6):1093–9. </w:t>
      </w:r>
    </w:p>
    <w:p w14:paraId="7A4559F9" w14:textId="77777777" w:rsidR="002D20B5" w:rsidRDefault="002D20B5" w:rsidP="002D20B5">
      <w:pPr>
        <w:pStyle w:val="Bibliography"/>
      </w:pPr>
      <w:r>
        <w:t xml:space="preserve">344. </w:t>
      </w:r>
      <w:r>
        <w:tab/>
        <w:t xml:space="preserve">Rizzoli R, Biver E. Glucocorticoid-induced osteoporosis: who to treat with what agent? Nat Rev Rheumatol. 2015 Feb;11(2):98–109. </w:t>
      </w:r>
    </w:p>
    <w:p w14:paraId="5199B1CC" w14:textId="77777777" w:rsidR="002D20B5" w:rsidRDefault="002D20B5" w:rsidP="002D20B5">
      <w:pPr>
        <w:pStyle w:val="Bibliography"/>
      </w:pPr>
      <w:r>
        <w:t xml:space="preserve">345. </w:t>
      </w:r>
      <w:r>
        <w:tab/>
        <w:t xml:space="preserve">Humphrey MB, Russell L, Danila MI, Fink HA, Guyatt G, Cannon M, et al. 2022 American College of Rheumatology Guideline for the Prevention and Treatment of Glucocorticoid-Induced Osteoporosis. Arthritis Rheumatol Hoboken NJ. 2023 Dec;75(12):2088–102. </w:t>
      </w:r>
    </w:p>
    <w:p w14:paraId="1046C132" w14:textId="77777777" w:rsidR="002D20B5" w:rsidRDefault="002D20B5" w:rsidP="002D20B5">
      <w:pPr>
        <w:pStyle w:val="Bibliography"/>
      </w:pPr>
      <w:r>
        <w:t xml:space="preserve">346. </w:t>
      </w:r>
      <w:r>
        <w:tab/>
        <w:t xml:space="preserve">Block GA, Bone HG, Fang L, Lee E, Padhi D. A single-dose study of denosumab in patients with various degrees of renal impairment. J Bone Miner Res Off J Am Soc Bone Miner Res. 2012 Jul;27(7):1471–9. </w:t>
      </w:r>
    </w:p>
    <w:p w14:paraId="056E45BA" w14:textId="77777777" w:rsidR="002D20B5" w:rsidRDefault="002D20B5" w:rsidP="002D20B5">
      <w:pPr>
        <w:pStyle w:val="Bibliography"/>
      </w:pPr>
      <w:r>
        <w:t xml:space="preserve">347. </w:t>
      </w:r>
      <w:r>
        <w:tab/>
        <w:t xml:space="preserve">Bonani M, Frey D, Brockmann J, Fehr T, Mueller TF, Saleh L, et al. Effect of Twice-Yearly Denosumab on Prevention of Bone Mineral Density Loss in De Novo Kidney Transplant Recipients: A Randomized Controlled Trial. Am J Transplant Off J Am Soc Transplant Am Soc Transpl Surg. 2016 Jun;16(6):1882–91. </w:t>
      </w:r>
    </w:p>
    <w:p w14:paraId="7275AAA3" w14:textId="77777777" w:rsidR="002D20B5" w:rsidRDefault="002D20B5" w:rsidP="002D20B5">
      <w:pPr>
        <w:pStyle w:val="Bibliography"/>
      </w:pPr>
      <w:r>
        <w:t xml:space="preserve">348. </w:t>
      </w:r>
      <w:r>
        <w:tab/>
        <w:t xml:space="preserve">Brunova J, Kratochvilova S, Stepankova J. Osteoporosis Therapy With Denosumab in Organ Transplant Recipients. Front Endocrinol. 2018;9:162. </w:t>
      </w:r>
    </w:p>
    <w:p w14:paraId="272026A7" w14:textId="77777777" w:rsidR="002D20B5" w:rsidRDefault="002D20B5" w:rsidP="002D20B5">
      <w:pPr>
        <w:pStyle w:val="Bibliography"/>
      </w:pPr>
      <w:r>
        <w:t xml:space="preserve">349. </w:t>
      </w:r>
      <w:r>
        <w:tab/>
        <w:t xml:space="preserve">Zanchetta MB, Boailchuk J, Massari F, Silveira F, Bogado C, Zanchetta JR. Significant bone loss after stopping long-term denosumab treatment: a post FREEDOM study. Osteoporos Int J Establ Result Coop Eur Found Osteoporos Natl Osteoporos Found USA. 2018 Jan;29(1):41–7. </w:t>
      </w:r>
    </w:p>
    <w:p w14:paraId="17779CD4" w14:textId="77777777" w:rsidR="002D20B5" w:rsidRDefault="002D20B5" w:rsidP="002D20B5">
      <w:pPr>
        <w:pStyle w:val="Bibliography"/>
      </w:pPr>
      <w:r>
        <w:t xml:space="preserve">350. </w:t>
      </w:r>
      <w:r>
        <w:tab/>
        <w:t xml:space="preserve">Kobel C, Frey D, Graf N, Wüthrich RP, Bonani M. Follow-Up of Bone Mineral Density Changes in de novo Kidney Transplant Recipients Treated with Two Doses of the Receptor Activator of Nuclear Factor κB Ligand Inhibitor Denosumab. Kidney Blood Press Res. 2019;44(5):1285–93. </w:t>
      </w:r>
    </w:p>
    <w:p w14:paraId="62C8216B" w14:textId="77777777" w:rsidR="002D20B5" w:rsidRDefault="002D20B5" w:rsidP="002D20B5">
      <w:pPr>
        <w:pStyle w:val="Bibliography"/>
      </w:pPr>
      <w:r>
        <w:t xml:space="preserve">351. </w:t>
      </w:r>
      <w:r>
        <w:tab/>
        <w:t xml:space="preserve">Kondo H, Okimoto N, Yoshioka T, Akahoshi S, Fuse Y, Ogawa T, et al. Zoledronic acid sequential therapy could avoid disadvantages due to the discontinuation of less than 3-year denosumab treatment. J Bone Miner Metab. 2020 Nov;38(6):894–902. </w:t>
      </w:r>
    </w:p>
    <w:p w14:paraId="32B6ECC0" w14:textId="77777777" w:rsidR="002D20B5" w:rsidRDefault="002D20B5" w:rsidP="002D20B5">
      <w:pPr>
        <w:pStyle w:val="Bibliography"/>
      </w:pPr>
      <w:r>
        <w:t xml:space="preserve">352. </w:t>
      </w:r>
      <w:r>
        <w:tab/>
        <w:t xml:space="preserve">Lou I, Foley D, Odorico SK, Leverson G, Schneider DF, Sippel R, et al. How Well Does Renal Transplantation Cure Hyperparathyroidism? Ann Surg. 2015 Oct;262(4):653–9. </w:t>
      </w:r>
    </w:p>
    <w:p w14:paraId="2EA5444A" w14:textId="77777777" w:rsidR="002D20B5" w:rsidRDefault="002D20B5" w:rsidP="002D20B5">
      <w:pPr>
        <w:pStyle w:val="Bibliography"/>
      </w:pPr>
      <w:r>
        <w:t xml:space="preserve">353. </w:t>
      </w:r>
      <w:r>
        <w:tab/>
        <w:t xml:space="preserve">Khairallah P, Nickolas TL. Bone and Mineral Disease in Kidney Transplant Recipients. Clin J Am Soc Nephrol CJASN. 2022 Jan;17(1):121–30. </w:t>
      </w:r>
    </w:p>
    <w:p w14:paraId="153989C0" w14:textId="77777777" w:rsidR="002D20B5" w:rsidRDefault="002D20B5" w:rsidP="002D20B5">
      <w:pPr>
        <w:pStyle w:val="Bibliography"/>
      </w:pPr>
      <w:r>
        <w:lastRenderedPageBreak/>
        <w:t xml:space="preserve">354. </w:t>
      </w:r>
      <w:r>
        <w:tab/>
        <w:t xml:space="preserve">Borchhardt K, Sulzbacher I, Benesch T, Födinger M, Sunder-Plassmann G, Haas M. Low-turnover bone disease in hypercalcemic hyperparathyroidism after kidney transplantation. Am J Transplant Off J Am Soc Transplant Am Soc Transpl Surg. 2007 Nov;7(11):2515–21. </w:t>
      </w:r>
    </w:p>
    <w:p w14:paraId="5B664D6F" w14:textId="77777777" w:rsidR="002D20B5" w:rsidRDefault="002D20B5" w:rsidP="002D20B5">
      <w:pPr>
        <w:pStyle w:val="Bibliography"/>
      </w:pPr>
      <w:r>
        <w:t xml:space="preserve">355. </w:t>
      </w:r>
      <w:r>
        <w:tab/>
        <w:t xml:space="preserve">Evenepoel P, Bammens B, Claes K, Kuypers D, Meijers BKI, Vanrenterghem Y. Measuring total blood calcium displays a low sensitivity for the diagnosis of hypercalcemia in incident renal transplant recipients. Clin J Am Soc Nephrol CJASN. 2010 Nov;5(11):2085–92. </w:t>
      </w:r>
    </w:p>
    <w:p w14:paraId="7EB58E7C" w14:textId="77777777" w:rsidR="002D20B5" w:rsidRDefault="002D20B5" w:rsidP="002D20B5">
      <w:pPr>
        <w:pStyle w:val="Bibliography"/>
      </w:pPr>
      <w:r>
        <w:t xml:space="preserve">356. </w:t>
      </w:r>
      <w:r>
        <w:tab/>
        <w:t xml:space="preserve">Bergua C, Torregrosa JV, Fuster D, Gutierrez-Dalmau A, Oppenheimer F, Campistol JM. Effect of cinacalcet on hypercalcemia and bone mineral density in renal transplanted patients with secondary hyperparathyroidism. Transplantation. 2008 Aug 15;86(3):413–7. </w:t>
      </w:r>
    </w:p>
    <w:p w14:paraId="16283238" w14:textId="77777777" w:rsidR="002D20B5" w:rsidRDefault="002D20B5" w:rsidP="002D20B5">
      <w:pPr>
        <w:pStyle w:val="Bibliography"/>
      </w:pPr>
      <w:r>
        <w:t xml:space="preserve">357. </w:t>
      </w:r>
      <w:r>
        <w:tab/>
        <w:t xml:space="preserve">Borstnar S, Erzen B, Gmeiner Stopar T, Kocjan T, Arnol M, Kandus A, et al. Treatment of hyperparathyroidism with cinacalcet in kidney transplant recipients. Transplant Proc. 2010 Dec;42(10):4078–82. </w:t>
      </w:r>
    </w:p>
    <w:p w14:paraId="1F1B5BE6" w14:textId="77777777" w:rsidR="002D20B5" w:rsidRDefault="002D20B5" w:rsidP="002D20B5">
      <w:pPr>
        <w:pStyle w:val="Bibliography"/>
      </w:pPr>
      <w:r>
        <w:t xml:space="preserve">358. </w:t>
      </w:r>
      <w:r>
        <w:tab/>
        <w:t xml:space="preserve">Morales E, Gutierrez E, Andres A. Treatment with calcimimetics in kidney transplantation. Transplant Rev Orlando Fla. 2010 Apr;24(2):79–88. </w:t>
      </w:r>
    </w:p>
    <w:p w14:paraId="77A139F4" w14:textId="77777777" w:rsidR="002D20B5" w:rsidRDefault="002D20B5" w:rsidP="002D20B5">
      <w:pPr>
        <w:pStyle w:val="Bibliography"/>
      </w:pPr>
      <w:r>
        <w:t xml:space="preserve">359. </w:t>
      </w:r>
      <w:r>
        <w:tab/>
        <w:t xml:space="preserve">Zitt E, Woess E, Mayer G, Lhotta K. Effect of cinacalcet on renal electrolyte handling and systemic arterial blood pressure in kidney transplant patients with persistent hyperparathyroidism. Transplantation. 2011 Oct 27;92(8):883–9. </w:t>
      </w:r>
    </w:p>
    <w:p w14:paraId="7F3936B4" w14:textId="77777777" w:rsidR="002D20B5" w:rsidRDefault="002D20B5" w:rsidP="002D20B5">
      <w:pPr>
        <w:pStyle w:val="Bibliography"/>
      </w:pPr>
      <w:r>
        <w:t xml:space="preserve">360. </w:t>
      </w:r>
      <w:r>
        <w:tab/>
        <w:t xml:space="preserve">Soliman AR, Maamoun HA, Soliman MA, Darwish H, Elbanna E. Cinacalcet versus Parathyroidectomy in the Treatment of Secondary Hyperparathyroidism Post Renal Transplantation. Romanian J Intern Med Rev Roum Med Interne. 2016 Sep 1;54(3):184–9. </w:t>
      </w:r>
    </w:p>
    <w:p w14:paraId="50F49B57" w14:textId="77777777" w:rsidR="002D20B5" w:rsidRDefault="002D20B5" w:rsidP="002D20B5">
      <w:pPr>
        <w:pStyle w:val="Bibliography"/>
      </w:pPr>
      <w:r>
        <w:t xml:space="preserve">361. </w:t>
      </w:r>
      <w:r>
        <w:tab/>
        <w:t xml:space="preserve">Finnerty BM, Chan TW, Jones G, Khader T, Moore M, Gray KD, et al. Parathyroidectomy versus Cinacalcet in the Management of Tertiary Hyperparathyroidism: Surgery Improves Renal Transplant Allograft Survival. Surgery. 2019 Jan;165(1):129–34. </w:t>
      </w:r>
    </w:p>
    <w:p w14:paraId="52F82D80" w14:textId="77777777" w:rsidR="002D20B5" w:rsidRDefault="002D20B5" w:rsidP="002D20B5">
      <w:pPr>
        <w:pStyle w:val="Bibliography"/>
      </w:pPr>
      <w:r>
        <w:t xml:space="preserve">362. </w:t>
      </w:r>
      <w:r>
        <w:tab/>
        <w:t xml:space="preserve">Rivelli GG, Lima ML de, Mazzali M. Therapy for persistent hypercalcemic hyperparathyroidism post-renal transplant: cinacalcet versus parathyroidectomy. J Bras Nefrol. 2020;42(3):315–22. </w:t>
      </w:r>
    </w:p>
    <w:p w14:paraId="15F659A0" w14:textId="77777777" w:rsidR="002D20B5" w:rsidRDefault="002D20B5" w:rsidP="002D20B5">
      <w:pPr>
        <w:pStyle w:val="Bibliography"/>
      </w:pPr>
      <w:r>
        <w:t xml:space="preserve">363. </w:t>
      </w:r>
      <w:r>
        <w:tab/>
        <w:t xml:space="preserve">Frey S, Goronflot T, Kerleau C, Gourraud PA, Caillard C, Hourmant M, et al. Parathyroidectomy or cinacalcet: Do we still not know the best option for graft function in kidney-transplanted patients? A meta-analysis. Surgery. 2021 Sep;170(3):727–35. </w:t>
      </w:r>
    </w:p>
    <w:p w14:paraId="26D9059A" w14:textId="77777777" w:rsidR="002D20B5" w:rsidRDefault="002D20B5" w:rsidP="002D20B5">
      <w:pPr>
        <w:pStyle w:val="Bibliography"/>
      </w:pPr>
      <w:r>
        <w:t xml:space="preserve">364. </w:t>
      </w:r>
      <w:r>
        <w:tab/>
        <w:t xml:space="preserve">Abbott KC, Kimmel PL, Dharnidharka V, Oglesby RJ, Agodoa LY, Caillard S. New-onset gout after kidney transplantation: incidence, risk factors and implications. Transplantation. 2005 Nov 27;80(10):1383–91. </w:t>
      </w:r>
    </w:p>
    <w:p w14:paraId="6EB89A71" w14:textId="77777777" w:rsidR="002D20B5" w:rsidRDefault="002D20B5" w:rsidP="002D20B5">
      <w:pPr>
        <w:pStyle w:val="Bibliography"/>
      </w:pPr>
      <w:r>
        <w:lastRenderedPageBreak/>
        <w:t xml:space="preserve">365. </w:t>
      </w:r>
      <w:r>
        <w:tab/>
        <w:t xml:space="preserve">Hui M, Carr A, Cameron S, Davenport G, Doherty M, Forrester H, et al. The British Society for Rheumatology Guideline for the Management of Gout. Rheumatol Oxf Engl. 2017 Jul 1;56(7):e1–20. </w:t>
      </w:r>
    </w:p>
    <w:p w14:paraId="3B09D56A" w14:textId="77777777" w:rsidR="002D20B5" w:rsidRDefault="002D20B5" w:rsidP="002D20B5">
      <w:pPr>
        <w:pStyle w:val="Bibliography"/>
      </w:pPr>
      <w:r>
        <w:t xml:space="preserve">366. </w:t>
      </w:r>
      <w:r>
        <w:tab/>
        <w:t xml:space="preserve">Imasuen UJ, Swanson KJ, Parajuli S. Serum uric acid levels in kidney transplant recipients: A cause for concern? A review of recent literature. Transplant Rev Orlando Fla. 2023 Jul;37(3):100775. </w:t>
      </w:r>
    </w:p>
    <w:p w14:paraId="034D20CC" w14:textId="77777777" w:rsidR="002D20B5" w:rsidRDefault="002D20B5" w:rsidP="002D20B5">
      <w:pPr>
        <w:pStyle w:val="Bibliography"/>
      </w:pPr>
      <w:r>
        <w:t xml:space="preserve">367. </w:t>
      </w:r>
      <w:r>
        <w:tab/>
        <w:t xml:space="preserve">Beaudreuil S, Schermann JM, Verstuyft C, Barrail-Tran A, Smirnova M, Durrbach A, et al. Differential pharmacokinetic interaction of cyclosporine and tacrolimus with colchicine in renal allograft recipients. Clin Transplant. 2018 Nov;32(11):e13405. </w:t>
      </w:r>
    </w:p>
    <w:p w14:paraId="40EFEB0E" w14:textId="77777777" w:rsidR="002D20B5" w:rsidRDefault="002D20B5" w:rsidP="002D20B5">
      <w:pPr>
        <w:pStyle w:val="Bibliography"/>
      </w:pPr>
      <w:r>
        <w:t xml:space="preserve">368. </w:t>
      </w:r>
      <w:r>
        <w:tab/>
        <w:t xml:space="preserve">Kannuthurai V, Gaffo A. Management of Patients with Gout and Kidney Disease: A Review of Available Therapies and Common Missteps. Kidney360. 2023 Sep 1;4(9):e1332–40. </w:t>
      </w:r>
    </w:p>
    <w:p w14:paraId="4F1953BA" w14:textId="77777777" w:rsidR="002D20B5" w:rsidRDefault="002D20B5" w:rsidP="002D20B5">
      <w:pPr>
        <w:pStyle w:val="Bibliography"/>
      </w:pPr>
      <w:r>
        <w:t xml:space="preserve">369. </w:t>
      </w:r>
      <w:r>
        <w:tab/>
        <w:t xml:space="preserve">Li Y, Liu M, Zhang X, Lu Y, Meng J. Switching from allopurinol to febuxostat: efficacy and safety in the treatment of hyperuricemia in renal transplant recipients. Ren Fail. 2019 Nov;41(1):595–9. </w:t>
      </w:r>
    </w:p>
    <w:p w14:paraId="19ADD6AC" w14:textId="77777777" w:rsidR="002D20B5" w:rsidRDefault="002D20B5" w:rsidP="002D20B5">
      <w:pPr>
        <w:pStyle w:val="Bibliography"/>
      </w:pPr>
      <w:r>
        <w:t xml:space="preserve">370. </w:t>
      </w:r>
      <w:r>
        <w:tab/>
        <w:t xml:space="preserve">Chewcharat A, Chang YT, Thongprayoon C, Crisafio A, Bathini T, Mao MA, et al. Efficacy and safety of febuxostat for treatment of asymptomatic hyperuricemia among kidney transplant patients: A meta-analysis of observational studies. Clin Transplant. 2020 Apr;34(4):e13820. </w:t>
      </w:r>
    </w:p>
    <w:p w14:paraId="3D113EA1" w14:textId="77777777" w:rsidR="002D20B5" w:rsidRDefault="002D20B5" w:rsidP="002D20B5">
      <w:pPr>
        <w:pStyle w:val="Bibliography"/>
      </w:pPr>
      <w:r>
        <w:t xml:space="preserve">371. </w:t>
      </w:r>
      <w:r>
        <w:tab/>
        <w:t xml:space="preserve">Mackenzie IS, Ford I, Nuki G, Hallas J, Hawkey CJ, Webster J, et al. Long-term cardiovascular safety of febuxostat compared with allopurinol in patients with gout (FAST): a multicentre, prospective, randomised, open-label, non-inferiority trial. Lancet Lond Engl. 2020 Nov 28;396(10264):1745–57. </w:t>
      </w:r>
    </w:p>
    <w:p w14:paraId="599C7E87" w14:textId="77777777" w:rsidR="002D20B5" w:rsidRDefault="002D20B5" w:rsidP="002D20B5">
      <w:pPr>
        <w:pStyle w:val="Bibliography"/>
      </w:pPr>
      <w:r>
        <w:t xml:space="preserve">372. </w:t>
      </w:r>
      <w:r>
        <w:tab/>
        <w:t>Medicines and Healthcare products Regulatory Agency. Febuxostat: updated advice for the treatment of patients with a history of major cardiovascular disease [Internet]. 2023 May [cited 2025 Oct 25]. Available from: https://www.gov.uk/drug-safety-update/febuxostat-updated-advice-for-the-treatment-of-patients-with-a-history-of-major-cardiovascular-disease</w:t>
      </w:r>
    </w:p>
    <w:p w14:paraId="63AEEB4A" w14:textId="77777777" w:rsidR="002D20B5" w:rsidRDefault="002D20B5" w:rsidP="002D20B5">
      <w:pPr>
        <w:pStyle w:val="Bibliography"/>
      </w:pPr>
      <w:r>
        <w:t xml:space="preserve">373. </w:t>
      </w:r>
      <w:r>
        <w:tab/>
        <w:t xml:space="preserve">Venkat Raman G, Sharman VL, Lee HA. Azathioprine and allopurinol: a potentially dangerous combination. J Intern Med. 1990 Jul;228(1):69–71. </w:t>
      </w:r>
    </w:p>
    <w:p w14:paraId="48856573" w14:textId="77777777" w:rsidR="002D20B5" w:rsidRDefault="002D20B5" w:rsidP="002D20B5">
      <w:pPr>
        <w:pStyle w:val="Bibliography"/>
      </w:pPr>
      <w:r>
        <w:t xml:space="preserve">374. </w:t>
      </w:r>
      <w:r>
        <w:tab/>
        <w:t xml:space="preserve">Charfeddine K, Zaghdane S, Yaich S, Hakim A, Hachicha J. Factors predisposing to post-renal transplant erythrocytosis: a retrospective study. Saudi J Kidney Dis Transplant Off Publ Saudi Cent Organ Transplant Saudi Arab. 2008 May;19(3):371–7. </w:t>
      </w:r>
    </w:p>
    <w:p w14:paraId="4091D860" w14:textId="77777777" w:rsidR="002D20B5" w:rsidRDefault="002D20B5" w:rsidP="002D20B5">
      <w:pPr>
        <w:pStyle w:val="Bibliography"/>
      </w:pPr>
      <w:r>
        <w:t xml:space="preserve">375. </w:t>
      </w:r>
      <w:r>
        <w:tab/>
        <w:t xml:space="preserve">Kiberd BA. Post-transplant erythrocytosis: a disappearing phenomenon? Clin Transplant. 2009;23(6):800–6. </w:t>
      </w:r>
    </w:p>
    <w:p w14:paraId="3626AE6C" w14:textId="77777777" w:rsidR="002D20B5" w:rsidRDefault="002D20B5" w:rsidP="002D20B5">
      <w:pPr>
        <w:pStyle w:val="Bibliography"/>
      </w:pPr>
      <w:r>
        <w:lastRenderedPageBreak/>
        <w:t xml:space="preserve">376. </w:t>
      </w:r>
      <w:r>
        <w:tab/>
        <w:t xml:space="preserve">Alzoubi B, Kharel A, Osman F, Aziz F, Garg N, Mohamed M, et al. Incidence, risk factors, and outcomes of post-transplant erythrocytosis after kidney transplantation. Clin Transplant. 2021 Feb;35(2):e14166. </w:t>
      </w:r>
    </w:p>
    <w:p w14:paraId="04FE2D05" w14:textId="77777777" w:rsidR="002D20B5" w:rsidRDefault="002D20B5" w:rsidP="002D20B5">
      <w:pPr>
        <w:pStyle w:val="Bibliography"/>
      </w:pPr>
      <w:r>
        <w:t xml:space="preserve">377. </w:t>
      </w:r>
      <w:r>
        <w:tab/>
        <w:t xml:space="preserve">Hiremath S, Fergusson D, Doucette S, Mulay AV, Knoll GA. Renin angiotensin system blockade in kidney transplantation: a systematic review of the evidence. Am J Transplant Off J Am Soc Transplant Am Soc Transpl Surg. 2007 Oct;7(10):2350–60. </w:t>
      </w:r>
    </w:p>
    <w:p w14:paraId="2611CCBE" w14:textId="77777777" w:rsidR="002D20B5" w:rsidRDefault="002D20B5" w:rsidP="002D20B5">
      <w:pPr>
        <w:pStyle w:val="Bibliography"/>
      </w:pPr>
      <w:r>
        <w:t xml:space="preserve">378. </w:t>
      </w:r>
      <w:r>
        <w:tab/>
        <w:t xml:space="preserve">Alzoubi B, Kharel A, Machhi R, Aziz F, Swanson KJ, Parajuli S. Post-transplant erythrocytosis after kidney transplantation: A review. World J Transplant. 2021 Jun 18;11(6):220–30. </w:t>
      </w:r>
    </w:p>
    <w:p w14:paraId="13E86A25" w14:textId="77777777" w:rsidR="002D20B5" w:rsidRDefault="002D20B5" w:rsidP="002D20B5">
      <w:pPr>
        <w:pStyle w:val="Bibliography"/>
      </w:pPr>
      <w:r>
        <w:t xml:space="preserve">379. </w:t>
      </w:r>
      <w:r>
        <w:tab/>
        <w:t xml:space="preserve">Vlahakos DV, Marathias KP, Agroyannis B, Madias NE. Posttransplant erythrocytosis. Kidney Int. 2003 Apr;63(4):1187–94. </w:t>
      </w:r>
    </w:p>
    <w:p w14:paraId="563CCE1A" w14:textId="77777777" w:rsidR="002D20B5" w:rsidRDefault="002D20B5" w:rsidP="002D20B5">
      <w:pPr>
        <w:pStyle w:val="Bibliography"/>
      </w:pPr>
      <w:r>
        <w:t xml:space="preserve">380. </w:t>
      </w:r>
      <w:r>
        <w:tab/>
        <w:t xml:space="preserve">McMullin MFF, Mead AJ, Ali S, Cargo C, Chen F, Ewing J, et al. A guideline for the management of specific situations in polycythaemia vera and secondary erythrocytosis: A British Society for Haematology Guideline. Br J Haematol. 2019 Jan;184(2):161–75. </w:t>
      </w:r>
    </w:p>
    <w:p w14:paraId="75BBB247" w14:textId="77777777" w:rsidR="002D20B5" w:rsidRDefault="002D20B5" w:rsidP="002D20B5">
      <w:pPr>
        <w:pStyle w:val="Bibliography"/>
      </w:pPr>
      <w:r>
        <w:t xml:space="preserve">381. </w:t>
      </w:r>
      <w:r>
        <w:tab/>
        <w:t xml:space="preserve">McMullin MF. Investigation and Management of Erythrocytosis. Curr Hematol Malig Rep. 2016 Oct;11(5):342–7. </w:t>
      </w:r>
    </w:p>
    <w:p w14:paraId="3CB35125" w14:textId="77777777" w:rsidR="002D20B5" w:rsidRDefault="002D20B5" w:rsidP="002D20B5">
      <w:pPr>
        <w:pStyle w:val="Bibliography"/>
      </w:pPr>
      <w:r>
        <w:t xml:space="preserve">382. </w:t>
      </w:r>
      <w:r>
        <w:tab/>
        <w:t xml:space="preserve">McMullin MFF, Mead AJ, Ali S, Cargo C, Chen F, Ewing J, et al. A guideline for the management of specific situations in polycythaemia vera and secondary erythrocytosis: A British Society for Haematology Guideline. Br J Haematol. 2019 Jan;184(2):161–75. </w:t>
      </w:r>
    </w:p>
    <w:p w14:paraId="463CBBF4" w14:textId="77777777" w:rsidR="002D20B5" w:rsidRDefault="002D20B5" w:rsidP="002D20B5">
      <w:pPr>
        <w:pStyle w:val="Bibliography"/>
      </w:pPr>
      <w:r>
        <w:t xml:space="preserve">383. </w:t>
      </w:r>
      <w:r>
        <w:tab/>
        <w:t xml:space="preserve">Kasiske BL, Vazquez MA, Harmon WE, Brown RS, Danovitch GM, Gaston RS, et al. Recommendations for the outpatient surveillance of renal transplant recipients. American Society of Transplantation. J Am Soc Nephrol JASN. 2000 Oct;11 Suppl 15:S1-86. </w:t>
      </w:r>
    </w:p>
    <w:p w14:paraId="23034C5F" w14:textId="77777777" w:rsidR="002D20B5" w:rsidRDefault="002D20B5" w:rsidP="002D20B5">
      <w:pPr>
        <w:pStyle w:val="Bibliography"/>
      </w:pPr>
      <w:r>
        <w:t xml:space="preserve">384. </w:t>
      </w:r>
      <w:r>
        <w:tab/>
        <w:t xml:space="preserve">Locatelli F, Nissenson AR, Barrett BJ, Walker RG, Wheeler DC, Eckardt KU, et al. Clinical practice guidelines for anemia in chronic kidney disease: problems and solutions. A position statement from Kidney Disease: Improving Global Outcomes (KDIGO). Kidney Int. 2008 Nov;74(10):1237–40. </w:t>
      </w:r>
    </w:p>
    <w:p w14:paraId="50958BFD" w14:textId="77777777" w:rsidR="002D20B5" w:rsidRDefault="002D20B5" w:rsidP="002D20B5">
      <w:pPr>
        <w:pStyle w:val="Bibliography"/>
      </w:pPr>
      <w:r>
        <w:t xml:space="preserve">385. </w:t>
      </w:r>
      <w:r>
        <w:tab/>
        <w:t>World Health Organization. WHO Technical Report Series No. 405: Nutritional Anaemias [Internet]. 1968 [cited 2025 Oct 25]. Available from: https://iris.who.int/server/api/core/bitstreams/6dc51d4c-0c69-458e-a816-84a8c25e6811/content</w:t>
      </w:r>
    </w:p>
    <w:p w14:paraId="14283A96" w14:textId="77777777" w:rsidR="002D20B5" w:rsidRDefault="002D20B5" w:rsidP="002D20B5">
      <w:pPr>
        <w:pStyle w:val="Bibliography"/>
      </w:pPr>
      <w:r>
        <w:t xml:space="preserve">386. </w:t>
      </w:r>
      <w:r>
        <w:tab/>
        <w:t xml:space="preserve">National Kidney Foundation. K/DOQI clinical practice guidelines for chronic kidney disease: evaluation, classification, and stratification. Am J Kidney Dis Off J Natl Kidney Found. 2002 Feb;39(2 Suppl 1):S1-266. </w:t>
      </w:r>
    </w:p>
    <w:p w14:paraId="665C3F84" w14:textId="77777777" w:rsidR="002D20B5" w:rsidRDefault="002D20B5" w:rsidP="002D20B5">
      <w:pPr>
        <w:pStyle w:val="Bibliography"/>
      </w:pPr>
      <w:r>
        <w:t xml:space="preserve">387. </w:t>
      </w:r>
      <w:r>
        <w:tab/>
        <w:t xml:space="preserve">Locatelli F, Aljama P, Bárány P, Canaud B, Carrera F, Eckardt KU, et al. Revised European best practice guidelines for the management of anaemia in patients with </w:t>
      </w:r>
      <w:r>
        <w:lastRenderedPageBreak/>
        <w:t xml:space="preserve">chronic renal failure. Nephrol Dial Transplant Off Publ Eur Dial Transpl Assoc - Eur Ren Assoc. 2004 May;19 Suppl 2:ii1-47. </w:t>
      </w:r>
    </w:p>
    <w:p w14:paraId="7BFD9F8A" w14:textId="77777777" w:rsidR="002D20B5" w:rsidRDefault="002D20B5" w:rsidP="002D20B5">
      <w:pPr>
        <w:pStyle w:val="Bibliography"/>
      </w:pPr>
      <w:r>
        <w:t xml:space="preserve">388. </w:t>
      </w:r>
      <w:r>
        <w:tab/>
        <w:t xml:space="preserve">Locatelli F, Covic A, Eckardt KU, Wiecek A, Vanholder R, ERA-EDTA ERBP Advisory Board. Anaemia management in patients with chronic kidney disease: a position statement by the Anaemia Working Group of European Renal Best Practice (ERBP). Nephrol Dial Transplant Off Publ Eur Dial Transpl Assoc - Eur Ren Assoc. 2009 Feb;24(2):348–54. </w:t>
      </w:r>
    </w:p>
    <w:p w14:paraId="4BDE6340" w14:textId="77777777" w:rsidR="002D20B5" w:rsidRDefault="002D20B5" w:rsidP="002D20B5">
      <w:pPr>
        <w:pStyle w:val="Bibliography"/>
      </w:pPr>
      <w:r>
        <w:t xml:space="preserve">389. </w:t>
      </w:r>
      <w:r>
        <w:tab/>
        <w:t xml:space="preserve">Jones H, Talwar M, Nogueira JM, Ugarte R, Cangro C, Rasheed H, et al. Anemia after kidney transplantation; its prevalence, risk factors, and independent association with graft and patient survival: a time-varying analysis. Transplantation. 2012 May 15;93(9):923–8. </w:t>
      </w:r>
    </w:p>
    <w:p w14:paraId="2D925A4E" w14:textId="77777777" w:rsidR="002D20B5" w:rsidRDefault="002D20B5" w:rsidP="002D20B5">
      <w:pPr>
        <w:pStyle w:val="Bibliography"/>
      </w:pPr>
      <w:r>
        <w:t xml:space="preserve">390. </w:t>
      </w:r>
      <w:r>
        <w:tab/>
        <w:t xml:space="preserve">Vanrenterghem Y, Ponticelli C, Morales JM, Abramowicz D, Baboolal K, Eklund B, et al. Prevalence and management of anemia in renal transplant recipients: a European survey. Am J Transplant Off J Am Soc Transplant Am Soc Transpl Surg. 2003 Jul;3(7):835–45. </w:t>
      </w:r>
    </w:p>
    <w:p w14:paraId="629F23D2" w14:textId="77777777" w:rsidR="002D20B5" w:rsidRDefault="002D20B5" w:rsidP="002D20B5">
      <w:pPr>
        <w:pStyle w:val="Bibliography"/>
      </w:pPr>
      <w:r>
        <w:t xml:space="preserve">391. </w:t>
      </w:r>
      <w:r>
        <w:tab/>
        <w:t xml:space="preserve">Stoumpos S, Jardine AG, Mark PB. Cardiovascular morbidity and mortality after kidney transplantation. Transpl Int. 2015;28(1):10–21. </w:t>
      </w:r>
    </w:p>
    <w:p w14:paraId="0E2E260E" w14:textId="77777777" w:rsidR="002D20B5" w:rsidRDefault="002D20B5" w:rsidP="002D20B5">
      <w:pPr>
        <w:pStyle w:val="Bibliography"/>
      </w:pPr>
      <w:r>
        <w:t xml:space="preserve">392. </w:t>
      </w:r>
      <w:r>
        <w:tab/>
        <w:t xml:space="preserve">Okumi M, Okabe Y, Unagami K, Kakuta Y, Iizuka J, Takagi T, et al. The interaction between post-transplant anemia and allograft function in kidney transplantation: The Japan Academic Consortium of Kidney Transplantation-II study. Clin Exp Nephrol. 2019 Aug;23(8):1066–75. </w:t>
      </w:r>
    </w:p>
    <w:p w14:paraId="1B7696BE" w14:textId="77777777" w:rsidR="002D20B5" w:rsidRDefault="002D20B5" w:rsidP="002D20B5">
      <w:pPr>
        <w:pStyle w:val="Bibliography"/>
      </w:pPr>
      <w:r>
        <w:t xml:space="preserve">393. </w:t>
      </w:r>
      <w:r>
        <w:tab/>
        <w:t xml:space="preserve">Muirhead N, Cattran DC, Zaltzman J, Jindal K, First MR, Boucher A, et al. Safety and efficacy of recombinant human erythropoietin in correcting the anemia of patients with chronic renal allograft dysfunction. J Am Soc Nephrol JASN. 1994 Nov;5(5):1216–22. </w:t>
      </w:r>
    </w:p>
    <w:p w14:paraId="2F81BE95" w14:textId="77777777" w:rsidR="002D20B5" w:rsidRDefault="002D20B5" w:rsidP="002D20B5">
      <w:pPr>
        <w:pStyle w:val="Bibliography"/>
      </w:pPr>
      <w:r>
        <w:t xml:space="preserve">394. </w:t>
      </w:r>
      <w:r>
        <w:tab/>
        <w:t xml:space="preserve">Van Loo A, Vanholder R, Bernaert P, De Roose J, Lameire N. Recombinant human erythropoietin corrects anaemia during the first weeks after renal transplantation: a randomized prospective study. Nephrol Dial Transplant Off Publ Eur Dial Transpl Assoc - Eur Ren Assoc. 1996 Sep;11(9):1815–21. </w:t>
      </w:r>
    </w:p>
    <w:p w14:paraId="1F791F84" w14:textId="77777777" w:rsidR="002D20B5" w:rsidRDefault="002D20B5" w:rsidP="002D20B5">
      <w:pPr>
        <w:pStyle w:val="Bibliography"/>
      </w:pPr>
      <w:r>
        <w:t xml:space="preserve">395. </w:t>
      </w:r>
      <w:r>
        <w:tab/>
        <w:t xml:space="preserve">Van Biesen W, Vanholder R, Veys N, Verbeke F, Lameire N. Efficacy of erythropoietin administration in the treatment of anemia immediately after renal transplantation. Transplantation. 2005 Feb 15;79(3):367–8. </w:t>
      </w:r>
    </w:p>
    <w:p w14:paraId="04BAC613" w14:textId="77777777" w:rsidR="002D20B5" w:rsidRDefault="002D20B5" w:rsidP="002D20B5">
      <w:pPr>
        <w:pStyle w:val="Bibliography"/>
      </w:pPr>
      <w:r>
        <w:t xml:space="preserve">396. </w:t>
      </w:r>
      <w:r>
        <w:tab/>
        <w:t xml:space="preserve">Choukroun G, Kamar N, Dussol B, Etienne I, Cassuto-Viguier E, Toupance O, et al. Correction of postkidney transplant anemia reduces progression of allograft nephropathy. J Am Soc Nephrol JASN. 2012 Feb;23(2):360–8. </w:t>
      </w:r>
    </w:p>
    <w:p w14:paraId="0C4D8672" w14:textId="77777777" w:rsidR="002D20B5" w:rsidRDefault="002D20B5" w:rsidP="002D20B5">
      <w:pPr>
        <w:pStyle w:val="Bibliography"/>
      </w:pPr>
      <w:r>
        <w:t xml:space="preserve">397. </w:t>
      </w:r>
      <w:r>
        <w:tab/>
        <w:t xml:space="preserve">Pile T, Raftery M, Thuraisingham R, Kirwan CJ, Harwood S, Yaqoob MM. Treating Posttransplant Anemia With Erythropoietin Improves Quality of Life but Does Not Affect Progression of Chronic Kidney Disease. Exp Clin Transplant Off J Middle East Soc Organ Transplant. 2020 Feb;18(1):27–33. </w:t>
      </w:r>
    </w:p>
    <w:p w14:paraId="152B7817" w14:textId="77777777" w:rsidR="002D20B5" w:rsidRDefault="002D20B5" w:rsidP="002D20B5">
      <w:pPr>
        <w:pStyle w:val="Bibliography"/>
      </w:pPr>
      <w:r>
        <w:lastRenderedPageBreak/>
        <w:t xml:space="preserve">398. </w:t>
      </w:r>
      <w:r>
        <w:tab/>
        <w:t xml:space="preserve">Pfeffer MA, Burdmann EA, Chen CY, Cooper ME, de Zeeuw D, Eckardt KU, et al. A trial of darbepoetin alfa in type 2 diabetes and chronic kidney disease. N Engl J Med. 2009 Nov 19;361(21):2019–32. </w:t>
      </w:r>
    </w:p>
    <w:p w14:paraId="3FAAD86E" w14:textId="77777777" w:rsidR="002D20B5" w:rsidRDefault="002D20B5" w:rsidP="002D20B5">
      <w:pPr>
        <w:pStyle w:val="Bibliography"/>
      </w:pPr>
      <w:r>
        <w:t xml:space="preserve">399. </w:t>
      </w:r>
      <w:r>
        <w:tab/>
        <w:t xml:space="preserve">Li J, Ma K, Wang L, Qi H, Lv J, Rao Y, et al. Efficacy and safety of roxadustat in the treatment of renal allograft anemia patients: a case series. Ann Palliat Med. 2021 Nov;10(11):11859–67. </w:t>
      </w:r>
    </w:p>
    <w:p w14:paraId="183DD825" w14:textId="77777777" w:rsidR="002D20B5" w:rsidRDefault="002D20B5" w:rsidP="002D20B5">
      <w:pPr>
        <w:pStyle w:val="Bibliography"/>
      </w:pPr>
      <w:r>
        <w:t xml:space="preserve">400. </w:t>
      </w:r>
      <w:r>
        <w:tab/>
        <w:t xml:space="preserve">Li H, Hu SM, Li YM, Ciancio G, Tadros NN, Tao Y, et al. Beneficial effect of roxadustat on early posttransplant anemia and iron utilization in kidney transplant recipients: a retrospective comparative cohort study. Ann Transl Med. 2022 Dec;10(24):1360. </w:t>
      </w:r>
    </w:p>
    <w:p w14:paraId="1799B14D" w14:textId="77777777" w:rsidR="002D20B5" w:rsidRDefault="002D20B5" w:rsidP="002D20B5">
      <w:pPr>
        <w:pStyle w:val="Bibliography"/>
      </w:pPr>
      <w:r>
        <w:t xml:space="preserve">401. </w:t>
      </w:r>
      <w:r>
        <w:tab/>
        <w:t xml:space="preserve">Miki K, Nakamura Y, Yokoyama T, Kamiyama M, Ishii Y. Therapeutic Effect of Roxadustat on Patients With Posttransplant Anemia. Transplant Proc. 2022 Apr;54(3):671–7. </w:t>
      </w:r>
    </w:p>
    <w:p w14:paraId="7E3390BD" w14:textId="77777777" w:rsidR="002D20B5" w:rsidRDefault="002D20B5" w:rsidP="002D20B5">
      <w:pPr>
        <w:pStyle w:val="Bibliography"/>
      </w:pPr>
      <w:r>
        <w:t xml:space="preserve">402. </w:t>
      </w:r>
      <w:r>
        <w:tab/>
        <w:t xml:space="preserve">Naganuma T, Iwai T, Takemoto Y, Uchida J. Experience With the Use of a Novel Agent, Hypoxia-Inducible Factor Prolyl Hydroxylase Inhibitor, for Posttransplant Anemia in Renal Transplant Recipients: A Case Report. Transplant Proc. 2022 Mar;54(2):544–8. </w:t>
      </w:r>
    </w:p>
    <w:p w14:paraId="1B44A497" w14:textId="77777777" w:rsidR="002D20B5" w:rsidRDefault="002D20B5" w:rsidP="002D20B5">
      <w:pPr>
        <w:pStyle w:val="Bibliography"/>
      </w:pPr>
      <w:r>
        <w:t xml:space="preserve">403. </w:t>
      </w:r>
      <w:r>
        <w:tab/>
        <w:t xml:space="preserve">Ogata M, Miyauchi T, Sakurai Y, Murata M, Shinoda K, Shibagaki Y, et al. Hypoxia-inducible factor prolyl hydroxylase inhibitors in kidney transplant recipients. Clin Kidney J. 2022 May;15(5):1024–6. </w:t>
      </w:r>
    </w:p>
    <w:p w14:paraId="336AE722" w14:textId="77777777" w:rsidR="002D20B5" w:rsidRDefault="002D20B5" w:rsidP="002D20B5">
      <w:pPr>
        <w:pStyle w:val="Bibliography"/>
      </w:pPr>
      <w:r>
        <w:t xml:space="preserve">404. </w:t>
      </w:r>
      <w:r>
        <w:tab/>
        <w:t xml:space="preserve">Nakamura N, Aso S, Nakagawa C, Tachibana M, Fujikawa A, Tsubouchi K, et al. Efficacy and Safety of Hypoxia-Inducible Factor Prolyl Hydroxylase Inhibitor Therapy for Anemia in Renal Transplantation Patients by Prior Erythropoiesis Stimulating Agent Use. Transplant Proc. 2023 May;55(4):829–31. </w:t>
      </w:r>
    </w:p>
    <w:p w14:paraId="2731D89F" w14:textId="77777777" w:rsidR="002D20B5" w:rsidRDefault="002D20B5" w:rsidP="002D20B5">
      <w:pPr>
        <w:pStyle w:val="Bibliography"/>
      </w:pPr>
      <w:r>
        <w:t xml:space="preserve">405. </w:t>
      </w:r>
      <w:r>
        <w:tab/>
        <w:t xml:space="preserve">Bonomini M, Di Liberato L, Sirolli V. Treatment Options for Anemia in Kidney Transplant Patients: A Review. Kidney Med. 2023 Aug;5(8):100681. </w:t>
      </w:r>
    </w:p>
    <w:p w14:paraId="3E501A5D" w14:textId="77777777" w:rsidR="002D20B5" w:rsidRDefault="002D20B5" w:rsidP="002D20B5">
      <w:pPr>
        <w:pStyle w:val="Bibliography"/>
      </w:pPr>
      <w:r>
        <w:t xml:space="preserve">406. </w:t>
      </w:r>
      <w:r>
        <w:tab/>
        <w:t xml:space="preserve">Locatelli F, Del Vecchio L, Esposito C, Gesualdo L, Grandaliano G, Ravera M, et al. Consensus commentary and position of the Italian Society of Nephrology on KDIGO controversies conference on novel anemia therapies in chronic kidney disease. J Nephrol. 2024 Apr;37(3):753–67. </w:t>
      </w:r>
    </w:p>
    <w:p w14:paraId="22102A05" w14:textId="77777777" w:rsidR="002D20B5" w:rsidRDefault="002D20B5" w:rsidP="002D20B5">
      <w:pPr>
        <w:pStyle w:val="Bibliography"/>
      </w:pPr>
      <w:r>
        <w:t xml:space="preserve">407. </w:t>
      </w:r>
      <w:r>
        <w:tab/>
        <w:t xml:space="preserve">Inzucchi SE, Zinman B, Fitchett D, Wanner C, Ferrannini E, Schumacher M, et al. How Does Empagliflozin Reduce Cardiovascular Mortality? Insights From a Mediation Analysis of the EMPA-REG OUTCOME Trial. Diabetes Care. 2018 Feb;41(2):356–63. </w:t>
      </w:r>
    </w:p>
    <w:p w14:paraId="6128B930" w14:textId="77777777" w:rsidR="002D20B5" w:rsidRDefault="002D20B5" w:rsidP="002D20B5">
      <w:pPr>
        <w:pStyle w:val="Bibliography"/>
      </w:pPr>
      <w:r>
        <w:t xml:space="preserve">408. </w:t>
      </w:r>
      <w:r>
        <w:tab/>
        <w:t xml:space="preserve">Marathias KP, Lambadiari VA, Markakis KP, Vlahakos VD, Bacharaki D, Raptis AE, et al. Competing Effects of Renin Angiotensin System Blockade and Sodium-Glucose Cotransporter-2 Inhibitors on Erythropoietin Secretion in Diabetes. Am J Nephrol. 2020;51(5):349–56. </w:t>
      </w:r>
    </w:p>
    <w:p w14:paraId="72554931" w14:textId="77777777" w:rsidR="002D20B5" w:rsidRDefault="002D20B5" w:rsidP="002D20B5">
      <w:pPr>
        <w:pStyle w:val="Bibliography"/>
      </w:pPr>
      <w:r>
        <w:t xml:space="preserve">409. </w:t>
      </w:r>
      <w:r>
        <w:tab/>
        <w:t xml:space="preserve">Docherty KF, Curtain JP, Anand IS, Bengtsson O, Inzucchi SE, Køber L, et al. Effect of dapagliflozin on anaemia in DAPA-HF. Eur J Heart Fail. 2021 Apr;23(4):617–28. </w:t>
      </w:r>
    </w:p>
    <w:p w14:paraId="4CE5C613" w14:textId="77777777" w:rsidR="002D20B5" w:rsidRDefault="002D20B5" w:rsidP="002D20B5">
      <w:pPr>
        <w:pStyle w:val="Bibliography"/>
      </w:pPr>
      <w:r>
        <w:lastRenderedPageBreak/>
        <w:t xml:space="preserve">410. </w:t>
      </w:r>
      <w:r>
        <w:tab/>
        <w:t xml:space="preserve">Koshino A, Schechter M, Chertow GM, Vart P, Jongs N, Toto RD, et al. Dapagliflozin and Anemia in Patients with Chronic Kidney Disease. NEJM Evid. 2023 Jun;2(6):EVIDoa2300049. </w:t>
      </w:r>
    </w:p>
    <w:p w14:paraId="25ECA8B0" w14:textId="77777777" w:rsidR="002D20B5" w:rsidRDefault="002D20B5" w:rsidP="002D20B5">
      <w:pPr>
        <w:pStyle w:val="Bibliography"/>
      </w:pPr>
      <w:r>
        <w:t xml:space="preserve">411. </w:t>
      </w:r>
      <w:r>
        <w:tab/>
        <w:t xml:space="preserve">Hu JC, Shao SC, Tsai DHT, Chuang ATM, Liu KH, Lai ECC. Use of SGLT2 Inhibitors vs GLP-1 RAs and Anemia in Patients With Diabetes and CKD. JAMA Netw Open. 2024 Mar 4;7(3):e240946. </w:t>
      </w:r>
    </w:p>
    <w:p w14:paraId="03101CFE" w14:textId="77777777" w:rsidR="002D20B5" w:rsidRDefault="002D20B5" w:rsidP="002D20B5">
      <w:pPr>
        <w:pStyle w:val="Bibliography"/>
      </w:pPr>
      <w:r>
        <w:t xml:space="preserve">412. </w:t>
      </w:r>
      <w:r>
        <w:tab/>
        <w:t xml:space="preserve">Kanbay M, Demiray A, Afsar B, Karakus KE, Ortiz A, Hornum M, et al. Sodium-glucose cotransporter 2 inhibitors for diabetes mellitus control after kidney transplantation: Review of the current evidence. Nephrol Carlton Vic. 2021 Dec;26(12):1007–17. </w:t>
      </w:r>
    </w:p>
    <w:p w14:paraId="1C34E077" w14:textId="77777777" w:rsidR="002D20B5" w:rsidRDefault="002D20B5" w:rsidP="002D20B5">
      <w:pPr>
        <w:pStyle w:val="Bibliography"/>
      </w:pPr>
      <w:r>
        <w:t xml:space="preserve">413. </w:t>
      </w:r>
      <w:r>
        <w:tab/>
        <w:t xml:space="preserve">Saha MT, Saha HHT, Niskanen LK, Salmela KT, Pasternack AI. Time course of serum prolactin and sex hormones following successful renal transplantation. Nephron. 2002;92(3):735–7. </w:t>
      </w:r>
    </w:p>
    <w:p w14:paraId="339404CF" w14:textId="77777777" w:rsidR="002D20B5" w:rsidRDefault="002D20B5" w:rsidP="002D20B5">
      <w:pPr>
        <w:pStyle w:val="Bibliography"/>
      </w:pPr>
      <w:r>
        <w:t xml:space="preserve">414. </w:t>
      </w:r>
      <w:r>
        <w:tab/>
        <w:t xml:space="preserve">McKay DB, Josephson MA. Pregnancy in recipients of solid organs--effects on mother and child. N Engl J Med. 2006 Mar 23;354(12):1281–93. </w:t>
      </w:r>
    </w:p>
    <w:p w14:paraId="50893FEE" w14:textId="77777777" w:rsidR="002D20B5" w:rsidRDefault="002D20B5" w:rsidP="002D20B5">
      <w:pPr>
        <w:pStyle w:val="Bibliography"/>
      </w:pPr>
      <w:r>
        <w:t xml:space="preserve">415. </w:t>
      </w:r>
      <w:r>
        <w:tab/>
        <w:t xml:space="preserve">Coscia LA, Constantinescu S, Moritz MJ, Frank AM, Ramirez CB, Maley WR, et al. Report from the National Transplantation Pregnancy Registry (NTPR): outcomes of pregnancy after transplantation. Clin Transpl. 2010;65–85. </w:t>
      </w:r>
    </w:p>
    <w:p w14:paraId="3C667949" w14:textId="77777777" w:rsidR="002D20B5" w:rsidRDefault="002D20B5" w:rsidP="002D20B5">
      <w:pPr>
        <w:pStyle w:val="Bibliography"/>
      </w:pPr>
      <w:r>
        <w:t xml:space="preserve">416. </w:t>
      </w:r>
      <w:r>
        <w:tab/>
        <w:t xml:space="preserve">Bramham K, Nelson-Piercy C, Gao H, Pierce M, Bush N, Spark P, et al. Pregnancy in renal transplant recipients: a UK national cohort study. Clin J Am Soc Nephrol CJASN. 2013 Feb;8(2):290–8. </w:t>
      </w:r>
    </w:p>
    <w:p w14:paraId="4247A79B" w14:textId="77777777" w:rsidR="002D20B5" w:rsidRDefault="002D20B5" w:rsidP="002D20B5">
      <w:pPr>
        <w:pStyle w:val="Bibliography"/>
      </w:pPr>
      <w:r>
        <w:t xml:space="preserve">417. </w:t>
      </w:r>
      <w:r>
        <w:tab/>
        <w:t xml:space="preserve">Bramham K. Pregnancy in Renal Transplant Recipients and Donors. Semin Nephrol. 2017 Jul;37(4):370–7. </w:t>
      </w:r>
    </w:p>
    <w:p w14:paraId="51F5C717" w14:textId="77777777" w:rsidR="002D20B5" w:rsidRDefault="002D20B5" w:rsidP="002D20B5">
      <w:pPr>
        <w:pStyle w:val="Bibliography"/>
      </w:pPr>
      <w:r>
        <w:t xml:space="preserve">418. </w:t>
      </w:r>
      <w:r>
        <w:tab/>
        <w:t xml:space="preserve">Wiles K, Chappell L, Clark K, Elman L, Hall M, Lightstone L, et al. Clinical practice guideline on pregnancy and renal disease. BMC Nephrol. 2019 Oct 31;20(1):401. </w:t>
      </w:r>
    </w:p>
    <w:p w14:paraId="5CE398C4" w14:textId="77777777" w:rsidR="002D20B5" w:rsidRDefault="002D20B5" w:rsidP="002D20B5">
      <w:pPr>
        <w:pStyle w:val="Bibliography"/>
      </w:pPr>
      <w:r>
        <w:t xml:space="preserve">419. </w:t>
      </w:r>
      <w:r>
        <w:tab/>
        <w:t xml:space="preserve">Boulay H, Mazaud-Guittot S, Supervielle J, Chemouny JM, Dardier V, Lacroix A, et al. Maternal, foetal and child consequences of immunosuppressive drugs during pregnancy in women with organ transplant: a review. Clin Kidney J. 2021 Aug;14(8):1871–8. </w:t>
      </w:r>
    </w:p>
    <w:p w14:paraId="2268881F" w14:textId="77777777" w:rsidR="002D20B5" w:rsidRDefault="002D20B5" w:rsidP="002D20B5">
      <w:pPr>
        <w:pStyle w:val="Bibliography"/>
      </w:pPr>
      <w:r>
        <w:t xml:space="preserve">420. </w:t>
      </w:r>
      <w:r>
        <w:tab/>
        <w:t xml:space="preserve">EBPG Expert Group on Renal Transplantation. European best practice guidelines for renal transplantation. Section IV: Long-term management of the transplant recipient. IV.10. Pregnancy in renal transplant recipients. Nephrol Dial Transplant Off Publ Eur Dial Transpl Assoc - Eur Ren Assoc. 2002;17 Suppl 4:50–5. </w:t>
      </w:r>
    </w:p>
    <w:p w14:paraId="1F3ADCD7" w14:textId="77777777" w:rsidR="002D20B5" w:rsidRDefault="002D20B5" w:rsidP="002D20B5">
      <w:pPr>
        <w:pStyle w:val="Bibliography"/>
      </w:pPr>
      <w:r>
        <w:t xml:space="preserve">421. </w:t>
      </w:r>
      <w:r>
        <w:tab/>
        <w:t xml:space="preserve">Cabiddu G, Spotti D, Gernone G, Santoro D, Moroni G, Gregorini G, et al. A best-practice position statement on pregnancy after kidney transplantation: focusing on the unsolved questions. The Kidney and Pregnancy Study Group of the Italian Society of Nephrology. J Nephrol. 2018 Oct;31(5):665–81. </w:t>
      </w:r>
    </w:p>
    <w:p w14:paraId="3036D3D6" w14:textId="77777777" w:rsidR="002D20B5" w:rsidRDefault="002D20B5" w:rsidP="002D20B5">
      <w:pPr>
        <w:pStyle w:val="Bibliography"/>
      </w:pPr>
      <w:r>
        <w:lastRenderedPageBreak/>
        <w:t xml:space="preserve">422. </w:t>
      </w:r>
      <w:r>
        <w:tab/>
        <w:t xml:space="preserve">EBPG Expert Group on Renal Transplantation. European best practice guidelines for renal transplantation. Section IV: Long-term management of the transplant recipient. IV.10. Pregnancy in renal transplant recipients. Nephrol Dial Transplant Off Publ Eur Dial Transpl Assoc - Eur Ren Assoc. 2002;17 Suppl 4:50–5. </w:t>
      </w:r>
    </w:p>
    <w:p w14:paraId="42698744" w14:textId="77777777" w:rsidR="002D20B5" w:rsidRDefault="002D20B5" w:rsidP="002D20B5">
      <w:pPr>
        <w:pStyle w:val="Bibliography"/>
      </w:pPr>
      <w:r>
        <w:t xml:space="preserve">423. </w:t>
      </w:r>
      <w:r>
        <w:tab/>
        <w:t xml:space="preserve">McKay DB, Josephson MA, Armenti VT, August P, Coscia LA, Davis CL, et al. Reproduction and transplantation: report on the AST Consensus Conference on Reproductive Issues and Transplantation. Am J Transplant Off J Am Soc Transplant Am Soc Transpl Surg. 2005 Jul;5(7):1592–9. </w:t>
      </w:r>
    </w:p>
    <w:p w14:paraId="65772354" w14:textId="77777777" w:rsidR="002D20B5" w:rsidRDefault="002D20B5" w:rsidP="002D20B5">
      <w:pPr>
        <w:pStyle w:val="Bibliography"/>
      </w:pPr>
      <w:r>
        <w:t xml:space="preserve">424. </w:t>
      </w:r>
      <w:r>
        <w:tab/>
        <w:t xml:space="preserve">Deshpande NA, Coscia LA, Gomez-Lobo V, Moritz MJ, Armenti VT. Pregnancy after solid organ transplantation: a guide for obstetric management. Rev Obstet Gynecol. 2013;6(3–4):116–25. </w:t>
      </w:r>
    </w:p>
    <w:p w14:paraId="26932F60" w14:textId="77777777" w:rsidR="002D20B5" w:rsidRDefault="002D20B5" w:rsidP="002D20B5">
      <w:pPr>
        <w:pStyle w:val="Bibliography"/>
      </w:pPr>
      <w:r>
        <w:t xml:space="preserve">425. </w:t>
      </w:r>
      <w:r>
        <w:tab/>
        <w:t xml:space="preserve">Wiles K, Chappell L, Clark K, Elman L, Hall M, Lightstone L, et al. Clinical practice guideline on pregnancy and renal disease. BMC Nephrol. 2019 Dec;20(1):401. </w:t>
      </w:r>
    </w:p>
    <w:p w14:paraId="778D31E4" w14:textId="77777777" w:rsidR="002D20B5" w:rsidRDefault="002D20B5" w:rsidP="002D20B5">
      <w:pPr>
        <w:pStyle w:val="Bibliography"/>
      </w:pPr>
      <w:r>
        <w:t xml:space="preserve">426. </w:t>
      </w:r>
      <w:r>
        <w:tab/>
        <w:t xml:space="preserve">Sifontis NM, Coscia LA, Constantinescu S, Lavelanet AF, Moritz MJ, Armenti VT. Pregnancy outcomes in solid organ transplant recipients with exposure to mycophenolate mofetil or sirolimus. Transplantation. 2006 Dec 27;82(12):1698–702. </w:t>
      </w:r>
    </w:p>
    <w:p w14:paraId="7EBFE49F" w14:textId="77777777" w:rsidR="002D20B5" w:rsidRDefault="002D20B5" w:rsidP="002D20B5">
      <w:pPr>
        <w:pStyle w:val="Bibliography"/>
      </w:pPr>
      <w:r>
        <w:t xml:space="preserve">427. </w:t>
      </w:r>
      <w:r>
        <w:tab/>
        <w:t xml:space="preserve">Sarkar M, Bramham K, Moritz MJ, Coscia L. Reproductive health in women following abdominal organ transplant. Am J Transplant Off J Am Soc Transplant Am Soc Transpl Surg. 2018 May;18(5):1068–76. </w:t>
      </w:r>
    </w:p>
    <w:p w14:paraId="22B29E13" w14:textId="77777777" w:rsidR="002D20B5" w:rsidRDefault="002D20B5" w:rsidP="002D20B5">
      <w:pPr>
        <w:pStyle w:val="Bibliography"/>
      </w:pPr>
      <w:r>
        <w:t xml:space="preserve">428. </w:t>
      </w:r>
      <w:r>
        <w:tab/>
        <w:t>Medicines and Healthcare products Regulatory Agency. Mycophenolate mofetil, mycophenolic acid: updated contraception advice for male patients [Internet]. [cited 2025 Oct 25]. Available from: https://www.gov.uk/drug-safety-update/mycophenolate-mofetil-mycophenolic-acid-updated-contraception-advice-for-male-patients</w:t>
      </w:r>
    </w:p>
    <w:p w14:paraId="3967118D" w14:textId="77777777" w:rsidR="002D20B5" w:rsidRDefault="002D20B5" w:rsidP="002D20B5">
      <w:pPr>
        <w:pStyle w:val="Bibliography"/>
      </w:pPr>
      <w:r>
        <w:t xml:space="preserve">429. </w:t>
      </w:r>
      <w:r>
        <w:tab/>
        <w:t xml:space="preserve">Armenti VT, Daller JA, Constantinescu S, Silva P, Radomski JS, Moritz MJ, et al. Report from the National Transplantation Pregnancy Registry: outcomes of pregnancy after transplantation. Clin Transpl. 2006;57–70. </w:t>
      </w:r>
    </w:p>
    <w:p w14:paraId="42190F1C" w14:textId="77777777" w:rsidR="002D20B5" w:rsidRDefault="002D20B5" w:rsidP="002D20B5">
      <w:pPr>
        <w:pStyle w:val="Bibliography"/>
      </w:pPr>
      <w:r>
        <w:t xml:space="preserve">430. </w:t>
      </w:r>
      <w:r>
        <w:tab/>
        <w:t xml:space="preserve">Paulen ME, Folger SG, Curtis KM, Jamieson DJ. Contraceptive use among solid organ transplant patients: a systematic review. Contraception. 2010 Jul;82(1):102–12. </w:t>
      </w:r>
    </w:p>
    <w:p w14:paraId="56658A8C" w14:textId="77777777" w:rsidR="002D20B5" w:rsidRDefault="002D20B5" w:rsidP="002D20B5">
      <w:pPr>
        <w:pStyle w:val="Bibliography"/>
      </w:pPr>
      <w:r>
        <w:t xml:space="preserve">431. </w:t>
      </w:r>
      <w:r>
        <w:tab/>
        <w:t xml:space="preserve">Norrman E, Bergh C, Wennerholm UB. Pregnancy outcome and long-term follow-up after in vitro fertilization in women with renal transplantation. Hum Reprod Oxf Engl. 2015 Jan;30(1):205–13. </w:t>
      </w:r>
    </w:p>
    <w:p w14:paraId="108113D9" w14:textId="77777777" w:rsidR="002D20B5" w:rsidRDefault="002D20B5" w:rsidP="002D20B5">
      <w:pPr>
        <w:pStyle w:val="Bibliography"/>
      </w:pPr>
      <w:r>
        <w:t xml:space="preserve">432. </w:t>
      </w:r>
      <w:r>
        <w:tab/>
        <w:t xml:space="preserve">McLeroth P, Paduch DA, Abt M, Hughes R, Moore S, Mudie N. Effects of valganciclovir on spermatogenesis in renal transplant patients - results of a multicenter prospective nonrandomized study. Transpl Int Off J Eur Soc Organ Transplant. 2020 Mar;33(3):310–20. </w:t>
      </w:r>
    </w:p>
    <w:p w14:paraId="42E33064" w14:textId="77777777" w:rsidR="002D20B5" w:rsidRDefault="002D20B5" w:rsidP="002D20B5">
      <w:pPr>
        <w:pStyle w:val="Bibliography"/>
      </w:pPr>
      <w:r>
        <w:lastRenderedPageBreak/>
        <w:t xml:space="preserve">433. </w:t>
      </w:r>
      <w:r>
        <w:tab/>
        <w:t xml:space="preserve">Zheng S, Easterling TR, Umans JG, Miodovnik M, Calamia JC, Thummel KE, et al. Pharmacokinetics of tacrolimus during pregnancy. Ther Drug Monit. 2012 Dec;34(6):660–70. </w:t>
      </w:r>
    </w:p>
    <w:p w14:paraId="20C44DE3" w14:textId="77777777" w:rsidR="002D20B5" w:rsidRDefault="002D20B5" w:rsidP="002D20B5">
      <w:pPr>
        <w:pStyle w:val="Bibliography"/>
      </w:pPr>
      <w:r>
        <w:t xml:space="preserve">434. </w:t>
      </w:r>
      <w:r>
        <w:tab/>
        <w:t xml:space="preserve">Hebert MF, Zheng S, Hays K, Shen DD, Davis CL, Umans JG, et al. Interpreting tacrolimus concentrations during pregnancy and postpartum. Transplantation. 2013 Apr 15;95(7):908–15. </w:t>
      </w:r>
    </w:p>
    <w:p w14:paraId="25ECC3F9" w14:textId="77777777" w:rsidR="002D20B5" w:rsidRDefault="002D20B5" w:rsidP="002D20B5">
      <w:pPr>
        <w:pStyle w:val="Bibliography"/>
      </w:pPr>
      <w:r>
        <w:t xml:space="preserve">435. </w:t>
      </w:r>
      <w:r>
        <w:tab/>
        <w:t xml:space="preserve">Drugs and Lactation Database (LactMed®). National Institute of Child Health and Human Development; 2006. </w:t>
      </w:r>
    </w:p>
    <w:p w14:paraId="0726FE61" w14:textId="77777777" w:rsidR="002D20B5" w:rsidRDefault="002D20B5" w:rsidP="002D20B5">
      <w:pPr>
        <w:pStyle w:val="Bibliography"/>
      </w:pPr>
      <w:r>
        <w:t xml:space="preserve">436. </w:t>
      </w:r>
      <w:r>
        <w:tab/>
        <w:t xml:space="preserve">Russell MD, Dey M, Flint J, Davie P, Allen A, Crossley A, et al. British Society for Rheumatology guideline on prescribing drugs in pregnancy and breastfeeding: immunomodulatory anti-rheumatic drugs and corticosteroids. Rheumatol Oxf Engl. 2023 Apr 3;62(4):e48–88. </w:t>
      </w:r>
    </w:p>
    <w:p w14:paraId="7DF97752" w14:textId="77777777" w:rsidR="002D20B5" w:rsidRDefault="002D20B5" w:rsidP="002D20B5">
      <w:pPr>
        <w:pStyle w:val="Bibliography"/>
      </w:pPr>
      <w:r>
        <w:t xml:space="preserve">437. </w:t>
      </w:r>
      <w:r>
        <w:tab/>
        <w:t xml:space="preserve">Krutsch K, Burkham J, Datta P, Hale TW. Transfer of mycophenolic acid into human milk. J Nephrol. 2023 Jul;36(6):1715–7. </w:t>
      </w:r>
    </w:p>
    <w:p w14:paraId="66638BCF" w14:textId="77777777" w:rsidR="002D20B5" w:rsidRDefault="002D20B5" w:rsidP="002D20B5">
      <w:pPr>
        <w:pStyle w:val="Bibliography"/>
      </w:pPr>
      <w:r>
        <w:t xml:space="preserve">438. </w:t>
      </w:r>
      <w:r>
        <w:tab/>
        <w:t xml:space="preserve">Chandra A, Midtvedt K, Åsberg A, Eide IA. Immunosuppression and Reproductive Health After Kidney Transplantation. Transplantation. 2019 Nov;103(11):e325–33. </w:t>
      </w:r>
    </w:p>
    <w:p w14:paraId="13F76A54" w14:textId="77777777" w:rsidR="002D20B5" w:rsidRDefault="002D20B5" w:rsidP="002D20B5">
      <w:pPr>
        <w:pStyle w:val="Bibliography"/>
      </w:pPr>
      <w:r>
        <w:t xml:space="preserve">439. </w:t>
      </w:r>
      <w:r>
        <w:tab/>
        <w:t xml:space="preserve">Coscia L, Cohen D, Dube GK, Hofmann RM, Moritz MJ, Gattis S, et al. Outcomes With Belatacept Exposure During Pregnancy in Kidney Transplant Recipients: A Case Series. Transplantation. 2023 Sep 1;107(9):2047–54. </w:t>
      </w:r>
    </w:p>
    <w:p w14:paraId="15B6E219" w14:textId="77777777" w:rsidR="002D20B5" w:rsidRDefault="002D20B5" w:rsidP="002D20B5">
      <w:pPr>
        <w:pStyle w:val="Bibliography"/>
      </w:pPr>
      <w:r>
        <w:t xml:space="preserve">440. </w:t>
      </w:r>
      <w:r>
        <w:tab/>
        <w:t xml:space="preserve">Constantinescu S, Pai A, Coscia LA, Davison JM, Moritz MJ, Armenti VT. Breast-feeding after transplantation. Best Pract Res Clin Obstet Gynaecol. 2014 Nov;28(8):1163–73. </w:t>
      </w:r>
    </w:p>
    <w:p w14:paraId="240C9ACC" w14:textId="77777777" w:rsidR="002D20B5" w:rsidRDefault="002D20B5" w:rsidP="002D20B5">
      <w:pPr>
        <w:pStyle w:val="Bibliography"/>
      </w:pPr>
      <w:r>
        <w:t xml:space="preserve">441. </w:t>
      </w:r>
      <w:r>
        <w:tab/>
        <w:t xml:space="preserve">Colla L, Diena D, Rossetti M, Manzione AM, Marozio L, Benedetto C, et al. Immunosuppression in pregnant women with renal disease: review of the latest evidence in the biologics era. J Nephrol. 2018 Jun;31(3):361–83. </w:t>
      </w:r>
    </w:p>
    <w:p w14:paraId="129B430D" w14:textId="77777777" w:rsidR="002D20B5" w:rsidRDefault="002D20B5" w:rsidP="002D20B5">
      <w:pPr>
        <w:pStyle w:val="Bibliography"/>
      </w:pPr>
      <w:r>
        <w:t xml:space="preserve">442. </w:t>
      </w:r>
      <w:r>
        <w:tab/>
        <w:t xml:space="preserve">Wiles KS, Nelson-Piercy C, Bramham K. Reproductive health and pregnancy in women with chronic kidney disease. Nat Rev Nephrol. 2018 Mar;14(3):165–84. </w:t>
      </w:r>
    </w:p>
    <w:p w14:paraId="69681360" w14:textId="77777777" w:rsidR="002D20B5" w:rsidRDefault="002D20B5" w:rsidP="002D20B5">
      <w:pPr>
        <w:pStyle w:val="Bibliography"/>
      </w:pPr>
      <w:r>
        <w:t xml:space="preserve">443. </w:t>
      </w:r>
      <w:r>
        <w:tab/>
        <w:t xml:space="preserve">Brynhildsen J. Combined hormonal contraceptives: prescribing patterns, compliance, and benefits versus risks. Ther Adv Drug Saf. 2014 Oct;5(5):201–13. </w:t>
      </w:r>
    </w:p>
    <w:p w14:paraId="58BC38EB" w14:textId="77777777" w:rsidR="002D20B5" w:rsidRDefault="002D20B5" w:rsidP="002D20B5">
      <w:pPr>
        <w:pStyle w:val="Bibliography"/>
      </w:pPr>
      <w:r>
        <w:t xml:space="preserve">444. </w:t>
      </w:r>
      <w:r>
        <w:tab/>
        <w:t xml:space="preserve">Trussell J. Contraceptive failure in the United States. Contraception. 2011 May;83(5):397–404. </w:t>
      </w:r>
    </w:p>
    <w:p w14:paraId="47E0708E" w14:textId="77777777" w:rsidR="002D20B5" w:rsidRDefault="002D20B5" w:rsidP="002D20B5">
      <w:pPr>
        <w:pStyle w:val="Bibliography"/>
      </w:pPr>
      <w:r>
        <w:t xml:space="preserve">445. </w:t>
      </w:r>
      <w:r>
        <w:tab/>
        <w:t xml:space="preserve">Bhaduri M, Gama RM, Copeland T, Balagamage A, Patel P, Warmington E, et al. Systematic review of pregnancy and renal outcomes for women with chronic kidney disease receiving assisted reproductive therapy. J Nephrol. 2022 Dec;35(9):2227–36. </w:t>
      </w:r>
    </w:p>
    <w:p w14:paraId="084AC19E" w14:textId="77777777" w:rsidR="002D20B5" w:rsidRDefault="002D20B5" w:rsidP="002D20B5">
      <w:pPr>
        <w:pStyle w:val="Bibliography"/>
      </w:pPr>
      <w:r>
        <w:t xml:space="preserve">446. </w:t>
      </w:r>
      <w:r>
        <w:tab/>
        <w:t xml:space="preserve">Attini R, Cabiddu G, Ciabatti F, Montersino B, Carosso AR, Gernone G, et al. Chronic kidney disease, female infertility, and medically assisted reproduction: a best practice </w:t>
      </w:r>
      <w:r>
        <w:lastRenderedPageBreak/>
        <w:t xml:space="preserve">position statement by the Kidney and Pregnancy Group of the Italian Society of Nephrology. J Nephrol. 2023 Jun;36(5):1239–55. </w:t>
      </w:r>
    </w:p>
    <w:p w14:paraId="36F28F8F" w14:textId="77777777" w:rsidR="002D20B5" w:rsidRDefault="002D20B5" w:rsidP="002D20B5">
      <w:pPr>
        <w:pStyle w:val="Bibliography"/>
      </w:pPr>
      <w:r>
        <w:t xml:space="preserve">447. </w:t>
      </w:r>
      <w:r>
        <w:tab/>
        <w:t xml:space="preserve">Nouri K, Bader Y, Helmy S, Ott J, Jirecek S, Tempfer CB. Live birth after in vitro fertilization and single embryo transfer in a kidney transplant patient: a case report and review of the literature. J Assist Reprod Genet. 2011 Apr;28(4):351–3. </w:t>
      </w:r>
    </w:p>
    <w:p w14:paraId="127A2D87" w14:textId="77777777" w:rsidR="002D20B5" w:rsidRDefault="002D20B5" w:rsidP="002D20B5">
      <w:pPr>
        <w:pStyle w:val="Bibliography"/>
      </w:pPr>
      <w:r>
        <w:t xml:space="preserve">448. </w:t>
      </w:r>
      <w:r>
        <w:tab/>
        <w:t xml:space="preserve">Bhaduri M, Gama RM, Copeland T, Balagamage A, Patel P, Warmington E, et al. Systematic review of pregnancy and renal outcomes for women with chronic kidney disease receiving assisted reproductive therapy. J Nephrol. 2022 Nov 18;35(9):2227–36. </w:t>
      </w:r>
    </w:p>
    <w:p w14:paraId="74315FF1" w14:textId="77777777" w:rsidR="002D20B5" w:rsidRDefault="002D20B5" w:rsidP="002D20B5">
      <w:pPr>
        <w:pStyle w:val="Bibliography"/>
      </w:pPr>
      <w:r>
        <w:t xml:space="preserve">449. </w:t>
      </w:r>
      <w:r>
        <w:tab/>
        <w:t xml:space="preserve">Nouri K, Bader Y, Helmy S, Ott J, Jirecek S, Tempfer CB. Live birth after in vitro fertilization and single embryo transfer in a kidney transplant patient: a case report and review of the literature. J Assist Reprod Genet. 2011 Apr;28(4):351–3. </w:t>
      </w:r>
    </w:p>
    <w:p w14:paraId="253AA0D4" w14:textId="77777777" w:rsidR="002D20B5" w:rsidRDefault="002D20B5" w:rsidP="002D20B5">
      <w:pPr>
        <w:pStyle w:val="Bibliography"/>
      </w:pPr>
      <w:r>
        <w:t xml:space="preserve">450. </w:t>
      </w:r>
      <w:r>
        <w:tab/>
        <w:t xml:space="preserve">Migali G, Tintillier M. Interaction between estradiol and tacrolimus in kidney-transplanted menopausal women. NDT Plus. 2008 Aug;1(4):277–8. </w:t>
      </w:r>
    </w:p>
    <w:p w14:paraId="512E76C0" w14:textId="6C487792" w:rsidR="00076320" w:rsidRPr="00045092" w:rsidRDefault="00076320" w:rsidP="00076320">
      <w:pPr>
        <w:pStyle w:val="ListParagraph"/>
        <w:spacing w:afterLines="200" w:after="480"/>
        <w:ind w:left="777" w:hanging="635"/>
        <w:rPr>
          <w:rFonts w:eastAsia="Arial Unicode MS" w:cstheme="minorHAnsi"/>
        </w:rPr>
      </w:pPr>
      <w:r w:rsidRPr="00045092">
        <w:rPr>
          <w:rFonts w:eastAsia="Arial Unicode MS" w:cstheme="minorHAnsi"/>
        </w:rPr>
        <w:fldChar w:fldCharType="end"/>
      </w:r>
    </w:p>
    <w:p w14:paraId="65854EDE" w14:textId="77777777" w:rsidR="00092802" w:rsidRDefault="00092802"/>
    <w:sectPr w:rsidR="00092802" w:rsidSect="00076320">
      <w:headerReference w:type="even" r:id="rId12"/>
      <w:headerReference w:type="default" r:id="rId13"/>
      <w:footerReference w:type="even" r:id="rId14"/>
      <w:footerReference w:type="default" r:id="rId15"/>
      <w:headerReference w:type="first" r:id="rId16"/>
      <w:footerReference w:type="first" r:id="rId17"/>
      <w:pgSz w:w="11906" w:h="16838"/>
      <w:pgMar w:top="1673"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66294" w14:textId="77777777" w:rsidR="003269AF" w:rsidRDefault="003269AF">
      <w:pPr>
        <w:spacing w:after="0" w:line="240" w:lineRule="auto"/>
      </w:pPr>
      <w:r>
        <w:separator/>
      </w:r>
    </w:p>
  </w:endnote>
  <w:endnote w:type="continuationSeparator" w:id="0">
    <w:p w14:paraId="76242DB5" w14:textId="77777777" w:rsidR="003269AF" w:rsidRDefault="00326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sby CF">
    <w:altName w:val="Calibri"/>
    <w:panose1 w:val="00000500000000000000"/>
    <w:charset w:val="00"/>
    <w:family w:val="modern"/>
    <w:notTrueType/>
    <w:pitch w:val="variable"/>
    <w:sig w:usb0="00000207" w:usb1="00000000" w:usb2="00000000" w:usb3="00000000" w:csb0="000000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isby Round CF">
    <w:altName w:val="Calibri"/>
    <w:panose1 w:val="020F0000000000000000"/>
    <w:charset w:val="00"/>
    <w:family w:val="swiss"/>
    <w:pitch w:val="variable"/>
    <w:sig w:usb0="00000207" w:usb1="00000000" w:usb2="00000000" w:usb3="00000000" w:csb0="00000097"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skerville BE Regular">
    <w:altName w:val="Baskerville Old Face"/>
    <w:panose1 w:val="00000000000000000000"/>
    <w:charset w:val="00"/>
    <w:family w:val="roman"/>
    <w:notTrueType/>
    <w:pitch w:val="default"/>
    <w:sig w:usb0="00000003" w:usb1="00000000" w:usb2="00000000" w:usb3="00000000" w:csb0="00000001" w:csb1="00000000"/>
  </w:font>
  <w:font w:name="Meta Normal LF">
    <w:altName w:val="Cambria"/>
    <w:panose1 w:val="00000000000000000000"/>
    <w:charset w:val="00"/>
    <w:family w:val="roman"/>
    <w:notTrueType/>
    <w:pitch w:val="default"/>
    <w:sig w:usb0="00000003" w:usb1="00000000" w:usb2="00000000" w:usb3="00000000" w:csb0="00000001" w:csb1="00000000"/>
  </w:font>
  <w:font w:name="MetaHeadlineO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roman"/>
    <w:pitch w:val="variable"/>
    <w:sig w:usb0="00000003" w:usb1="00000000" w:usb2="00000000" w:usb3="00000000" w:csb0="00000001" w:csb1="00000000"/>
  </w:font>
  <w:font w:name="Gill Handbook Bold">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roman"/>
    <w:notTrueType/>
    <w:pitch w:val="default"/>
  </w:font>
  <w:font w:name="Times New Roman,Bold">
    <w:altName w:val="ＭＳ 明朝"/>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ECB4" w14:textId="77777777" w:rsidR="00443CEC" w:rsidRDefault="00443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65A1" w14:textId="0081032F" w:rsidR="00076320" w:rsidRPr="00F77D56" w:rsidRDefault="00B91D68" w:rsidP="00F77D56">
    <w:pPr>
      <w:pStyle w:val="Footer"/>
      <w:rPr>
        <w:bCs/>
        <w:color w:val="0E2841" w:themeColor="text2"/>
        <w:sz w:val="18"/>
        <w:szCs w:val="18"/>
      </w:rPr>
    </w:pPr>
    <w:r w:rsidRPr="00B91D68">
      <w:rPr>
        <w:bCs/>
        <w:color w:val="0E2841" w:themeColor="text2"/>
        <w:sz w:val="18"/>
        <w:szCs w:val="18"/>
      </w:rPr>
      <w:t>Guideline on long-term management of recipients after kidney transplantation</w:t>
    </w:r>
    <w:r>
      <w:rPr>
        <w:bCs/>
        <w:color w:val="0E2841" w:themeColor="text2"/>
        <w:sz w:val="18"/>
        <w:szCs w:val="18"/>
      </w:rPr>
      <w:t xml:space="preserve">                                                                                                </w:t>
    </w:r>
    <w:r w:rsidR="00076320" w:rsidRPr="00EC6EFD">
      <w:rPr>
        <w:bCs/>
        <w:color w:val="0E2841" w:themeColor="text2"/>
        <w:sz w:val="18"/>
        <w:szCs w:val="18"/>
      </w:rPr>
      <w:fldChar w:fldCharType="begin"/>
    </w:r>
    <w:r w:rsidR="00076320" w:rsidRPr="00EC6EFD">
      <w:rPr>
        <w:bCs/>
        <w:color w:val="0E2841" w:themeColor="text2"/>
        <w:sz w:val="18"/>
        <w:szCs w:val="18"/>
      </w:rPr>
      <w:instrText xml:space="preserve"> PAGE   \* MERGEFORMAT </w:instrText>
    </w:r>
    <w:r w:rsidR="00076320" w:rsidRPr="00EC6EFD">
      <w:rPr>
        <w:bCs/>
        <w:color w:val="0E2841" w:themeColor="text2"/>
        <w:sz w:val="18"/>
        <w:szCs w:val="18"/>
      </w:rPr>
      <w:fldChar w:fldCharType="separate"/>
    </w:r>
    <w:r w:rsidR="00076320">
      <w:rPr>
        <w:bCs/>
        <w:noProof/>
        <w:color w:val="0E2841" w:themeColor="text2"/>
        <w:sz w:val="18"/>
        <w:szCs w:val="18"/>
      </w:rPr>
      <w:t>6</w:t>
    </w:r>
    <w:r w:rsidR="00076320" w:rsidRPr="00EC6EFD">
      <w:rPr>
        <w:bCs/>
        <w:noProof/>
        <w:color w:val="0E2841" w:themeColor="text2"/>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CEB9" w14:textId="77777777" w:rsidR="00443CEC" w:rsidRDefault="00443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FD78D" w14:textId="77777777" w:rsidR="003269AF" w:rsidRDefault="003269AF">
      <w:pPr>
        <w:spacing w:after="0" w:line="240" w:lineRule="auto"/>
      </w:pPr>
      <w:r>
        <w:separator/>
      </w:r>
    </w:p>
  </w:footnote>
  <w:footnote w:type="continuationSeparator" w:id="0">
    <w:p w14:paraId="30F68E93" w14:textId="77777777" w:rsidR="003269AF" w:rsidRDefault="00326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F6FE" w14:textId="77777777" w:rsidR="00443CEC" w:rsidRDefault="00443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1DBA" w14:textId="77777777" w:rsidR="00076320" w:rsidRDefault="00076320" w:rsidP="00F77D56">
    <w:pPr>
      <w:pStyle w:val="Header"/>
      <w:jc w:val="right"/>
    </w:pPr>
    <w:r>
      <w:rPr>
        <w:noProof/>
        <w:lang w:eastAsia="en-GB"/>
      </w:rPr>
      <w:drawing>
        <wp:inline distT="0" distB="0" distL="0" distR="0" wp14:anchorId="09D085DB" wp14:editId="1FABD776">
          <wp:extent cx="1114425" cy="5211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KA Mai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3968" cy="520979"/>
                  </a:xfrm>
                  <a:prstGeom prst="rect">
                    <a:avLst/>
                  </a:prstGeom>
                </pic:spPr>
              </pic:pic>
            </a:graphicData>
          </a:graphic>
        </wp:inline>
      </w:drawing>
    </w:r>
  </w:p>
  <w:p w14:paraId="0EAD4C88" w14:textId="77777777" w:rsidR="00076320" w:rsidRDefault="00076320">
    <w:pPr>
      <w:pStyle w:val="Header"/>
    </w:pPr>
    <w:r>
      <w:rPr>
        <w:noProof/>
        <w:lang w:eastAsia="en-GB"/>
      </w:rPr>
      <mc:AlternateContent>
        <mc:Choice Requires="wps">
          <w:drawing>
            <wp:anchor distT="0" distB="0" distL="114300" distR="114300" simplePos="0" relativeHeight="251657216" behindDoc="0" locked="0" layoutInCell="1" allowOverlap="1" wp14:anchorId="1E75867D" wp14:editId="1DB51ADE">
              <wp:simplePos x="0" y="0"/>
              <wp:positionH relativeFrom="margin">
                <wp:align>left</wp:align>
              </wp:positionH>
              <wp:positionV relativeFrom="paragraph">
                <wp:posOffset>92075</wp:posOffset>
              </wp:positionV>
              <wp:extent cx="6115050" cy="0"/>
              <wp:effectExtent l="0" t="0" r="0" b="0"/>
              <wp:wrapNone/>
              <wp:docPr id="332" name="Straight Connector 332"/>
              <wp:cNvGraphicFramePr/>
              <a:graphic xmlns:a="http://schemas.openxmlformats.org/drawingml/2006/main">
                <a:graphicData uri="http://schemas.microsoft.com/office/word/2010/wordprocessingShape">
                  <wps:wsp>
                    <wps:cNvCnPr/>
                    <wps:spPr>
                      <a:xfrm>
                        <a:off x="0" y="0"/>
                        <a:ext cx="6115050" cy="0"/>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466D1ED5">
            <v:line id="Straight Connector 332" style="position:absolute;z-index:251658240;visibility:visible;mso-wrap-style:square;mso-wrap-distance-left:9pt;mso-wrap-distance-top:0;mso-wrap-distance-right:9pt;mso-wrap-distance-bottom:0;mso-position-horizontal:left;mso-position-horizontal-relative:margin;mso-position-vertical:absolute;mso-position-vertical-relative:text" o:spid="_x0000_s1026" strokecolor="#0f4761 [2404]" from="0,7.25pt" to="481.5pt,7.25pt" w14:anchorId="01776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">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426744"/>
      <w:docPartObj>
        <w:docPartGallery w:val="Watermarks"/>
        <w:docPartUnique/>
      </w:docPartObj>
    </w:sdtPr>
    <w:sdtEndPr/>
    <w:sdtContent>
      <w:p w14:paraId="6A7226F7" w14:textId="356A64B5" w:rsidR="00443CEC" w:rsidRDefault="00583AE0">
        <w:pPr>
          <w:pStyle w:val="Header"/>
        </w:pPr>
        <w:r>
          <w:rPr>
            <w:noProof/>
          </w:rPr>
          <w:pict w14:anchorId="60E34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EAA"/>
    <w:multiLevelType w:val="hybridMultilevel"/>
    <w:tmpl w:val="B4B2B4C2"/>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06C30"/>
    <w:multiLevelType w:val="hybridMultilevel"/>
    <w:tmpl w:val="92F6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8694D"/>
    <w:multiLevelType w:val="hybridMultilevel"/>
    <w:tmpl w:val="AFD29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F006B4"/>
    <w:multiLevelType w:val="hybridMultilevel"/>
    <w:tmpl w:val="5864575C"/>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AF7D7F"/>
    <w:multiLevelType w:val="hybridMultilevel"/>
    <w:tmpl w:val="07686E64"/>
    <w:lvl w:ilvl="0" w:tplc="FFFFFFFF">
      <w:start w:val="1"/>
      <w:numFmt w:val="decimal"/>
      <w:lvlText w:val="%1."/>
      <w:lvlJc w:val="left"/>
      <w:pPr>
        <w:ind w:left="720" w:hanging="360"/>
      </w:pPr>
      <w:rPr>
        <w:rFonts w:ascii="Visby CF" w:eastAsiaTheme="minorHAnsi" w:hAnsi="Visby CF"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3A3DCC"/>
    <w:multiLevelType w:val="hybridMultilevel"/>
    <w:tmpl w:val="35C42BC8"/>
    <w:lvl w:ilvl="0" w:tplc="1396B3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B2528E7"/>
    <w:multiLevelType w:val="hybridMultilevel"/>
    <w:tmpl w:val="3D8EF004"/>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A8695F"/>
    <w:multiLevelType w:val="hybridMultilevel"/>
    <w:tmpl w:val="675E0C1A"/>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04335C"/>
    <w:multiLevelType w:val="hybridMultilevel"/>
    <w:tmpl w:val="7648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007A33"/>
    <w:multiLevelType w:val="hybridMultilevel"/>
    <w:tmpl w:val="6F0C9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6A109F"/>
    <w:multiLevelType w:val="hybridMultilevel"/>
    <w:tmpl w:val="CE4E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3A0A05"/>
    <w:multiLevelType w:val="hybridMultilevel"/>
    <w:tmpl w:val="45B0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A5C75"/>
    <w:multiLevelType w:val="hybridMultilevel"/>
    <w:tmpl w:val="8942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D793E"/>
    <w:multiLevelType w:val="hybridMultilevel"/>
    <w:tmpl w:val="0FAC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294C77"/>
    <w:multiLevelType w:val="hybridMultilevel"/>
    <w:tmpl w:val="7D5C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9B6124"/>
    <w:multiLevelType w:val="hybridMultilevel"/>
    <w:tmpl w:val="EE2E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0463D5"/>
    <w:multiLevelType w:val="hybridMultilevel"/>
    <w:tmpl w:val="D8302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8E6606"/>
    <w:multiLevelType w:val="hybridMultilevel"/>
    <w:tmpl w:val="5864575C"/>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BC5A7C"/>
    <w:multiLevelType w:val="hybridMultilevel"/>
    <w:tmpl w:val="938C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074799"/>
    <w:multiLevelType w:val="hybridMultilevel"/>
    <w:tmpl w:val="0D049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012B7F"/>
    <w:multiLevelType w:val="hybridMultilevel"/>
    <w:tmpl w:val="C270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774B86"/>
    <w:multiLevelType w:val="hybridMultilevel"/>
    <w:tmpl w:val="54FCC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3C62028"/>
    <w:multiLevelType w:val="hybridMultilevel"/>
    <w:tmpl w:val="F60E1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2B2259"/>
    <w:multiLevelType w:val="hybridMultilevel"/>
    <w:tmpl w:val="E36A16B2"/>
    <w:lvl w:ilvl="0" w:tplc="45F4EF72">
      <w:start w:val="1"/>
      <w:numFmt w:val="decimal"/>
      <w:lvlText w:val="%1."/>
      <w:lvlJc w:val="left"/>
      <w:pPr>
        <w:ind w:left="360" w:hanging="360"/>
      </w:pPr>
      <w:rPr>
        <w:rFonts w:ascii="Segoe UI" w:hAnsi="Segoe UI" w:cs="Segoe UI" w:hint="default"/>
        <w:color w:val="212121"/>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272077F"/>
    <w:multiLevelType w:val="hybridMultilevel"/>
    <w:tmpl w:val="6E869AEA"/>
    <w:lvl w:ilvl="0" w:tplc="FFFFFFFF">
      <w:start w:val="1"/>
      <w:numFmt w:val="decimal"/>
      <w:lvlText w:val="%1."/>
      <w:lvlJc w:val="left"/>
      <w:pPr>
        <w:ind w:left="720" w:hanging="360"/>
      </w:pPr>
      <w:rPr>
        <w:rFonts w:ascii="Visby CF" w:eastAsiaTheme="minorHAnsi" w:hAnsi="Visby CF"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2AC1DE1"/>
    <w:multiLevelType w:val="hybridMultilevel"/>
    <w:tmpl w:val="FDAA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0F0372"/>
    <w:multiLevelType w:val="hybridMultilevel"/>
    <w:tmpl w:val="D7EC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AB6FEF"/>
    <w:multiLevelType w:val="hybridMultilevel"/>
    <w:tmpl w:val="191A475A"/>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196FC6"/>
    <w:multiLevelType w:val="hybridMultilevel"/>
    <w:tmpl w:val="82D8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207DCA"/>
    <w:multiLevelType w:val="hybridMultilevel"/>
    <w:tmpl w:val="DFAA0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B9710E"/>
    <w:multiLevelType w:val="hybridMultilevel"/>
    <w:tmpl w:val="07686E64"/>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9872A53"/>
    <w:multiLevelType w:val="hybridMultilevel"/>
    <w:tmpl w:val="09FA0E2C"/>
    <w:lvl w:ilvl="0" w:tplc="08090001">
      <w:numFmt w:val="decimal"/>
      <w:lvlText w:val=""/>
      <w:lvlJc w:val="left"/>
      <w:pPr>
        <w:ind w:left="720" w:hanging="360"/>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Wingdings"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Wingdings"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A187820"/>
    <w:multiLevelType w:val="hybridMultilevel"/>
    <w:tmpl w:val="5B402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A469FA"/>
    <w:multiLevelType w:val="hybridMultilevel"/>
    <w:tmpl w:val="5964AB7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E27C91"/>
    <w:multiLevelType w:val="hybridMultilevel"/>
    <w:tmpl w:val="1166F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572416"/>
    <w:multiLevelType w:val="hybridMultilevel"/>
    <w:tmpl w:val="1DD25548"/>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FEF668E"/>
    <w:multiLevelType w:val="hybridMultilevel"/>
    <w:tmpl w:val="6494120A"/>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0151A72"/>
    <w:multiLevelType w:val="hybridMultilevel"/>
    <w:tmpl w:val="5B3E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734CCA"/>
    <w:multiLevelType w:val="hybridMultilevel"/>
    <w:tmpl w:val="4830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227C00"/>
    <w:multiLevelType w:val="hybridMultilevel"/>
    <w:tmpl w:val="66AAFD6E"/>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2044761"/>
    <w:multiLevelType w:val="hybridMultilevel"/>
    <w:tmpl w:val="474EE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1672D9"/>
    <w:multiLevelType w:val="hybridMultilevel"/>
    <w:tmpl w:val="33BAF64C"/>
    <w:lvl w:ilvl="0" w:tplc="0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46E15816"/>
    <w:multiLevelType w:val="hybridMultilevel"/>
    <w:tmpl w:val="17D2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716C8B"/>
    <w:multiLevelType w:val="hybridMultilevel"/>
    <w:tmpl w:val="A552D962"/>
    <w:lvl w:ilvl="0" w:tplc="D13A291C">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4B38A0"/>
    <w:multiLevelType w:val="hybridMultilevel"/>
    <w:tmpl w:val="6E869AEA"/>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D5B6027"/>
    <w:multiLevelType w:val="hybridMultilevel"/>
    <w:tmpl w:val="FC7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410CC3"/>
    <w:multiLevelType w:val="hybridMultilevel"/>
    <w:tmpl w:val="8A7C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4D5E5B"/>
    <w:multiLevelType w:val="hybridMultilevel"/>
    <w:tmpl w:val="1750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AF0E89"/>
    <w:multiLevelType w:val="hybridMultilevel"/>
    <w:tmpl w:val="A7C83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5C737A"/>
    <w:multiLevelType w:val="hybridMultilevel"/>
    <w:tmpl w:val="D736BF1A"/>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7312D89"/>
    <w:multiLevelType w:val="hybridMultilevel"/>
    <w:tmpl w:val="46826592"/>
    <w:lvl w:ilvl="0" w:tplc="D13A291C">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423586"/>
    <w:multiLevelType w:val="hybridMultilevel"/>
    <w:tmpl w:val="1B9C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CB1EA3"/>
    <w:multiLevelType w:val="multilevel"/>
    <w:tmpl w:val="FE1E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CA61B0"/>
    <w:multiLevelType w:val="hybridMultilevel"/>
    <w:tmpl w:val="A1CA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C448A4"/>
    <w:multiLevelType w:val="hybridMultilevel"/>
    <w:tmpl w:val="051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DC2415"/>
    <w:multiLevelType w:val="hybridMultilevel"/>
    <w:tmpl w:val="ECB4697C"/>
    <w:lvl w:ilvl="0" w:tplc="D13A291C">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D4F56C8"/>
    <w:multiLevelType w:val="hybridMultilevel"/>
    <w:tmpl w:val="35B02B92"/>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F297716"/>
    <w:multiLevelType w:val="hybridMultilevel"/>
    <w:tmpl w:val="A724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D808AB"/>
    <w:multiLevelType w:val="hybridMultilevel"/>
    <w:tmpl w:val="4EFEEB5E"/>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10E10C9"/>
    <w:multiLevelType w:val="hybridMultilevel"/>
    <w:tmpl w:val="1EE2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E252F7"/>
    <w:multiLevelType w:val="hybridMultilevel"/>
    <w:tmpl w:val="1CAAFD86"/>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84C6933"/>
    <w:multiLevelType w:val="hybridMultilevel"/>
    <w:tmpl w:val="385E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B76720"/>
    <w:multiLevelType w:val="hybridMultilevel"/>
    <w:tmpl w:val="EC5641FE"/>
    <w:lvl w:ilvl="0" w:tplc="1396B3B8">
      <w:start w:val="1"/>
      <w:numFmt w:val="decimal"/>
      <w:lvlText w:val="%1."/>
      <w:lvlJc w:val="left"/>
      <w:pPr>
        <w:ind w:left="644" w:hanging="360"/>
      </w:pPr>
      <w:rPr>
        <w:rFonts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63" w15:restartNumberingAfterBreak="0">
    <w:nsid w:val="6BF20068"/>
    <w:multiLevelType w:val="hybridMultilevel"/>
    <w:tmpl w:val="6468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B470A2"/>
    <w:multiLevelType w:val="hybridMultilevel"/>
    <w:tmpl w:val="05C6C3E8"/>
    <w:lvl w:ilvl="0" w:tplc="235E2920">
      <w:start w:val="1"/>
      <w:numFmt w:val="decimal"/>
      <w:pStyle w:val="GuidelineHeading2"/>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F433510"/>
    <w:multiLevelType w:val="hybridMultilevel"/>
    <w:tmpl w:val="D720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00A07E6"/>
    <w:multiLevelType w:val="hybridMultilevel"/>
    <w:tmpl w:val="33D27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D1AFC"/>
    <w:multiLevelType w:val="hybridMultilevel"/>
    <w:tmpl w:val="C70E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FD7EB5"/>
    <w:multiLevelType w:val="hybridMultilevel"/>
    <w:tmpl w:val="5D8C2FCE"/>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6AF5C98"/>
    <w:multiLevelType w:val="hybridMultilevel"/>
    <w:tmpl w:val="1C26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DA614E"/>
    <w:multiLevelType w:val="hybridMultilevel"/>
    <w:tmpl w:val="951E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773C1855"/>
    <w:multiLevelType w:val="hybridMultilevel"/>
    <w:tmpl w:val="77F0B0EA"/>
    <w:lvl w:ilvl="0" w:tplc="FFFFFFFF">
      <w:start w:val="1"/>
      <w:numFmt w:val="decimal"/>
      <w:lvlText w:val="%1."/>
      <w:lvlJc w:val="left"/>
      <w:pPr>
        <w:ind w:left="720" w:hanging="360"/>
      </w:pPr>
      <w:rPr>
        <w:rFonts w:ascii="Visby CF" w:eastAsiaTheme="minorHAnsi" w:hAnsi="Visby CF"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7850078"/>
    <w:multiLevelType w:val="hybridMultilevel"/>
    <w:tmpl w:val="4BBAA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AB78F2"/>
    <w:multiLevelType w:val="hybridMultilevel"/>
    <w:tmpl w:val="54B86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1A0B0E"/>
    <w:multiLevelType w:val="hybridMultilevel"/>
    <w:tmpl w:val="951E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BA831D3"/>
    <w:multiLevelType w:val="hybridMultilevel"/>
    <w:tmpl w:val="4ED4B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10568D"/>
    <w:multiLevelType w:val="hybridMultilevel"/>
    <w:tmpl w:val="611C0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C447E5D"/>
    <w:multiLevelType w:val="hybridMultilevel"/>
    <w:tmpl w:val="26340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6456FE"/>
    <w:multiLevelType w:val="hybridMultilevel"/>
    <w:tmpl w:val="2D16F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7DDB0F8D"/>
    <w:multiLevelType w:val="hybridMultilevel"/>
    <w:tmpl w:val="35B02B92"/>
    <w:lvl w:ilvl="0" w:tplc="FFFFFFFF">
      <w:start w:val="1"/>
      <w:numFmt w:val="decimal"/>
      <w:lvlText w:val="%1."/>
      <w:lvlJc w:val="left"/>
      <w:pPr>
        <w:ind w:left="720" w:hanging="360"/>
      </w:pPr>
      <w:rPr>
        <w:rFonts w:ascii="Visby CF" w:eastAsiaTheme="minorHAnsi" w:hAnsi="Visby C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E281B13"/>
    <w:multiLevelType w:val="hybridMultilevel"/>
    <w:tmpl w:val="D6EE0D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F6D51C9"/>
    <w:multiLevelType w:val="hybridMultilevel"/>
    <w:tmpl w:val="B57A9FC0"/>
    <w:lvl w:ilvl="0" w:tplc="1396B3B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9686524">
    <w:abstractNumId w:val="28"/>
  </w:num>
  <w:num w:numId="2" w16cid:durableId="1059937422">
    <w:abstractNumId w:val="29"/>
  </w:num>
  <w:num w:numId="3" w16cid:durableId="570771272">
    <w:abstractNumId w:val="65"/>
  </w:num>
  <w:num w:numId="4" w16cid:durableId="1645500095">
    <w:abstractNumId w:val="76"/>
  </w:num>
  <w:num w:numId="5" w16cid:durableId="2035031520">
    <w:abstractNumId w:val="67"/>
  </w:num>
  <w:num w:numId="6" w16cid:durableId="1935825392">
    <w:abstractNumId w:val="64"/>
  </w:num>
  <w:num w:numId="7" w16cid:durableId="134183930">
    <w:abstractNumId w:val="69"/>
  </w:num>
  <w:num w:numId="8" w16cid:durableId="563612385">
    <w:abstractNumId w:val="13"/>
  </w:num>
  <w:num w:numId="9" w16cid:durableId="1491868959">
    <w:abstractNumId w:val="2"/>
  </w:num>
  <w:num w:numId="10" w16cid:durableId="1690060310">
    <w:abstractNumId w:val="21"/>
  </w:num>
  <w:num w:numId="11" w16cid:durableId="1956985958">
    <w:abstractNumId w:val="70"/>
  </w:num>
  <w:num w:numId="12" w16cid:durableId="2010137163">
    <w:abstractNumId w:val="31"/>
  </w:num>
  <w:num w:numId="13" w16cid:durableId="1518470018">
    <w:abstractNumId w:val="78"/>
  </w:num>
  <w:num w:numId="14" w16cid:durableId="15066276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0088638">
    <w:abstractNumId w:val="40"/>
  </w:num>
  <w:num w:numId="16" w16cid:durableId="2027512940">
    <w:abstractNumId w:val="46"/>
  </w:num>
  <w:num w:numId="17" w16cid:durableId="1621762995">
    <w:abstractNumId w:val="47"/>
  </w:num>
  <w:num w:numId="18" w16cid:durableId="714962497">
    <w:abstractNumId w:val="74"/>
  </w:num>
  <w:num w:numId="19" w16cid:durableId="1052582521">
    <w:abstractNumId w:val="25"/>
  </w:num>
  <w:num w:numId="20" w16cid:durableId="1305232137">
    <w:abstractNumId w:val="72"/>
  </w:num>
  <w:num w:numId="21" w16cid:durableId="1041175702">
    <w:abstractNumId w:val="75"/>
  </w:num>
  <w:num w:numId="22" w16cid:durableId="999623231">
    <w:abstractNumId w:val="34"/>
  </w:num>
  <w:num w:numId="23" w16cid:durableId="1768498329">
    <w:abstractNumId w:val="38"/>
  </w:num>
  <w:num w:numId="24" w16cid:durableId="530607019">
    <w:abstractNumId w:val="54"/>
  </w:num>
  <w:num w:numId="25" w16cid:durableId="2135361638">
    <w:abstractNumId w:val="63"/>
  </w:num>
  <w:num w:numId="26" w16cid:durableId="753432068">
    <w:abstractNumId w:val="42"/>
  </w:num>
  <w:num w:numId="27" w16cid:durableId="1906987668">
    <w:abstractNumId w:val="43"/>
  </w:num>
  <w:num w:numId="28" w16cid:durableId="1782066677">
    <w:abstractNumId w:val="55"/>
  </w:num>
  <w:num w:numId="29" w16cid:durableId="2115900889">
    <w:abstractNumId w:val="50"/>
  </w:num>
  <w:num w:numId="30" w16cid:durableId="781725415">
    <w:abstractNumId w:val="16"/>
  </w:num>
  <w:num w:numId="31" w16cid:durableId="70590401">
    <w:abstractNumId w:val="58"/>
  </w:num>
  <w:num w:numId="32" w16cid:durableId="361514862">
    <w:abstractNumId w:val="10"/>
  </w:num>
  <w:num w:numId="33" w16cid:durableId="1315528847">
    <w:abstractNumId w:val="6"/>
  </w:num>
  <w:num w:numId="34" w16cid:durableId="1929848825">
    <w:abstractNumId w:val="33"/>
  </w:num>
  <w:num w:numId="35" w16cid:durableId="486478496">
    <w:abstractNumId w:val="35"/>
  </w:num>
  <w:num w:numId="36" w16cid:durableId="1134955007">
    <w:abstractNumId w:val="68"/>
  </w:num>
  <w:num w:numId="37" w16cid:durableId="1660884875">
    <w:abstractNumId w:val="49"/>
  </w:num>
  <w:num w:numId="38" w16cid:durableId="1611936920">
    <w:abstractNumId w:val="80"/>
  </w:num>
  <w:num w:numId="39" w16cid:durableId="880169434">
    <w:abstractNumId w:val="60"/>
  </w:num>
  <w:num w:numId="40" w16cid:durableId="363480644">
    <w:abstractNumId w:val="61"/>
  </w:num>
  <w:num w:numId="41" w16cid:durableId="1015109307">
    <w:abstractNumId w:val="7"/>
  </w:num>
  <w:num w:numId="42" w16cid:durableId="819926079">
    <w:abstractNumId w:val="53"/>
  </w:num>
  <w:num w:numId="43" w16cid:durableId="223177623">
    <w:abstractNumId w:val="59"/>
  </w:num>
  <w:num w:numId="44" w16cid:durableId="1217625034">
    <w:abstractNumId w:val="79"/>
  </w:num>
  <w:num w:numId="45" w16cid:durableId="942495542">
    <w:abstractNumId w:val="77"/>
  </w:num>
  <w:num w:numId="46" w16cid:durableId="91711123">
    <w:abstractNumId w:val="48"/>
  </w:num>
  <w:num w:numId="47" w16cid:durableId="369385108">
    <w:abstractNumId w:val="18"/>
  </w:num>
  <w:num w:numId="48" w16cid:durableId="160976102">
    <w:abstractNumId w:val="56"/>
  </w:num>
  <w:num w:numId="49" w16cid:durableId="951404203">
    <w:abstractNumId w:val="45"/>
  </w:num>
  <w:num w:numId="50" w16cid:durableId="543712797">
    <w:abstractNumId w:val="32"/>
  </w:num>
  <w:num w:numId="51" w16cid:durableId="1318220308">
    <w:abstractNumId w:val="44"/>
  </w:num>
  <w:num w:numId="52" w16cid:durableId="172183592">
    <w:abstractNumId w:val="51"/>
  </w:num>
  <w:num w:numId="53" w16cid:durableId="2111854081">
    <w:abstractNumId w:val="26"/>
  </w:num>
  <w:num w:numId="54" w16cid:durableId="1225221726">
    <w:abstractNumId w:val="24"/>
  </w:num>
  <w:num w:numId="55" w16cid:durableId="732312873">
    <w:abstractNumId w:val="22"/>
  </w:num>
  <w:num w:numId="56" w16cid:durableId="355546668">
    <w:abstractNumId w:val="73"/>
  </w:num>
  <w:num w:numId="57" w16cid:durableId="195506326">
    <w:abstractNumId w:val="15"/>
  </w:num>
  <w:num w:numId="58" w16cid:durableId="1653826056">
    <w:abstractNumId w:val="12"/>
  </w:num>
  <w:num w:numId="59" w16cid:durableId="1619067904">
    <w:abstractNumId w:val="14"/>
  </w:num>
  <w:num w:numId="60" w16cid:durableId="1223367774">
    <w:abstractNumId w:val="3"/>
  </w:num>
  <w:num w:numId="61" w16cid:durableId="1589727131">
    <w:abstractNumId w:val="39"/>
  </w:num>
  <w:num w:numId="62" w16cid:durableId="1696154628">
    <w:abstractNumId w:val="27"/>
  </w:num>
  <w:num w:numId="63" w16cid:durableId="130483283">
    <w:abstractNumId w:val="8"/>
  </w:num>
  <w:num w:numId="64" w16cid:durableId="1250000471">
    <w:abstractNumId w:val="17"/>
  </w:num>
  <w:num w:numId="65" w16cid:durableId="417944668">
    <w:abstractNumId w:val="9"/>
  </w:num>
  <w:num w:numId="66" w16cid:durableId="1319266540">
    <w:abstractNumId w:val="0"/>
  </w:num>
  <w:num w:numId="67" w16cid:durableId="840780672">
    <w:abstractNumId w:val="19"/>
  </w:num>
  <w:num w:numId="68" w16cid:durableId="75787834">
    <w:abstractNumId w:val="1"/>
  </w:num>
  <w:num w:numId="69" w16cid:durableId="1666593386">
    <w:abstractNumId w:val="36"/>
  </w:num>
  <w:num w:numId="70" w16cid:durableId="1520243723">
    <w:abstractNumId w:val="11"/>
  </w:num>
  <w:num w:numId="71" w16cid:durableId="1730347600">
    <w:abstractNumId w:val="71"/>
  </w:num>
  <w:num w:numId="72" w16cid:durableId="341249884">
    <w:abstractNumId w:val="66"/>
  </w:num>
  <w:num w:numId="73" w16cid:durableId="1848474838">
    <w:abstractNumId w:val="57"/>
  </w:num>
  <w:num w:numId="74" w16cid:durableId="1432312501">
    <w:abstractNumId w:val="20"/>
  </w:num>
  <w:num w:numId="75" w16cid:durableId="1316715492">
    <w:abstractNumId w:val="30"/>
  </w:num>
  <w:num w:numId="76" w16cid:durableId="2005276004">
    <w:abstractNumId w:val="37"/>
  </w:num>
  <w:num w:numId="77" w16cid:durableId="1163273860">
    <w:abstractNumId w:val="4"/>
  </w:num>
  <w:num w:numId="78" w16cid:durableId="825129822">
    <w:abstractNumId w:val="41"/>
  </w:num>
  <w:num w:numId="79" w16cid:durableId="2083522463">
    <w:abstractNumId w:val="52"/>
  </w:num>
  <w:num w:numId="80" w16cid:durableId="844249101">
    <w:abstractNumId w:val="5"/>
  </w:num>
  <w:num w:numId="81" w16cid:durableId="1029716718">
    <w:abstractNumId w:val="81"/>
  </w:num>
  <w:num w:numId="82" w16cid:durableId="1373649562">
    <w:abstractNumId w:val="6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formsDesig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38"/>
    <w:rsid w:val="00002D7B"/>
    <w:rsid w:val="0001160D"/>
    <w:rsid w:val="000163EF"/>
    <w:rsid w:val="000315AF"/>
    <w:rsid w:val="00042C70"/>
    <w:rsid w:val="00052F01"/>
    <w:rsid w:val="00062008"/>
    <w:rsid w:val="00067A88"/>
    <w:rsid w:val="00076320"/>
    <w:rsid w:val="00077DC2"/>
    <w:rsid w:val="000841D1"/>
    <w:rsid w:val="00086216"/>
    <w:rsid w:val="00092802"/>
    <w:rsid w:val="000C7C34"/>
    <w:rsid w:val="000F12EF"/>
    <w:rsid w:val="001019BA"/>
    <w:rsid w:val="00102744"/>
    <w:rsid w:val="001114D3"/>
    <w:rsid w:val="001123CF"/>
    <w:rsid w:val="001161CA"/>
    <w:rsid w:val="00116BCC"/>
    <w:rsid w:val="00123497"/>
    <w:rsid w:val="00127B1A"/>
    <w:rsid w:val="00132F25"/>
    <w:rsid w:val="001450D4"/>
    <w:rsid w:val="00156C43"/>
    <w:rsid w:val="00161A86"/>
    <w:rsid w:val="00162471"/>
    <w:rsid w:val="00162A83"/>
    <w:rsid w:val="00164FBB"/>
    <w:rsid w:val="001829B4"/>
    <w:rsid w:val="00183412"/>
    <w:rsid w:val="0018373E"/>
    <w:rsid w:val="0018491F"/>
    <w:rsid w:val="00194333"/>
    <w:rsid w:val="00194875"/>
    <w:rsid w:val="001B5F60"/>
    <w:rsid w:val="001C0652"/>
    <w:rsid w:val="001C3131"/>
    <w:rsid w:val="001C479D"/>
    <w:rsid w:val="001D2FD7"/>
    <w:rsid w:val="001E26D3"/>
    <w:rsid w:val="001E6B47"/>
    <w:rsid w:val="001F1C24"/>
    <w:rsid w:val="002024D1"/>
    <w:rsid w:val="002119AF"/>
    <w:rsid w:val="00220169"/>
    <w:rsid w:val="00221A78"/>
    <w:rsid w:val="00231184"/>
    <w:rsid w:val="00234317"/>
    <w:rsid w:val="00267584"/>
    <w:rsid w:val="00273901"/>
    <w:rsid w:val="0027403B"/>
    <w:rsid w:val="002743C5"/>
    <w:rsid w:val="002763BE"/>
    <w:rsid w:val="0027754E"/>
    <w:rsid w:val="00283667"/>
    <w:rsid w:val="002A0EA0"/>
    <w:rsid w:val="002B10ED"/>
    <w:rsid w:val="002B3279"/>
    <w:rsid w:val="002C4007"/>
    <w:rsid w:val="002C7BA0"/>
    <w:rsid w:val="002D20B5"/>
    <w:rsid w:val="002E2638"/>
    <w:rsid w:val="002F4F3E"/>
    <w:rsid w:val="00303EB3"/>
    <w:rsid w:val="00306FF4"/>
    <w:rsid w:val="003269AF"/>
    <w:rsid w:val="0033256F"/>
    <w:rsid w:val="00333DC3"/>
    <w:rsid w:val="00334F3C"/>
    <w:rsid w:val="00337CD3"/>
    <w:rsid w:val="00345CBB"/>
    <w:rsid w:val="00354A05"/>
    <w:rsid w:val="00360570"/>
    <w:rsid w:val="003635AC"/>
    <w:rsid w:val="00373026"/>
    <w:rsid w:val="003805F7"/>
    <w:rsid w:val="00381DAC"/>
    <w:rsid w:val="00384784"/>
    <w:rsid w:val="00396937"/>
    <w:rsid w:val="00397EE4"/>
    <w:rsid w:val="003B1628"/>
    <w:rsid w:val="003B49C9"/>
    <w:rsid w:val="003D49EC"/>
    <w:rsid w:val="003D5384"/>
    <w:rsid w:val="003D754D"/>
    <w:rsid w:val="00402D6C"/>
    <w:rsid w:val="00413B0E"/>
    <w:rsid w:val="00416AEB"/>
    <w:rsid w:val="00421E18"/>
    <w:rsid w:val="00426BCE"/>
    <w:rsid w:val="004274EE"/>
    <w:rsid w:val="00441876"/>
    <w:rsid w:val="00443CEC"/>
    <w:rsid w:val="00445691"/>
    <w:rsid w:val="00452464"/>
    <w:rsid w:val="00453296"/>
    <w:rsid w:val="00453536"/>
    <w:rsid w:val="0045786B"/>
    <w:rsid w:val="004624B7"/>
    <w:rsid w:val="0047046B"/>
    <w:rsid w:val="00480A8E"/>
    <w:rsid w:val="004A7796"/>
    <w:rsid w:val="004B7D3E"/>
    <w:rsid w:val="004C0789"/>
    <w:rsid w:val="004C2D63"/>
    <w:rsid w:val="004C583C"/>
    <w:rsid w:val="004D31A7"/>
    <w:rsid w:val="004D550C"/>
    <w:rsid w:val="00511112"/>
    <w:rsid w:val="005130D1"/>
    <w:rsid w:val="005154E6"/>
    <w:rsid w:val="00515EBD"/>
    <w:rsid w:val="00516860"/>
    <w:rsid w:val="005175AC"/>
    <w:rsid w:val="00531436"/>
    <w:rsid w:val="00547E8B"/>
    <w:rsid w:val="0056100C"/>
    <w:rsid w:val="00563BD7"/>
    <w:rsid w:val="00567E1E"/>
    <w:rsid w:val="00571814"/>
    <w:rsid w:val="00581517"/>
    <w:rsid w:val="00583AE0"/>
    <w:rsid w:val="005873F5"/>
    <w:rsid w:val="00587685"/>
    <w:rsid w:val="00595B61"/>
    <w:rsid w:val="005965E5"/>
    <w:rsid w:val="005A1C71"/>
    <w:rsid w:val="005A6068"/>
    <w:rsid w:val="005A7ADA"/>
    <w:rsid w:val="005B77FD"/>
    <w:rsid w:val="005C153B"/>
    <w:rsid w:val="005C4B19"/>
    <w:rsid w:val="005C7693"/>
    <w:rsid w:val="005D46AD"/>
    <w:rsid w:val="005D559E"/>
    <w:rsid w:val="005F2A89"/>
    <w:rsid w:val="0061521D"/>
    <w:rsid w:val="00615B8A"/>
    <w:rsid w:val="00625900"/>
    <w:rsid w:val="00633A73"/>
    <w:rsid w:val="00637274"/>
    <w:rsid w:val="0065027C"/>
    <w:rsid w:val="006528EA"/>
    <w:rsid w:val="00656CB8"/>
    <w:rsid w:val="00656F35"/>
    <w:rsid w:val="00665A95"/>
    <w:rsid w:val="00666C6F"/>
    <w:rsid w:val="006711CD"/>
    <w:rsid w:val="006809BB"/>
    <w:rsid w:val="0068690C"/>
    <w:rsid w:val="006877A5"/>
    <w:rsid w:val="0069002B"/>
    <w:rsid w:val="00697F36"/>
    <w:rsid w:val="006A1C2C"/>
    <w:rsid w:val="006A361D"/>
    <w:rsid w:val="006B1B80"/>
    <w:rsid w:val="006C192A"/>
    <w:rsid w:val="006D2D8F"/>
    <w:rsid w:val="00704069"/>
    <w:rsid w:val="007102A4"/>
    <w:rsid w:val="00713E4C"/>
    <w:rsid w:val="007303E0"/>
    <w:rsid w:val="00751A9D"/>
    <w:rsid w:val="00752133"/>
    <w:rsid w:val="00757129"/>
    <w:rsid w:val="0076463C"/>
    <w:rsid w:val="00767E92"/>
    <w:rsid w:val="0077460F"/>
    <w:rsid w:val="007800BF"/>
    <w:rsid w:val="007A1F8F"/>
    <w:rsid w:val="007B4FBE"/>
    <w:rsid w:val="007B776F"/>
    <w:rsid w:val="007C79F4"/>
    <w:rsid w:val="007D061C"/>
    <w:rsid w:val="007E61D7"/>
    <w:rsid w:val="007F122F"/>
    <w:rsid w:val="007F2505"/>
    <w:rsid w:val="0080747C"/>
    <w:rsid w:val="00821234"/>
    <w:rsid w:val="00841808"/>
    <w:rsid w:val="0084308F"/>
    <w:rsid w:val="008441EE"/>
    <w:rsid w:val="00845497"/>
    <w:rsid w:val="00850EC8"/>
    <w:rsid w:val="008538B6"/>
    <w:rsid w:val="008546EC"/>
    <w:rsid w:val="008710DB"/>
    <w:rsid w:val="00872427"/>
    <w:rsid w:val="00872E3F"/>
    <w:rsid w:val="00877F80"/>
    <w:rsid w:val="00882F08"/>
    <w:rsid w:val="00885255"/>
    <w:rsid w:val="00896742"/>
    <w:rsid w:val="008A1D53"/>
    <w:rsid w:val="008A4DCE"/>
    <w:rsid w:val="008C0FAA"/>
    <w:rsid w:val="008C7816"/>
    <w:rsid w:val="008D22D3"/>
    <w:rsid w:val="008D325E"/>
    <w:rsid w:val="008D64B6"/>
    <w:rsid w:val="008E5D89"/>
    <w:rsid w:val="008F25A2"/>
    <w:rsid w:val="008F29DF"/>
    <w:rsid w:val="008F5CCC"/>
    <w:rsid w:val="0091722E"/>
    <w:rsid w:val="009225FA"/>
    <w:rsid w:val="00922DFE"/>
    <w:rsid w:val="0093016D"/>
    <w:rsid w:val="009314E9"/>
    <w:rsid w:val="00931A76"/>
    <w:rsid w:val="00932D5D"/>
    <w:rsid w:val="00932F47"/>
    <w:rsid w:val="009407FC"/>
    <w:rsid w:val="00940A2E"/>
    <w:rsid w:val="00952633"/>
    <w:rsid w:val="00961519"/>
    <w:rsid w:val="00962A8B"/>
    <w:rsid w:val="009817B9"/>
    <w:rsid w:val="009870FD"/>
    <w:rsid w:val="00990304"/>
    <w:rsid w:val="00994706"/>
    <w:rsid w:val="00994AE5"/>
    <w:rsid w:val="00997326"/>
    <w:rsid w:val="009B0CA8"/>
    <w:rsid w:val="009B3C78"/>
    <w:rsid w:val="009B7228"/>
    <w:rsid w:val="009C716C"/>
    <w:rsid w:val="009C7AA2"/>
    <w:rsid w:val="009D04E3"/>
    <w:rsid w:val="009D4BB2"/>
    <w:rsid w:val="009E1AFC"/>
    <w:rsid w:val="009E3AEF"/>
    <w:rsid w:val="009F12C7"/>
    <w:rsid w:val="009F2AC4"/>
    <w:rsid w:val="009F4B06"/>
    <w:rsid w:val="009F50DD"/>
    <w:rsid w:val="009F54FC"/>
    <w:rsid w:val="009F5881"/>
    <w:rsid w:val="009F6112"/>
    <w:rsid w:val="00A004BB"/>
    <w:rsid w:val="00A0249D"/>
    <w:rsid w:val="00A02C48"/>
    <w:rsid w:val="00A04B9C"/>
    <w:rsid w:val="00A10D1E"/>
    <w:rsid w:val="00A16D0A"/>
    <w:rsid w:val="00A324E2"/>
    <w:rsid w:val="00A4221A"/>
    <w:rsid w:val="00A45FAF"/>
    <w:rsid w:val="00A46410"/>
    <w:rsid w:val="00A520DC"/>
    <w:rsid w:val="00AA5E34"/>
    <w:rsid w:val="00AB5A06"/>
    <w:rsid w:val="00AC02A1"/>
    <w:rsid w:val="00AC2FBE"/>
    <w:rsid w:val="00AD4AB0"/>
    <w:rsid w:val="00AD5759"/>
    <w:rsid w:val="00AE3444"/>
    <w:rsid w:val="00AE466B"/>
    <w:rsid w:val="00AE778A"/>
    <w:rsid w:val="00AF5E8D"/>
    <w:rsid w:val="00AF5FCA"/>
    <w:rsid w:val="00AF6E72"/>
    <w:rsid w:val="00B01566"/>
    <w:rsid w:val="00B11000"/>
    <w:rsid w:val="00B27E39"/>
    <w:rsid w:val="00B3594B"/>
    <w:rsid w:val="00B361D6"/>
    <w:rsid w:val="00B445CA"/>
    <w:rsid w:val="00B547AB"/>
    <w:rsid w:val="00B554FE"/>
    <w:rsid w:val="00B5757D"/>
    <w:rsid w:val="00B6702E"/>
    <w:rsid w:val="00B7112B"/>
    <w:rsid w:val="00B87263"/>
    <w:rsid w:val="00B91D68"/>
    <w:rsid w:val="00BA07E5"/>
    <w:rsid w:val="00BA0850"/>
    <w:rsid w:val="00BB4BD8"/>
    <w:rsid w:val="00BB59C2"/>
    <w:rsid w:val="00BC38FE"/>
    <w:rsid w:val="00BC4364"/>
    <w:rsid w:val="00BE156A"/>
    <w:rsid w:val="00C04A7A"/>
    <w:rsid w:val="00C13C4F"/>
    <w:rsid w:val="00C2104E"/>
    <w:rsid w:val="00C21EF9"/>
    <w:rsid w:val="00C23BF1"/>
    <w:rsid w:val="00C30484"/>
    <w:rsid w:val="00C33E0D"/>
    <w:rsid w:val="00C36303"/>
    <w:rsid w:val="00C400F3"/>
    <w:rsid w:val="00C427C6"/>
    <w:rsid w:val="00C601DD"/>
    <w:rsid w:val="00C61175"/>
    <w:rsid w:val="00C63AB5"/>
    <w:rsid w:val="00C70533"/>
    <w:rsid w:val="00C83AC8"/>
    <w:rsid w:val="00C87E12"/>
    <w:rsid w:val="00C90B67"/>
    <w:rsid w:val="00CA62D6"/>
    <w:rsid w:val="00CB2D71"/>
    <w:rsid w:val="00CB43CE"/>
    <w:rsid w:val="00CC5BB5"/>
    <w:rsid w:val="00CD0790"/>
    <w:rsid w:val="00CD0C02"/>
    <w:rsid w:val="00CD306A"/>
    <w:rsid w:val="00CD3444"/>
    <w:rsid w:val="00CE2429"/>
    <w:rsid w:val="00D01099"/>
    <w:rsid w:val="00D010CD"/>
    <w:rsid w:val="00D03CA3"/>
    <w:rsid w:val="00D0414F"/>
    <w:rsid w:val="00D12EE6"/>
    <w:rsid w:val="00D20F1E"/>
    <w:rsid w:val="00D25970"/>
    <w:rsid w:val="00D32704"/>
    <w:rsid w:val="00D44273"/>
    <w:rsid w:val="00D45F7B"/>
    <w:rsid w:val="00D5345C"/>
    <w:rsid w:val="00D57BAA"/>
    <w:rsid w:val="00D63D16"/>
    <w:rsid w:val="00D665C1"/>
    <w:rsid w:val="00D724D7"/>
    <w:rsid w:val="00D7587B"/>
    <w:rsid w:val="00D76D28"/>
    <w:rsid w:val="00D8077C"/>
    <w:rsid w:val="00D91377"/>
    <w:rsid w:val="00DA4080"/>
    <w:rsid w:val="00DB4332"/>
    <w:rsid w:val="00DB4A1C"/>
    <w:rsid w:val="00DD04FE"/>
    <w:rsid w:val="00DD3F9D"/>
    <w:rsid w:val="00DE417C"/>
    <w:rsid w:val="00DE73E1"/>
    <w:rsid w:val="00DF478C"/>
    <w:rsid w:val="00E02E81"/>
    <w:rsid w:val="00E05632"/>
    <w:rsid w:val="00E1568B"/>
    <w:rsid w:val="00E166A4"/>
    <w:rsid w:val="00E25EB6"/>
    <w:rsid w:val="00E30815"/>
    <w:rsid w:val="00E40CE5"/>
    <w:rsid w:val="00E54C24"/>
    <w:rsid w:val="00E56355"/>
    <w:rsid w:val="00E6514A"/>
    <w:rsid w:val="00E71256"/>
    <w:rsid w:val="00E8502F"/>
    <w:rsid w:val="00E90F58"/>
    <w:rsid w:val="00E958B9"/>
    <w:rsid w:val="00E97B7E"/>
    <w:rsid w:val="00EA4269"/>
    <w:rsid w:val="00EB3546"/>
    <w:rsid w:val="00EB3BA8"/>
    <w:rsid w:val="00EC4250"/>
    <w:rsid w:val="00ED6CD4"/>
    <w:rsid w:val="00EF7E7C"/>
    <w:rsid w:val="00F10BCF"/>
    <w:rsid w:val="00F30608"/>
    <w:rsid w:val="00F32CE0"/>
    <w:rsid w:val="00F36A29"/>
    <w:rsid w:val="00F57FD7"/>
    <w:rsid w:val="00F60536"/>
    <w:rsid w:val="00F66A5D"/>
    <w:rsid w:val="00F841C9"/>
    <w:rsid w:val="00F872E4"/>
    <w:rsid w:val="00FB039F"/>
    <w:rsid w:val="00FD06D3"/>
    <w:rsid w:val="00FD0BDE"/>
    <w:rsid w:val="00FE7D75"/>
    <w:rsid w:val="00FF1E0D"/>
    <w:rsid w:val="00FF1F82"/>
    <w:rsid w:val="0373FDE6"/>
    <w:rsid w:val="07B6AFDB"/>
    <w:rsid w:val="0A8FF366"/>
    <w:rsid w:val="0CA21F17"/>
    <w:rsid w:val="210F5A80"/>
    <w:rsid w:val="258887B5"/>
    <w:rsid w:val="27C0F4A7"/>
    <w:rsid w:val="28A6A95E"/>
    <w:rsid w:val="2C3F5DDA"/>
    <w:rsid w:val="2DC6FFB2"/>
    <w:rsid w:val="2E364384"/>
    <w:rsid w:val="32E4422C"/>
    <w:rsid w:val="3957004F"/>
    <w:rsid w:val="396698DB"/>
    <w:rsid w:val="3F940064"/>
    <w:rsid w:val="41165EF2"/>
    <w:rsid w:val="44E12864"/>
    <w:rsid w:val="469C0160"/>
    <w:rsid w:val="4B4CE843"/>
    <w:rsid w:val="4CD4A6A3"/>
    <w:rsid w:val="4DCB8C7B"/>
    <w:rsid w:val="4FE9086A"/>
    <w:rsid w:val="580718F3"/>
    <w:rsid w:val="585D8F79"/>
    <w:rsid w:val="60AA6478"/>
    <w:rsid w:val="6B11CAD2"/>
    <w:rsid w:val="6F9F9E13"/>
    <w:rsid w:val="6FBE24D3"/>
    <w:rsid w:val="71940044"/>
    <w:rsid w:val="72DF7A5B"/>
    <w:rsid w:val="769D330D"/>
    <w:rsid w:val="7925241E"/>
    <w:rsid w:val="7FD43C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0A7C9"/>
  <w15:chartTrackingRefBased/>
  <w15:docId w15:val="{D0D712BD-63A7-4E94-B22C-95ED831C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1A7"/>
  </w:style>
  <w:style w:type="paragraph" w:styleId="Heading1">
    <w:name w:val="heading 1"/>
    <w:basedOn w:val="Guidelineheading1NoLevel"/>
    <w:next w:val="Normal"/>
    <w:link w:val="Heading1Char"/>
    <w:uiPriority w:val="9"/>
    <w:qFormat/>
    <w:rsid w:val="004D550C"/>
    <w:pPr>
      <w:outlineLvl w:val="0"/>
    </w:pPr>
  </w:style>
  <w:style w:type="paragraph" w:styleId="Heading2">
    <w:name w:val="heading 2"/>
    <w:basedOn w:val="Normal"/>
    <w:next w:val="Normal"/>
    <w:link w:val="Heading2Char"/>
    <w:uiPriority w:val="9"/>
    <w:unhideWhenUsed/>
    <w:qFormat/>
    <w:rsid w:val="002E26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26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E26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E26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E26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2E26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6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6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50C"/>
    <w:rPr>
      <w:rFonts w:ascii="Visby Round CF" w:hAnsi="Visby Round CF"/>
      <w:b/>
      <w:color w:val="9C1F4C"/>
      <w:sz w:val="28"/>
      <w:szCs w:val="28"/>
    </w:rPr>
  </w:style>
  <w:style w:type="character" w:customStyle="1" w:styleId="Heading2Char">
    <w:name w:val="Heading 2 Char"/>
    <w:basedOn w:val="DefaultParagraphFont"/>
    <w:link w:val="Heading2"/>
    <w:uiPriority w:val="9"/>
    <w:rsid w:val="002E26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26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E26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E2638"/>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2E26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2E26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6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638"/>
    <w:rPr>
      <w:rFonts w:eastAsiaTheme="majorEastAsia" w:cstheme="majorBidi"/>
      <w:color w:val="272727" w:themeColor="text1" w:themeTint="D8"/>
    </w:rPr>
  </w:style>
  <w:style w:type="paragraph" w:styleId="Title">
    <w:name w:val="Title"/>
    <w:basedOn w:val="Normal"/>
    <w:next w:val="Normal"/>
    <w:link w:val="TitleChar"/>
    <w:uiPriority w:val="10"/>
    <w:qFormat/>
    <w:rsid w:val="002E26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6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6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6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638"/>
    <w:pPr>
      <w:spacing w:before="160"/>
      <w:jc w:val="center"/>
    </w:pPr>
    <w:rPr>
      <w:i/>
      <w:iCs/>
      <w:color w:val="404040" w:themeColor="text1" w:themeTint="BF"/>
    </w:rPr>
  </w:style>
  <w:style w:type="character" w:customStyle="1" w:styleId="QuoteChar">
    <w:name w:val="Quote Char"/>
    <w:basedOn w:val="DefaultParagraphFont"/>
    <w:link w:val="Quote"/>
    <w:uiPriority w:val="29"/>
    <w:rsid w:val="002E2638"/>
    <w:rPr>
      <w:i/>
      <w:iCs/>
      <w:color w:val="404040" w:themeColor="text1" w:themeTint="BF"/>
    </w:rPr>
  </w:style>
  <w:style w:type="paragraph" w:styleId="ListParagraph">
    <w:name w:val="List Paragraph"/>
    <w:basedOn w:val="Normal"/>
    <w:uiPriority w:val="34"/>
    <w:qFormat/>
    <w:rsid w:val="002E2638"/>
    <w:pPr>
      <w:ind w:left="720"/>
      <w:contextualSpacing/>
    </w:pPr>
  </w:style>
  <w:style w:type="character" w:styleId="IntenseEmphasis">
    <w:name w:val="Intense Emphasis"/>
    <w:basedOn w:val="DefaultParagraphFont"/>
    <w:uiPriority w:val="21"/>
    <w:qFormat/>
    <w:rsid w:val="002E2638"/>
    <w:rPr>
      <w:i/>
      <w:iCs/>
      <w:color w:val="0F4761" w:themeColor="accent1" w:themeShade="BF"/>
    </w:rPr>
  </w:style>
  <w:style w:type="paragraph" w:styleId="IntenseQuote">
    <w:name w:val="Intense Quote"/>
    <w:basedOn w:val="Normal"/>
    <w:next w:val="Normal"/>
    <w:link w:val="IntenseQuoteChar"/>
    <w:uiPriority w:val="30"/>
    <w:qFormat/>
    <w:rsid w:val="002E26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638"/>
    <w:rPr>
      <w:i/>
      <w:iCs/>
      <w:color w:val="0F4761" w:themeColor="accent1" w:themeShade="BF"/>
    </w:rPr>
  </w:style>
  <w:style w:type="character" w:styleId="IntenseReference">
    <w:name w:val="Intense Reference"/>
    <w:basedOn w:val="DefaultParagraphFont"/>
    <w:uiPriority w:val="32"/>
    <w:qFormat/>
    <w:rsid w:val="002E2638"/>
    <w:rPr>
      <w:b/>
      <w:bCs/>
      <w:smallCaps/>
      <w:color w:val="0F4761" w:themeColor="accent1" w:themeShade="BF"/>
      <w:spacing w:val="5"/>
    </w:rPr>
  </w:style>
  <w:style w:type="table" w:styleId="TableGrid">
    <w:name w:val="Table Grid"/>
    <w:basedOn w:val="TableNormal"/>
    <w:uiPriority w:val="39"/>
    <w:rsid w:val="00076320"/>
    <w:pPr>
      <w:spacing w:after="0" w:line="240" w:lineRule="auto"/>
    </w:pPr>
    <w:rPr>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320"/>
  </w:style>
  <w:style w:type="paragraph" w:styleId="Footer">
    <w:name w:val="footer"/>
    <w:basedOn w:val="Normal"/>
    <w:link w:val="FooterChar"/>
    <w:uiPriority w:val="99"/>
    <w:unhideWhenUsed/>
    <w:qFormat/>
    <w:rsid w:val="00076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320"/>
  </w:style>
  <w:style w:type="paragraph" w:styleId="NoSpacing">
    <w:name w:val="No Spacing"/>
    <w:uiPriority w:val="1"/>
    <w:qFormat/>
    <w:rsid w:val="00076320"/>
    <w:pPr>
      <w:spacing w:after="0" w:line="240" w:lineRule="auto"/>
    </w:pPr>
    <w:rPr>
      <w:color w:val="0E2841" w:themeColor="text2"/>
      <w:sz w:val="20"/>
      <w:szCs w:val="20"/>
      <w:lang w:val="en-US"/>
      <w14:ligatures w14:val="none"/>
    </w:rPr>
  </w:style>
  <w:style w:type="paragraph" w:styleId="Revision">
    <w:name w:val="Revision"/>
    <w:hidden/>
    <w:uiPriority w:val="99"/>
    <w:semiHidden/>
    <w:rsid w:val="00076320"/>
    <w:pPr>
      <w:spacing w:after="0" w:line="240" w:lineRule="auto"/>
    </w:pPr>
    <w:rPr>
      <w:sz w:val="22"/>
      <w:szCs w:val="22"/>
      <w14:ligatures w14:val="none"/>
    </w:rPr>
  </w:style>
  <w:style w:type="paragraph" w:styleId="BalloonText">
    <w:name w:val="Balloon Text"/>
    <w:basedOn w:val="Normal"/>
    <w:link w:val="BalloonTextChar"/>
    <w:uiPriority w:val="99"/>
    <w:semiHidden/>
    <w:unhideWhenUsed/>
    <w:rsid w:val="00076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320"/>
    <w:rPr>
      <w:rFonts w:ascii="Tahoma" w:hAnsi="Tahoma" w:cs="Tahoma"/>
      <w:sz w:val="16"/>
      <w:szCs w:val="16"/>
    </w:rPr>
  </w:style>
  <w:style w:type="character" w:styleId="CommentReference">
    <w:name w:val="annotation reference"/>
    <w:basedOn w:val="DefaultParagraphFont"/>
    <w:uiPriority w:val="99"/>
    <w:semiHidden/>
    <w:unhideWhenUsed/>
    <w:rsid w:val="00076320"/>
    <w:rPr>
      <w:sz w:val="16"/>
      <w:szCs w:val="16"/>
    </w:rPr>
  </w:style>
  <w:style w:type="paragraph" w:styleId="CommentText">
    <w:name w:val="annotation text"/>
    <w:basedOn w:val="Normal"/>
    <w:link w:val="CommentTextChar"/>
    <w:uiPriority w:val="99"/>
    <w:rsid w:val="00076320"/>
    <w:pPr>
      <w:spacing w:after="0" w:line="240" w:lineRule="auto"/>
    </w:pPr>
    <w:rPr>
      <w:rFonts w:ascii="Arial" w:hAnsi="Arial"/>
      <w:sz w:val="20"/>
      <w:szCs w:val="20"/>
      <w:lang w:eastAsia="en-GB"/>
    </w:rPr>
  </w:style>
  <w:style w:type="character" w:customStyle="1" w:styleId="CommentTextChar">
    <w:name w:val="Comment Text Char"/>
    <w:basedOn w:val="DefaultParagraphFont"/>
    <w:link w:val="CommentText"/>
    <w:uiPriority w:val="99"/>
    <w:rsid w:val="00076320"/>
    <w:rPr>
      <w:rFonts w:ascii="Arial" w:hAnsi="Arial"/>
      <w:sz w:val="20"/>
      <w:szCs w:val="20"/>
      <w:lang w:eastAsia="en-GB"/>
    </w:rPr>
  </w:style>
  <w:style w:type="paragraph" w:styleId="CommentSubject">
    <w:name w:val="annotation subject"/>
    <w:basedOn w:val="CommentText"/>
    <w:next w:val="CommentText"/>
    <w:link w:val="CommentSubjectChar"/>
    <w:uiPriority w:val="99"/>
    <w:semiHidden/>
    <w:unhideWhenUsed/>
    <w:rsid w:val="00076320"/>
    <w:pPr>
      <w:spacing w:after="200"/>
    </w:pPr>
    <w:rPr>
      <w:rFonts w:ascii="Calibri" w:hAnsi="Calibri"/>
      <w:b/>
      <w:bCs/>
    </w:rPr>
  </w:style>
  <w:style w:type="character" w:customStyle="1" w:styleId="CommentSubjectChar">
    <w:name w:val="Comment Subject Char"/>
    <w:basedOn w:val="CommentTextChar"/>
    <w:link w:val="CommentSubject"/>
    <w:uiPriority w:val="99"/>
    <w:semiHidden/>
    <w:rsid w:val="00076320"/>
    <w:rPr>
      <w:rFonts w:ascii="Calibri" w:hAnsi="Calibri"/>
      <w:b/>
      <w:bCs/>
      <w:sz w:val="20"/>
      <w:szCs w:val="20"/>
      <w:lang w:eastAsia="en-GB"/>
    </w:rPr>
  </w:style>
  <w:style w:type="character" w:styleId="Hyperlink">
    <w:name w:val="Hyperlink"/>
    <w:basedOn w:val="DefaultParagraphFont"/>
    <w:uiPriority w:val="99"/>
    <w:unhideWhenUsed/>
    <w:rsid w:val="00076320"/>
    <w:rPr>
      <w:color w:val="467886" w:themeColor="hyperlink"/>
      <w:u w:val="single"/>
    </w:rPr>
  </w:style>
  <w:style w:type="character" w:customStyle="1" w:styleId="A4">
    <w:name w:val="A4"/>
    <w:uiPriority w:val="99"/>
    <w:rsid w:val="00076320"/>
    <w:rPr>
      <w:rFonts w:cs="Baskerville BE Regular"/>
      <w:color w:val="000000"/>
      <w:sz w:val="11"/>
      <w:szCs w:val="11"/>
    </w:rPr>
  </w:style>
  <w:style w:type="character" w:customStyle="1" w:styleId="u-visually-hidden">
    <w:name w:val="u-visually-hidden"/>
    <w:basedOn w:val="DefaultParagraphFont"/>
    <w:rsid w:val="00076320"/>
  </w:style>
  <w:style w:type="paragraph" w:customStyle="1" w:styleId="paragraph">
    <w:name w:val="paragraph"/>
    <w:basedOn w:val="Normal"/>
    <w:link w:val="paragraphChar"/>
    <w:rsid w:val="00076320"/>
    <w:pPr>
      <w:spacing w:before="100" w:beforeAutospacing="1" w:after="100" w:afterAutospacing="1" w:line="240" w:lineRule="auto"/>
    </w:pPr>
    <w:rPr>
      <w:rFonts w:ascii="Times New Roman" w:hAnsi="Times New Roman"/>
      <w:lang w:eastAsia="en-GB"/>
    </w:rPr>
  </w:style>
  <w:style w:type="character" w:customStyle="1" w:styleId="normaltextrun">
    <w:name w:val="normaltextrun"/>
    <w:basedOn w:val="DefaultParagraphFont"/>
    <w:rsid w:val="00076320"/>
  </w:style>
  <w:style w:type="character" w:customStyle="1" w:styleId="eop">
    <w:name w:val="eop"/>
    <w:basedOn w:val="DefaultParagraphFont"/>
    <w:rsid w:val="00076320"/>
  </w:style>
  <w:style w:type="character" w:customStyle="1" w:styleId="A16">
    <w:name w:val="A16"/>
    <w:rsid w:val="00076320"/>
    <w:rPr>
      <w:rFonts w:cs="Meta Normal LF"/>
      <w:color w:val="000000"/>
      <w:sz w:val="14"/>
      <w:szCs w:val="14"/>
    </w:rPr>
  </w:style>
  <w:style w:type="paragraph" w:customStyle="1" w:styleId="Default">
    <w:name w:val="Default"/>
    <w:link w:val="DefaultChar"/>
    <w:rsid w:val="00076320"/>
    <w:pPr>
      <w:autoSpaceDE w:val="0"/>
      <w:autoSpaceDN w:val="0"/>
      <w:adjustRightInd w:val="0"/>
      <w:spacing w:after="0" w:line="240" w:lineRule="auto"/>
    </w:pPr>
    <w:rPr>
      <w:rFonts w:ascii="MetaHeadlineOT-Light" w:eastAsia="Times New Roman" w:hAnsi="MetaHeadlineOT-Light" w:cs="MetaHeadlineOT-Light"/>
      <w:color w:val="000000"/>
      <w:lang w:eastAsia="en-GB"/>
      <w14:ligatures w14:val="none"/>
    </w:rPr>
  </w:style>
  <w:style w:type="character" w:customStyle="1" w:styleId="DefaultChar">
    <w:name w:val="Default Char"/>
    <w:basedOn w:val="DefaultParagraphFont"/>
    <w:link w:val="Default"/>
    <w:rsid w:val="00076320"/>
    <w:rPr>
      <w:rFonts w:ascii="MetaHeadlineOT-Light" w:eastAsia="Times New Roman" w:hAnsi="MetaHeadlineOT-Light" w:cs="MetaHeadlineOT-Light"/>
      <w:color w:val="000000"/>
      <w:lang w:eastAsia="en-GB"/>
      <w14:ligatures w14:val="none"/>
    </w:rPr>
  </w:style>
  <w:style w:type="paragraph" w:customStyle="1" w:styleId="EndNoteBibliography">
    <w:name w:val="EndNote Bibliography"/>
    <w:basedOn w:val="Normal"/>
    <w:link w:val="EndNoteBibliographyChar"/>
    <w:rsid w:val="00076320"/>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076320"/>
    <w:rPr>
      <w:rFonts w:cs="Calibri"/>
      <w:noProof/>
      <w:lang w:val="en-US"/>
    </w:rPr>
  </w:style>
  <w:style w:type="paragraph" w:customStyle="1" w:styleId="EndNoteBibliographyTitle">
    <w:name w:val="EndNote Bibliography Title"/>
    <w:basedOn w:val="Normal"/>
    <w:link w:val="EndNoteBibliographyTitleChar"/>
    <w:rsid w:val="00076320"/>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076320"/>
    <w:rPr>
      <w:rFonts w:cs="Calibri"/>
      <w:noProof/>
      <w:lang w:val="en-US"/>
    </w:rPr>
  </w:style>
  <w:style w:type="paragraph" w:customStyle="1" w:styleId="Guidelineheading1NoLevel">
    <w:name w:val="Guideline heading 1 (No Level)"/>
    <w:basedOn w:val="Normal"/>
    <w:link w:val="Guidelineheading1NoLevelChar"/>
    <w:qFormat/>
    <w:rsid w:val="008D325E"/>
    <w:pPr>
      <w:spacing w:after="0"/>
    </w:pPr>
    <w:rPr>
      <w:rFonts w:ascii="Visby Round CF" w:hAnsi="Visby Round CF"/>
      <w:b/>
      <w:color w:val="9C1F4C"/>
      <w:sz w:val="28"/>
      <w:szCs w:val="28"/>
    </w:rPr>
  </w:style>
  <w:style w:type="paragraph" w:customStyle="1" w:styleId="GuidelineHeading2">
    <w:name w:val="Guideline Heading 2"/>
    <w:basedOn w:val="Normal"/>
    <w:link w:val="GuidelineHeading2Char"/>
    <w:autoRedefine/>
    <w:rsid w:val="00306FF4"/>
    <w:pPr>
      <w:numPr>
        <w:numId w:val="6"/>
      </w:numPr>
      <w:spacing w:before="240" w:after="0"/>
    </w:pPr>
    <w:rPr>
      <w:rFonts w:ascii="Visby CF" w:hAnsi="Visby CF"/>
      <w:b/>
      <w:color w:val="0E2841" w:themeColor="text2"/>
      <w:lang w:eastAsia="en-GB"/>
    </w:rPr>
  </w:style>
  <w:style w:type="character" w:styleId="LineNumber">
    <w:name w:val="line number"/>
    <w:basedOn w:val="DefaultParagraphFont"/>
    <w:uiPriority w:val="99"/>
    <w:semiHidden/>
    <w:unhideWhenUsed/>
    <w:rsid w:val="00076320"/>
  </w:style>
  <w:style w:type="character" w:customStyle="1" w:styleId="paragraphChar">
    <w:name w:val="paragraph Char"/>
    <w:basedOn w:val="DefaultParagraphFont"/>
    <w:link w:val="paragraph"/>
    <w:rsid w:val="00076320"/>
    <w:rPr>
      <w:rFonts w:ascii="Times New Roman" w:hAnsi="Times New Roman"/>
      <w:lang w:eastAsia="en-GB"/>
    </w:rPr>
  </w:style>
  <w:style w:type="character" w:styleId="Strong">
    <w:name w:val="Strong"/>
    <w:basedOn w:val="DefaultParagraphFont"/>
    <w:uiPriority w:val="22"/>
    <w:qFormat/>
    <w:rsid w:val="00076320"/>
    <w:rPr>
      <w:b/>
      <w:bCs/>
    </w:rPr>
  </w:style>
  <w:style w:type="table" w:customStyle="1" w:styleId="TableGrid1">
    <w:name w:val="Table Grid1"/>
    <w:basedOn w:val="TableNormal"/>
    <w:next w:val="TableGrid"/>
    <w:uiPriority w:val="39"/>
    <w:rsid w:val="00076320"/>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heading">
    <w:name w:val="Title page heading"/>
    <w:basedOn w:val="Normal"/>
    <w:qFormat/>
    <w:rsid w:val="00076320"/>
    <w:pPr>
      <w:spacing w:after="0"/>
      <w:jc w:val="center"/>
    </w:pPr>
    <w:rPr>
      <w:b/>
      <w:color w:val="0E2841" w:themeColor="text2"/>
      <w:sz w:val="36"/>
      <w:szCs w:val="36"/>
    </w:rPr>
  </w:style>
  <w:style w:type="paragraph" w:styleId="TOC1">
    <w:name w:val="toc 1"/>
    <w:basedOn w:val="Normal"/>
    <w:next w:val="Normal"/>
    <w:autoRedefine/>
    <w:uiPriority w:val="39"/>
    <w:unhideWhenUsed/>
    <w:rsid w:val="00076320"/>
    <w:pPr>
      <w:spacing w:after="100"/>
    </w:pPr>
  </w:style>
  <w:style w:type="paragraph" w:styleId="TOC2">
    <w:name w:val="toc 2"/>
    <w:basedOn w:val="Normal"/>
    <w:next w:val="Normal"/>
    <w:autoRedefine/>
    <w:uiPriority w:val="39"/>
    <w:unhideWhenUsed/>
    <w:rsid w:val="00076320"/>
    <w:pPr>
      <w:spacing w:after="100"/>
      <w:ind w:left="220"/>
    </w:pPr>
  </w:style>
  <w:style w:type="paragraph" w:styleId="TOCHeading">
    <w:name w:val="TOC Heading"/>
    <w:basedOn w:val="Heading1"/>
    <w:next w:val="Normal"/>
    <w:uiPriority w:val="39"/>
    <w:unhideWhenUsed/>
    <w:qFormat/>
    <w:rsid w:val="00076320"/>
    <w:pPr>
      <w:outlineLvl w:val="9"/>
    </w:pPr>
    <w:rPr>
      <w:lang w:val="en-US" w:eastAsia="ja-JP"/>
    </w:rPr>
  </w:style>
  <w:style w:type="character" w:customStyle="1" w:styleId="UnresolvedMention1">
    <w:name w:val="Unresolved Mention1"/>
    <w:basedOn w:val="DefaultParagraphFont"/>
    <w:uiPriority w:val="99"/>
    <w:semiHidden/>
    <w:unhideWhenUsed/>
    <w:rsid w:val="00076320"/>
    <w:rPr>
      <w:color w:val="605E5C"/>
      <w:shd w:val="clear" w:color="auto" w:fill="E1DFDD"/>
    </w:rPr>
  </w:style>
  <w:style w:type="paragraph" w:customStyle="1" w:styleId="ColorfulList-Accent11">
    <w:name w:val="Colorful List - Accent 11"/>
    <w:basedOn w:val="Normal"/>
    <w:uiPriority w:val="34"/>
    <w:qFormat/>
    <w:rsid w:val="00076320"/>
    <w:pPr>
      <w:spacing w:after="0" w:line="240" w:lineRule="auto"/>
      <w:ind w:left="720"/>
      <w:contextualSpacing/>
    </w:pPr>
    <w:rPr>
      <w:rFonts w:ascii="Arial" w:eastAsia="Cambria" w:hAnsi="Arial" w:cs="Times New Roman"/>
      <w:color w:val="000000"/>
      <w:sz w:val="18"/>
      <w14:ligatures w14:val="none"/>
    </w:rPr>
  </w:style>
  <w:style w:type="character" w:customStyle="1" w:styleId="docsum-pmid">
    <w:name w:val="docsum-pmid"/>
    <w:rsid w:val="00076320"/>
  </w:style>
  <w:style w:type="character" w:customStyle="1" w:styleId="apple-converted-space">
    <w:name w:val="apple-converted-space"/>
    <w:basedOn w:val="DefaultParagraphFont"/>
    <w:rsid w:val="00076320"/>
  </w:style>
  <w:style w:type="character" w:customStyle="1" w:styleId="cf01">
    <w:name w:val="cf01"/>
    <w:basedOn w:val="DefaultParagraphFont"/>
    <w:rsid w:val="00076320"/>
    <w:rPr>
      <w:rFonts w:ascii="Segoe UI" w:hAnsi="Segoe UI" w:cs="Segoe UI" w:hint="default"/>
      <w:sz w:val="18"/>
      <w:szCs w:val="18"/>
    </w:rPr>
  </w:style>
  <w:style w:type="paragraph" w:styleId="Bibliography">
    <w:name w:val="Bibliography"/>
    <w:basedOn w:val="Normal"/>
    <w:next w:val="Normal"/>
    <w:uiPriority w:val="37"/>
    <w:unhideWhenUsed/>
    <w:rsid w:val="00076320"/>
    <w:pPr>
      <w:tabs>
        <w:tab w:val="left" w:pos="624"/>
      </w:tabs>
      <w:spacing w:after="240" w:line="240" w:lineRule="auto"/>
      <w:ind w:left="624" w:hanging="624"/>
    </w:pPr>
  </w:style>
  <w:style w:type="paragraph" w:customStyle="1" w:styleId="SubheadingsRationale">
    <w:name w:val="SubheadingsRationale"/>
    <w:basedOn w:val="Normal"/>
    <w:link w:val="SubheadingsRationaleChar"/>
    <w:qFormat/>
    <w:rsid w:val="00076320"/>
    <w:rPr>
      <w:rFonts w:eastAsia="Arial Unicode MS" w:cstheme="minorHAnsi"/>
      <w:b/>
      <w:bCs/>
    </w:rPr>
  </w:style>
  <w:style w:type="character" w:customStyle="1" w:styleId="SubheadingsRationaleChar">
    <w:name w:val="SubheadingsRationale Char"/>
    <w:basedOn w:val="DefaultParagraphFont"/>
    <w:link w:val="SubheadingsRationale"/>
    <w:rsid w:val="00076320"/>
    <w:rPr>
      <w:rFonts w:eastAsia="Arial Unicode MS" w:cstheme="minorHAnsi"/>
      <w:b/>
      <w:bCs/>
    </w:rPr>
  </w:style>
  <w:style w:type="character" w:styleId="FollowedHyperlink">
    <w:name w:val="FollowedHyperlink"/>
    <w:basedOn w:val="DefaultParagraphFont"/>
    <w:uiPriority w:val="99"/>
    <w:semiHidden/>
    <w:unhideWhenUsed/>
    <w:rsid w:val="00ED6CD4"/>
    <w:rPr>
      <w:color w:val="96607D" w:themeColor="followedHyperlink"/>
      <w:u w:val="single"/>
    </w:rPr>
  </w:style>
  <w:style w:type="character" w:styleId="PlaceholderText">
    <w:name w:val="Placeholder Text"/>
    <w:basedOn w:val="DefaultParagraphFont"/>
    <w:uiPriority w:val="99"/>
    <w:semiHidden/>
    <w:rsid w:val="00ED6CD4"/>
    <w:rPr>
      <w:color w:val="666666"/>
    </w:rPr>
  </w:style>
  <w:style w:type="paragraph" w:styleId="NormalWeb">
    <w:name w:val="Normal (Web)"/>
    <w:basedOn w:val="Normal"/>
    <w:uiPriority w:val="99"/>
    <w:unhideWhenUsed/>
    <w:rsid w:val="00ED6CD4"/>
    <w:pPr>
      <w:spacing w:before="100" w:beforeAutospacing="1" w:after="100" w:afterAutospacing="1" w:line="240" w:lineRule="auto"/>
    </w:pPr>
    <w:rPr>
      <w:rFonts w:ascii="Times New Roman" w:eastAsiaTheme="minorEastAsia" w:hAnsi="Times New Roman" w:cs="Times New Roman"/>
      <w:lang w:eastAsia="en-GB"/>
      <w14:ligatures w14:val="none"/>
    </w:rPr>
  </w:style>
  <w:style w:type="paragraph" w:customStyle="1" w:styleId="NoParagraphStyle">
    <w:name w:val="[No Paragraph Style]"/>
    <w:link w:val="NoParagraphStyleChar"/>
    <w:rsid w:val="00ED6CD4"/>
    <w:pPr>
      <w:widowControl w:val="0"/>
      <w:autoSpaceDE w:val="0"/>
      <w:autoSpaceDN w:val="0"/>
      <w:adjustRightInd w:val="0"/>
      <w:spacing w:after="0" w:line="288" w:lineRule="auto"/>
      <w:textAlignment w:val="center"/>
    </w:pPr>
    <w:rPr>
      <w:rFonts w:ascii="Times-Roman" w:eastAsia="Times New Roman" w:hAnsi="Times-Roman" w:cs="Times New Roman"/>
      <w:color w:val="000000"/>
      <w:lang w:val="en-US"/>
      <w14:ligatures w14:val="none"/>
    </w:rPr>
  </w:style>
  <w:style w:type="character" w:customStyle="1" w:styleId="NoParagraphStyleChar">
    <w:name w:val="[No Paragraph Style] Char"/>
    <w:basedOn w:val="DefaultParagraphFont"/>
    <w:link w:val="NoParagraphStyle"/>
    <w:locked/>
    <w:rsid w:val="00ED6CD4"/>
    <w:rPr>
      <w:rFonts w:ascii="Times-Roman" w:eastAsia="Times New Roman" w:hAnsi="Times-Roman" w:cs="Times New Roman"/>
      <w:color w:val="000000"/>
      <w:lang w:val="en-US"/>
      <w14:ligatures w14:val="none"/>
    </w:rPr>
  </w:style>
  <w:style w:type="paragraph" w:customStyle="1" w:styleId="headingB">
    <w:name w:val="heading B"/>
    <w:basedOn w:val="NoParagraphStyle"/>
    <w:next w:val="NoParagraphStyle"/>
    <w:rsid w:val="00ED6CD4"/>
    <w:pPr>
      <w:keepNext/>
      <w:tabs>
        <w:tab w:val="left" w:pos="150"/>
      </w:tabs>
      <w:suppressAutoHyphens/>
      <w:spacing w:before="102" w:after="28" w:line="180" w:lineRule="atLeast"/>
    </w:pPr>
    <w:rPr>
      <w:rFonts w:ascii="Gill Handbook Bold" w:hAnsi="Gill Handbook Bold" w:cs="Gill Handbook Bold"/>
      <w:b/>
      <w:bCs/>
      <w:sz w:val="17"/>
      <w:szCs w:val="17"/>
      <w:lang w:val="en-GB"/>
    </w:rPr>
  </w:style>
  <w:style w:type="table" w:styleId="PlainTable3">
    <w:name w:val="Plain Table 3"/>
    <w:basedOn w:val="TableNormal"/>
    <w:uiPriority w:val="43"/>
    <w:rsid w:val="00ED6CD4"/>
    <w:pPr>
      <w:spacing w:after="0" w:line="240" w:lineRule="auto"/>
    </w:pPr>
    <w:rPr>
      <w:kern w:val="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ED6CD4"/>
    <w:rPr>
      <w:color w:val="605E5C"/>
      <w:shd w:val="clear" w:color="auto" w:fill="E1DFDD"/>
    </w:rPr>
  </w:style>
  <w:style w:type="character" w:customStyle="1" w:styleId="Guidelineheading1NoLevelChar">
    <w:name w:val="Guideline heading 1 (No Level) Char"/>
    <w:basedOn w:val="DefaultParagraphFont"/>
    <w:link w:val="Guidelineheading1NoLevel"/>
    <w:rsid w:val="008D325E"/>
    <w:rPr>
      <w:rFonts w:ascii="Visby Round CF" w:hAnsi="Visby Round CF"/>
      <w:b/>
      <w:color w:val="9C1F4C"/>
      <w:sz w:val="28"/>
      <w:szCs w:val="28"/>
    </w:rPr>
  </w:style>
  <w:style w:type="paragraph" w:customStyle="1" w:styleId="GuidelineHeadings">
    <w:name w:val="Guideline Headings"/>
    <w:basedOn w:val="Normal"/>
    <w:link w:val="GuidelineHeadingsChar"/>
    <w:qFormat/>
    <w:rsid w:val="00EF7E7C"/>
    <w:pPr>
      <w:keepNext/>
      <w:keepLines/>
      <w:spacing w:before="120" w:after="120"/>
      <w:ind w:left="-6" w:hanging="11"/>
      <w:outlineLvl w:val="3"/>
    </w:pPr>
    <w:rPr>
      <w:rFonts w:asciiTheme="majorHAnsi" w:eastAsia="Calibri" w:hAnsiTheme="majorHAnsi" w:cs="Calibri"/>
      <w:b/>
      <w:color w:val="000000"/>
      <w:lang w:eastAsia="en-GB"/>
    </w:rPr>
  </w:style>
  <w:style w:type="character" w:customStyle="1" w:styleId="GuidelineHeadingsChar">
    <w:name w:val="Guideline Headings Char"/>
    <w:basedOn w:val="DefaultParagraphFont"/>
    <w:link w:val="GuidelineHeadings"/>
    <w:rsid w:val="00EF7E7C"/>
    <w:rPr>
      <w:rFonts w:asciiTheme="majorHAnsi" w:eastAsia="Calibri" w:hAnsiTheme="majorHAnsi" w:cs="Calibri"/>
      <w:b/>
      <w:color w:val="000000"/>
      <w:lang w:eastAsia="en-GB"/>
    </w:rPr>
  </w:style>
  <w:style w:type="paragraph" w:customStyle="1" w:styleId="GuidelineUpperHeadings">
    <w:name w:val="Guideline Upper Headings"/>
    <w:link w:val="GuidelineUpperHeadingsChar"/>
    <w:qFormat/>
    <w:rsid w:val="00402D6C"/>
    <w:pPr>
      <w:spacing w:before="160"/>
      <w:outlineLvl w:val="2"/>
    </w:pPr>
    <w:rPr>
      <w:rFonts w:ascii="Visby CF" w:hAnsi="Visby CF"/>
      <w:b/>
      <w:color w:val="0E2841" w:themeColor="text2"/>
      <w:sz w:val="26"/>
      <w:lang w:eastAsia="en-GB"/>
    </w:rPr>
  </w:style>
  <w:style w:type="character" w:customStyle="1" w:styleId="GuidelineHeading2Char">
    <w:name w:val="Guideline Heading 2 Char"/>
    <w:basedOn w:val="DefaultParagraphFont"/>
    <w:link w:val="GuidelineHeading2"/>
    <w:rsid w:val="00306FF4"/>
    <w:rPr>
      <w:rFonts w:ascii="Visby CF" w:hAnsi="Visby CF"/>
      <w:b/>
      <w:color w:val="0E2841" w:themeColor="text2"/>
      <w:lang w:eastAsia="en-GB"/>
    </w:rPr>
  </w:style>
  <w:style w:type="character" w:customStyle="1" w:styleId="GuidelineUpperHeadingsChar">
    <w:name w:val="Guideline Upper Headings Char"/>
    <w:basedOn w:val="GuidelineHeading2Char"/>
    <w:link w:val="GuidelineUpperHeadings"/>
    <w:rsid w:val="00402D6C"/>
    <w:rPr>
      <w:rFonts w:ascii="Visby CF" w:hAnsi="Visby CF"/>
      <w:b/>
      <w:color w:val="0E2841" w:themeColor="text2"/>
      <w:sz w:val="26"/>
      <w:lang w:eastAsia="en-GB"/>
    </w:rPr>
  </w:style>
  <w:style w:type="paragraph" w:customStyle="1" w:styleId="GuidelineSubheadings">
    <w:name w:val="Guideline Subheadings"/>
    <w:basedOn w:val="Normal"/>
    <w:link w:val="GuidelineSubheadingsChar"/>
    <w:qFormat/>
    <w:rsid w:val="00156C43"/>
    <w:pPr>
      <w:spacing w:after="5" w:line="240" w:lineRule="auto"/>
      <w:ind w:left="124" w:hanging="11"/>
      <w:jc w:val="both"/>
    </w:pPr>
    <w:rPr>
      <w:rFonts w:asciiTheme="majorHAnsi" w:eastAsia="Calibri" w:hAnsiTheme="majorHAnsi" w:cs="Calibri"/>
      <w:b/>
      <w:color w:val="000000"/>
      <w:lang w:eastAsia="en-GB"/>
    </w:rPr>
  </w:style>
  <w:style w:type="character" w:customStyle="1" w:styleId="GuidelineSubheadingsChar">
    <w:name w:val="Guideline Subheadings Char"/>
    <w:basedOn w:val="DefaultParagraphFont"/>
    <w:link w:val="GuidelineSubheadings"/>
    <w:rsid w:val="00156C43"/>
    <w:rPr>
      <w:rFonts w:asciiTheme="majorHAnsi" w:eastAsia="Calibri" w:hAnsiTheme="majorHAnsi" w:cs="Calibri"/>
      <w:b/>
      <w:color w:val="000000"/>
      <w:lang w:eastAsia="en-GB"/>
    </w:rPr>
  </w:style>
  <w:style w:type="paragraph" w:styleId="TOC3">
    <w:name w:val="toc 3"/>
    <w:basedOn w:val="Normal"/>
    <w:next w:val="Normal"/>
    <w:autoRedefine/>
    <w:uiPriority w:val="39"/>
    <w:unhideWhenUsed/>
    <w:rsid w:val="00A004B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8849">
      <w:bodyDiv w:val="1"/>
      <w:marLeft w:val="0"/>
      <w:marRight w:val="0"/>
      <w:marTop w:val="0"/>
      <w:marBottom w:val="0"/>
      <w:divBdr>
        <w:top w:val="none" w:sz="0" w:space="0" w:color="auto"/>
        <w:left w:val="none" w:sz="0" w:space="0" w:color="auto"/>
        <w:bottom w:val="none" w:sz="0" w:space="0" w:color="auto"/>
        <w:right w:val="none" w:sz="0" w:space="0" w:color="auto"/>
      </w:divBdr>
    </w:div>
    <w:div w:id="519048319">
      <w:bodyDiv w:val="1"/>
      <w:marLeft w:val="0"/>
      <w:marRight w:val="0"/>
      <w:marTop w:val="0"/>
      <w:marBottom w:val="0"/>
      <w:divBdr>
        <w:top w:val="none" w:sz="0" w:space="0" w:color="auto"/>
        <w:left w:val="none" w:sz="0" w:space="0" w:color="auto"/>
        <w:bottom w:val="none" w:sz="0" w:space="0" w:color="auto"/>
        <w:right w:val="none" w:sz="0" w:space="0" w:color="auto"/>
      </w:divBdr>
    </w:div>
    <w:div w:id="1466267415">
      <w:bodyDiv w:val="1"/>
      <w:marLeft w:val="0"/>
      <w:marRight w:val="0"/>
      <w:marTop w:val="0"/>
      <w:marBottom w:val="0"/>
      <w:divBdr>
        <w:top w:val="none" w:sz="0" w:space="0" w:color="auto"/>
        <w:left w:val="none" w:sz="0" w:space="0" w:color="auto"/>
        <w:bottom w:val="none" w:sz="0" w:space="0" w:color="auto"/>
        <w:right w:val="none" w:sz="0" w:space="0" w:color="auto"/>
      </w:divBdr>
    </w:div>
    <w:div w:id="1470129858">
      <w:bodyDiv w:val="1"/>
      <w:marLeft w:val="0"/>
      <w:marRight w:val="0"/>
      <w:marTop w:val="0"/>
      <w:marBottom w:val="0"/>
      <w:divBdr>
        <w:top w:val="none" w:sz="0" w:space="0" w:color="auto"/>
        <w:left w:val="none" w:sz="0" w:space="0" w:color="auto"/>
        <w:bottom w:val="none" w:sz="0" w:space="0" w:color="auto"/>
        <w:right w:val="none" w:sz="0" w:space="0" w:color="auto"/>
      </w:divBdr>
    </w:div>
    <w:div w:id="173481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todate.com/contents/anemia-and-the-kidney-transplant-recipient/abstract-text/22377790/pubme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bcd.care/sites/default/files/site_uploads/Resources/Position-Papers/ABCD-RA-PTDM-v14.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671A6-E656-45F6-923E-94A732F9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125</Pages>
  <Words>286568</Words>
  <Characters>1685025</Characters>
  <Application>Microsoft Office Word</Application>
  <DocSecurity>4</DocSecurity>
  <Lines>27623</Lines>
  <Paragraphs>10773</Paragraphs>
  <ScaleCrop>false</ScaleCrop>
  <Company/>
  <LinksUpToDate>false</LinksUpToDate>
  <CharactersWithSpaces>1960820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Chung</dc:creator>
  <cp:keywords/>
  <dc:description/>
  <cp:lastModifiedBy>Fay Passey</cp:lastModifiedBy>
  <cp:revision>2</cp:revision>
  <dcterms:created xsi:type="dcterms:W3CDTF">2026-02-18T08:24:00Z</dcterms:created>
  <dcterms:modified xsi:type="dcterms:W3CDTF">2026-02-18T08:24:00Z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d"/&gt;&lt;pref name="automaticJournalAbbreviations" value="true"/&gt;&lt;pref name="dontAskDelayCitationUpdates" value="true"/&gt;&lt;/prefs&gt;&lt;/data&gt;</vt:lpwstr>
  </property>
  <property fmtid="{D5CDD505-2E9C-101B-9397-08002B2CF9AE}" pid="3" name="ZOTERO_PREF_1">
    <vt:lpwstr>&lt;data data-version="3" zotero-version="7.0.27"&gt;&lt;session id="zaI8DzWr"/&gt;&lt;style id="http://www.zotero.org/styles/nlm-citation-sequence-superscript" locale="en-US" hasBibliography="1" bibliographyStyleHasBeenSet="1"/&gt;&lt;prefs&gt;&lt;pref name="fieldType" value="Fiel</vt:lpwstr>
  </property>
</Properties>
</file>